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交银施罗德智选进取三个月持有期混合型发起式基金中基金（FOF）（C类份额）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2026-07-16</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交银智选进取三个月持有期混合发起（FOF）C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019212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上述混合型基金需符合下列两个条件之一：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90%×中证偏股型基金指数收益率+2%×恒生指数收益率+8%×中债综合全价指数收益率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详见《交银施罗德智选进取三个月持有期混合型发起式基金中基金（FOF）招募说明书》第九部分“基金的投资”。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2、本基金合同于2023年12月27日生效，合同生效当年净值增长率按实际存续期计算。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三个月，最短持有期限届满后，本基金C类基金份额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1.65%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本基金为发起式基金，《基金合同》生效之日起三年后的对应日，基金资产净值低于2亿元，或《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B53BC"/>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3C01D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958</Words>
  <Characters>5465</Characters>
  <Lines>45</Lines>
  <Paragraphs>12</Paragraphs>
  <TotalTime>0</TotalTime>
  <ScaleCrop>false</ScaleCrop>
  <LinksUpToDate>false</LinksUpToDate>
  <CharactersWithSpaces>6411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2026-07-20T04:31:00Z</dcterms:created>
  <dc:creator>Cc</dc:creator>
  <cp:lastModifiedBy>haotingting</cp:lastModifiedBy>
  <dcterms:modified xsi:type="dcterms:W3CDTF">2026-07-20T06:57:06Z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C64BD815E7ED4F85AFF0A6DECB17AE68</vt:lpwstr>
  </property>
</Properties>
</file>