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交银施罗德智选星光混合型基金中基金（FOF-LOF）（C类份额）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2026-07-16</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2026-07-21</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2"/>
        <w:gridCol w:w="1575"/>
        <w:gridCol w:w="3279"/>
        <w:gridCol w:w="191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交银智选星光混合（FOF-LOF）C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013787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中国光大银行股份有限公司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2021-11-10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基金中基金</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刘兵</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2021-11-10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2016-06-21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杜倩旖</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2026-07-16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2022-07-01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eastAsia="仿宋_GB2312"/>
          <w:szCs w:val="21"/>
        </w:rPr>
      </w:pPr>
      <w:r>
        <w:rPr>
          <w:rFonts w:hint="eastAsia" w:ascii="仿宋_GB2312" w:hAnsi="宋体" w:eastAsia="仿宋_GB2312" w:cs="宋体"/>
          <w:kern w:val="0"/>
          <w:szCs w:val="21"/>
        </w:rPr>
        <w:t>注：</w:t>
      </w:r>
      <w:r>
        <w:rPr>
          <w:rFonts w:hint="eastAsia" w:ascii="仿宋_GB2312" w:eastAsia="仿宋_GB2312"/>
          <w:szCs w:val="21"/>
        </w:rPr>
        <w:t>交银施罗德智选星光一年封闭运作混合型基金中基金（FOF-LOF）的封闭期自2021年11月10日起至2022年11月9日止。根据《基金合同》的约定，自2022年11月10日起，交银施罗德智选星光一年封闭运作混合型基金中基金（FOF-LOF）的基金名称变更为“交银施罗德智选星光混合型基金中基金（FOF-LOF）”，并适用《基金合同》中关于封闭期届满后运作的有关规定。本基金C类基金份额的基金简称变更为“交银智选星光混合（FOF-LOF）C”，基金代码仍为“013787”。</w:t>
      </w:r>
    </w:p>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本基金主要投资于经中国证监会依法核准或注册的公开募集证券投资基金的基金份额，在严格控制风险的前提下，充分发挥专业研究与管理能力，力争为投资者提供长期稳健的投资回报。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经中国证监会依法核准或注册的公开募集证券投资基金（含ETF和LOF、香港互认基金，不含QDII基金）、国内依法发行上市的股票（含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债券、次级债券、中期票据、短期融资券、超短期融资券等）、资产支持证券、货币市场工具、债券回购、同业存单、银行存款（含协议存款、定期存款及其他银行存款）以及法律法规或中国证监会允许基金投资的其他金融工具。</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经中国证监会依法核准或注册的公开募集证券投资基金的基金份额的资产不低于本基金资产的80%；本基金封闭期结束转为开放式运作后，投资于股票（含存托凭证）、股票型基金（包括股票指数基金）和混合型基金的资产合计占基金资产的比例为60%-95%（其中投资于港股通标的股票的比例占股票资产的0%-50%）；封闭期内，投资于股票（含存托凭证）、股票型基金（包括股票指数基金）和混合型基金的资产合计占基金资产的比例为60%-100%（其中投资于港股通标的股票的比例占股票资产的0%-50%）；本基金封闭期结束转为开放式运作的前后各一个月内，基金投资不受前述下限比例限制。</w:t>
            </w:r>
          </w:p>
          <w:p>
            <w:pPr>
              <w:ind w:firstLine="420"/>
              <w:jc w:val="left"/>
              <w:rPr>
                <w:rFonts w:ascii="仿宋_GB2312" w:eastAsia="仿宋_GB2312"/>
                <w:szCs w:val="21"/>
              </w:rPr>
            </w:pPr>
            <w:r>
              <w:rPr>
                <w:rFonts w:hint="eastAsia" w:ascii="仿宋_GB2312" w:eastAsia="仿宋_GB2312"/>
                <w:szCs w:val="21"/>
              </w:rPr>
              <w:t>本基金封闭期结束转为开放式运作后，本基金持有的现金或者到期日在一年以内的政府债券的比例合计不低于基金资产净值的5%；在封闭期内，本基金不受前述5%的限制；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本基金投资策略主要分为以下六个部分：</w:t>
            </w:r>
          </w:p>
          <w:p>
            <w:pPr>
              <w:ind w:firstLine="420"/>
              <w:jc w:val="left"/>
              <w:rPr>
                <w:rFonts w:ascii="仿宋_GB2312" w:eastAsia="仿宋_GB2312"/>
                <w:szCs w:val="21"/>
              </w:rPr>
            </w:pPr>
            <w:r>
              <w:rPr>
                <w:rFonts w:hint="eastAsia" w:ascii="仿宋_GB2312" w:eastAsia="仿宋_GB2312"/>
                <w:szCs w:val="21"/>
              </w:rPr>
              <w:t>1、大类资产配置；2、基金投资策略；3、股票投资策略；4、港股通标的股票投资策略；5、债券投资策略；6、资产支持证券投资策略。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90%×中证偏股型基金指数收益率+10%×中债综合全价指数收益率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本基金为混合型基金中基金，其预期风险与预期收益高于债券型基金、债券型基金中基金、货币市场基金和货币型基金中基金，低于股票型基金和股票型基金中基金。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详见《交银施罗德智选星光混合型基金中基金(FOF-LOF)招募说明书》“基金的投资”。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2、本基金合同于2021年11月10日生效，合同生效当年净值增长率按实际存续期计算。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3、本基金的业绩比较基准自2023年2月7日起，由“80%×沪深300指数收益率+20%×中债综合全价指数收益率”变更为“90%×中证偏股型基金指数收益率+10%×中债综合全价指数收益率”。</w:t>
      </w:r>
    </w:p>
    <w:p>
      <w:pPr>
        <w:ind w:left="420" w:firstLine="420" w:firstLineChars="200"/>
        <w:jc w:val="left"/>
        <w:rPr>
          <w:rFonts w:ascii="仿宋_GB2312" w:eastAsia="仿宋_GB2312"/>
          <w:szCs w:val="21"/>
        </w:rPr>
      </w:pPr>
      <w:r>
        <w:rPr>
          <w:rFonts w:hint="eastAsia" w:ascii="仿宋_GB2312" w:eastAsia="仿宋_GB2312"/>
          <w:szCs w:val="21"/>
        </w:rPr>
        <w:t>4、基金的过往业绩不代表未来表现。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注：1、本基金对持续持有期少于7日的投资人收取1.5%的赎回费，请投资人予以关注。2、销售机构若有其他费率优惠请见基金管理人或其他销售机构的有关公告或通知。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1.00%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0.60%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1、本基金基金财产中持有的基金管理人自身管理的基金部分不收取管理费；持有的基金托管人自身托管的基金部分不收取托管费。2、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1.81%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基金合同生效后一年之内（含一年）为封闭期，在此期间投资者不能申购、赎回基金份额。本基金封闭期结束转为开放式运作后，投资人方可进行C类基金份额的申购与赎回。投资者将面临封闭期内无法赎回基金份额的风险。</w:t>
      </w:r>
    </w:p>
    <w:p>
      <w:pPr>
        <w:ind w:firstLine="420"/>
        <w:jc w:val="left"/>
        <w:rPr>
          <w:rFonts w:ascii="仿宋_GB2312" w:eastAsia="仿宋_GB2312"/>
          <w:szCs w:val="21"/>
        </w:rPr>
      </w:pPr>
      <w:r>
        <w:rPr>
          <w:rFonts w:hint="eastAsia" w:ascii="仿宋_GB2312" w:eastAsia="仿宋_GB2312"/>
          <w:szCs w:val="21"/>
        </w:rPr>
        <w:t>（2）本基金为混合型基金中基金，本基金投资于经中国证监会依法核准或注册的公开募集证券投资基金的基金份额的资产不低于本基金资产的80%；本基金封闭期结束转为开放式运作后，投资于股票（含存托凭证）、股票型基金（包括股票指数基金）和混合型基金的资产合计占基金资产的比例为60%-95%（其中投资于港股通标的股票的比例占股票资产的0%-50%）；封闭期内，投资于股票（含存托凭证）、股票型基金（包括股票指数基金）和混合型基金的资产合计占基金资产的比例为60%-100%（其中投资于港股通标的股票的比例占股票资产的0%-50%）；本基金封闭期结束转为开放式运作的前后各一个月内，基金投资不受前述下限比例限制。因此本基金所持有的基金的业绩表现、持有基金的基金管理人水平等因素将影响到本基金的基金业绩表现。</w:t>
      </w:r>
    </w:p>
    <w:p>
      <w:pPr>
        <w:ind w:firstLine="420"/>
        <w:jc w:val="left"/>
        <w:rPr>
          <w:rFonts w:ascii="仿宋_GB2312" w:eastAsia="仿宋_GB2312"/>
          <w:szCs w:val="21"/>
        </w:rPr>
      </w:pPr>
      <w:r>
        <w:rPr>
          <w:rFonts w:hint="eastAsia" w:ascii="仿宋_GB2312" w:eastAsia="仿宋_GB2312"/>
          <w:szCs w:val="21"/>
        </w:rPr>
        <w:t>（3）本基金为基金中基金，由于本基金所持有的相当比例的基金暂停估值，导致基金管理人无法计算当日本基金资产净值；或者由于本基金持有的相当比例的基金份额或适合本基金投资的基金份额拒绝或暂停申购、暂停上市或二级市场交易停牌、基金管理人无法找到其他合适的可替代的基金品种，或其他可能对本基金业绩产生负面影响的情形，本基金可能拒绝或暂停申购业务。</w:t>
      </w:r>
    </w:p>
    <w:p>
      <w:pPr>
        <w:ind w:firstLine="420"/>
        <w:jc w:val="left"/>
        <w:rPr>
          <w:rFonts w:ascii="仿宋_GB2312" w:eastAsia="仿宋_GB2312"/>
          <w:szCs w:val="21"/>
        </w:rPr>
      </w:pPr>
      <w:r>
        <w:rPr>
          <w:rFonts w:hint="eastAsia" w:ascii="仿宋_GB2312" w:eastAsia="仿宋_GB2312"/>
          <w:szCs w:val="21"/>
        </w:rPr>
        <w:t>（4）本基金为基金中基金，由于本基金所持有的相当比例的基金暂停估值，导致基金管理人无法计算当日本基金资产净值；或者由于本基金持有的相当比例的基金份额拒绝或暂停赎回、暂停上市或二级市场交易停牌、延期办理赎回、延期支付赎回款项，或其他可能对本基金业绩产生负面影响的情形，本基金可能暂停赎回或延缓支付赎回款项。</w:t>
      </w:r>
    </w:p>
    <w:p>
      <w:pPr>
        <w:ind w:firstLine="420"/>
        <w:jc w:val="left"/>
        <w:rPr>
          <w:rFonts w:ascii="仿宋_GB2312" w:eastAsia="仿宋_GB2312"/>
          <w:szCs w:val="21"/>
        </w:rPr>
      </w:pPr>
      <w:r>
        <w:rPr>
          <w:rFonts w:hint="eastAsia" w:ascii="仿宋_GB2312" w:eastAsia="仿宋_GB2312"/>
          <w:szCs w:val="21"/>
        </w:rPr>
        <w:t>（5）本基金为基金中基金，本基金管理人运用本基金的基金财产申购自身管理的基金的（ETF除外），应当通过直销渠道申购且不得收取申购费、赎回费（按照相关法规、基金招募说明书约定应当收取，并计入基金财产的赎回费用除外）、销售服务费（如有）等销售费用。但如果本基金管理人运用本基金的基金财产申购非自身管理的基金的，将会承担本基金以及本基金所投资或持有基金份额的相关费用，本基金对上述费用的支付将对收益水平造成影响。</w:t>
      </w:r>
    </w:p>
    <w:p>
      <w:pPr>
        <w:ind w:firstLine="420"/>
        <w:jc w:val="left"/>
        <w:rPr>
          <w:rFonts w:ascii="仿宋_GB2312" w:eastAsia="仿宋_GB2312"/>
          <w:szCs w:val="21"/>
        </w:rPr>
      </w:pPr>
      <w:r>
        <w:rPr>
          <w:rFonts w:hint="eastAsia" w:ascii="仿宋_GB2312" w:eastAsia="仿宋_GB2312"/>
          <w:szCs w:val="21"/>
        </w:rPr>
        <w:t>（6）本基金为基金中基金，本基金可能投资于封闭运作基金、定期开放基金等流通受限基金。本基金投资流动受限基金将面临所投资基金的流动性风险，因此可能在本基金需要变现资产时，受流动性所限，本基金无法卖出所持有的流通受限基金，由此可能给基金净值带来不利影响或损失。</w:t>
      </w:r>
    </w:p>
    <w:p>
      <w:pPr>
        <w:ind w:firstLine="420"/>
        <w:jc w:val="left"/>
        <w:rPr>
          <w:rFonts w:ascii="仿宋_GB2312" w:eastAsia="仿宋_GB2312"/>
          <w:szCs w:val="21"/>
        </w:rPr>
      </w:pPr>
      <w:r>
        <w:rPr>
          <w:rFonts w:hint="eastAsia" w:ascii="仿宋_GB2312" w:eastAsia="仿宋_GB2312"/>
          <w:szCs w:val="21"/>
        </w:rPr>
        <w:t>（7）本基金可投资创业板股票，创业板个股上市后的前五个交易日不设价格涨跌幅限制，第六个交易日开始涨跌幅限制比例为20%。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7、投资流通受限证券的特定风险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8、基金合同提前终止风险</w:t>
      </w:r>
    </w:p>
    <w:p>
      <w:pPr>
        <w:ind w:firstLine="420"/>
        <w:jc w:val="left"/>
        <w:rPr>
          <w:rFonts w:ascii="仿宋_GB2312" w:eastAsia="仿宋_GB2312"/>
          <w:szCs w:val="21"/>
        </w:rPr>
      </w:pPr>
      <w:r>
        <w:rPr>
          <w:rFonts w:hint="eastAsia" w:ascii="仿宋_GB2312" w:eastAsia="仿宋_GB2312"/>
          <w:szCs w:val="21"/>
        </w:rPr>
        <w:t>连续50个工作日出现基金份额持有人数量不满200人或基金资产净值低于5000万元情形时，基金合同终止，不需召开基金份额持有人大会。</w:t>
      </w:r>
    </w:p>
    <w:p>
      <w:pPr>
        <w:ind w:firstLine="420"/>
        <w:jc w:val="left"/>
        <w:rPr>
          <w:rFonts w:ascii="仿宋_GB2312" w:eastAsia="仿宋_GB2312"/>
          <w:szCs w:val="21"/>
        </w:rPr>
      </w:pPr>
      <w:r>
        <w:rPr>
          <w:rFonts w:hint="eastAsia" w:ascii="仿宋_GB2312" w:eastAsia="仿宋_GB2312"/>
          <w:szCs w:val="21"/>
        </w:rPr>
        <w:t>9、投资港股通标的股票的特定风险</w:t>
      </w:r>
    </w:p>
    <w:p>
      <w:pPr>
        <w:ind w:firstLine="420"/>
        <w:jc w:val="left"/>
        <w:rPr>
          <w:rFonts w:ascii="仿宋_GB2312" w:eastAsia="仿宋_GB2312"/>
          <w:szCs w:val="21"/>
        </w:rPr>
      </w:pPr>
      <w:r>
        <w:rPr>
          <w:rFonts w:hint="eastAsia" w:ascii="仿宋_GB2312" w:eastAsia="仿宋_GB2312"/>
          <w:szCs w:val="21"/>
        </w:rPr>
        <w:t>本基金可投资港股通标的股票，会面临港股通机制下因投资环境、投资标的、市场制度以及交易规则等差异带来的特有风险，具体如下：（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10、投资科创板股票的特定风险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11、投资存托凭证的特定风险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12、本基金法律文件风险收益特征表述与销售机构基金风险评价可能不一致的风险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13、其他风险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●《交银施罗德智选星光混合型基金中基金（FOF-LOF）基金合同》、</w:t>
      </w:r>
    </w:p>
    <w:p>
      <w:pPr>
        <w:ind w:firstLine="420"/>
        <w:jc w:val="left"/>
        <w:rPr>
          <w:rFonts w:ascii="仿宋_GB2312" w:eastAsia="仿宋_GB2312"/>
          <w:szCs w:val="21"/>
        </w:rPr>
      </w:pPr>
      <w:r>
        <w:rPr>
          <w:rFonts w:hint="eastAsia" w:ascii="仿宋_GB2312" w:eastAsia="仿宋_GB2312"/>
          <w:szCs w:val="21"/>
        </w:rPr>
        <w:t>《交银施罗德智选星光混合型基金中基金（FOF-LOF）托管协议》、</w:t>
      </w:r>
    </w:p>
    <w:p>
      <w:pPr>
        <w:ind w:firstLine="420"/>
        <w:jc w:val="left"/>
        <w:rPr>
          <w:rFonts w:ascii="仿宋_GB2312" w:eastAsia="仿宋_GB2312"/>
          <w:szCs w:val="21"/>
        </w:rPr>
      </w:pPr>
      <w:r>
        <w:rPr>
          <w:rFonts w:hint="eastAsia" w:ascii="仿宋_GB2312" w:eastAsia="仿宋_GB2312"/>
          <w:szCs w:val="21"/>
        </w:rPr>
        <w:t>《交银施罗德智选星光混合型基金中基金（FOF-LOF）招募说明书》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6B2743"/>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551477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qFormat/>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qFormat/>
    <w:uiPriority w:val="99"/>
    <w:pPr>
      <w:jc w:val="left"/>
    </w:pPr>
  </w:style>
  <w:style w:type="paragraph" w:styleId="3">
    <w:name w:val="Balloon Text"/>
    <w:basedOn w:val="1"/>
    <w:link w:val="16"/>
    <w:semiHidden/>
    <w:unhideWhenUsed/>
    <w:qFormat/>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qFormat/>
    <w:uiPriority w:val="99"/>
    <w:rPr>
      <w:b/>
      <w:bCs/>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qFormat/>
    <w:uiPriority w:val="99"/>
    <w:rPr>
      <w:sz w:val="21"/>
      <w:szCs w:val="21"/>
    </w:rPr>
  </w:style>
  <w:style w:type="character" w:customStyle="1" w:styleId="11">
    <w:name w:val="页眉 Char"/>
    <w:basedOn w:val="9"/>
    <w:link w:val="5"/>
    <w:qFormat/>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qFormat/>
    <w:uiPriority w:val="99"/>
  </w:style>
  <w:style w:type="character" w:customStyle="1" w:styleId="15">
    <w:name w:val="批注主题 Char"/>
    <w:basedOn w:val="14"/>
    <w:link w:val="6"/>
    <w:semiHidden/>
    <w:qFormat/>
    <w:uiPriority w:val="99"/>
    <w:rPr>
      <w:b/>
      <w:bCs/>
    </w:rPr>
  </w:style>
  <w:style w:type="character" w:customStyle="1" w:styleId="16">
    <w:name w:val="批注框文本 Char"/>
    <w:basedOn w:val="9"/>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960</Words>
  <Characters>5475</Characters>
  <Lines>45</Lines>
  <Paragraphs>12</Paragraphs>
  <TotalTime>0</TotalTime>
  <ScaleCrop>false</ScaleCrop>
  <LinksUpToDate>false</LinksUpToDate>
  <CharactersWithSpaces>6423</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2026-07-20T04:31:00Z</dcterms:created>
  <dc:creator>Cc</dc:creator>
  <cp:lastModifiedBy>haotingting</cp:lastModifiedBy>
  <dcterms:modified xsi:type="dcterms:W3CDTF">2026-07-20T07:05:02Z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8296E8BEB1454F64B1D6C1A68063ADC6</vt:lpwstr>
  </property>
</Properties>
</file>