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BE0EF46">
      <w:pPr>
        <w:pStyle w:val="2"/>
        <w:spacing w:before="0" w:after="0"/>
        <w:jc w:val="center"/>
        <w:rPr>
          <w:rFonts w:asciiTheme="minorEastAsia" w:hAnsiTheme="minorEastAsia" w:eastAsiaTheme="minorEastAsia"/>
          <w:color w:val="auto"/>
          <w:sz w:val="30"/>
        </w:rPr>
      </w:pPr>
      <w:bookmarkStart w:id="0" w:name="_GoBack"/>
      <w:bookmarkEnd w:id="0"/>
      <w:r>
        <w:rPr>
          <w:rFonts w:hint="eastAsia" w:asciiTheme="minorEastAsia" w:hAnsiTheme="minorEastAsia" w:eastAsiaTheme="minorEastAsia"/>
          <w:color w:val="auto"/>
          <w:sz w:val="30"/>
        </w:rPr>
        <w:t>交银施罗德</w:t>
      </w:r>
      <w:r>
        <w:rPr>
          <w:rFonts w:hint="eastAsia" w:asciiTheme="minorEastAsia" w:hAnsiTheme="minorEastAsia" w:eastAsiaTheme="minorEastAsia"/>
          <w:color w:val="auto"/>
          <w:sz w:val="30"/>
          <w:lang w:val="en-US" w:eastAsia="zh-CN"/>
        </w:rPr>
        <w:t>消费研选混合型发起式证券投资基金</w:t>
      </w:r>
      <w:r>
        <w:rPr>
          <w:rFonts w:hint="eastAsia" w:asciiTheme="minorEastAsia" w:hAnsiTheme="minorEastAsia" w:eastAsiaTheme="minorEastAsia"/>
          <w:color w:val="auto"/>
          <w:sz w:val="30"/>
        </w:rPr>
        <w:t>基金合同摘要</w:t>
      </w:r>
    </w:p>
    <w:p w14:paraId="721E9328">
      <w:pPr>
        <w:keepNext w:val="0"/>
        <w:keepLines w:val="0"/>
        <w:widowControl w:val="0"/>
        <w:suppressLineNumbers w:val="0"/>
        <w:spacing w:before="0" w:beforeAutospacing="0" w:after="0" w:afterAutospacing="0" w:line="360" w:lineRule="auto"/>
        <w:ind w:left="0" w:right="0" w:firstLine="482" w:firstLineChars="200"/>
        <w:jc w:val="both"/>
        <w:outlineLvl w:val="1"/>
        <w:rPr>
          <w:rFonts w:hint="eastAsia" w:ascii="宋体" w:hAnsi="宋体" w:eastAsia="宋体" w:cs="宋体"/>
          <w:b/>
          <w:bCs w:val="0"/>
          <w:kern w:val="2"/>
          <w:sz w:val="24"/>
          <w:szCs w:val="24"/>
          <w:lang w:val="en-US" w:eastAsia="zh-CN" w:bidi="ar"/>
        </w:rPr>
      </w:pPr>
    </w:p>
    <w:p w14:paraId="150C54EB">
      <w:pPr>
        <w:keepNext w:val="0"/>
        <w:keepLines w:val="0"/>
        <w:widowControl w:val="0"/>
        <w:suppressLineNumbers w:val="0"/>
        <w:spacing w:before="0" w:beforeAutospacing="0" w:after="0" w:afterAutospacing="0" w:line="360" w:lineRule="auto"/>
        <w:ind w:left="0" w:right="0" w:firstLine="482" w:firstLineChars="200"/>
        <w:jc w:val="both"/>
        <w:outlineLvl w:val="1"/>
        <w:rPr>
          <w:rFonts w:hint="default" w:ascii="Times New Roman" w:hAnsi="Times New Roman" w:cs="Times New Roman"/>
          <w:b/>
          <w:bCs w:val="0"/>
          <w:kern w:val="2"/>
          <w:sz w:val="24"/>
          <w:szCs w:val="24"/>
        </w:rPr>
      </w:pPr>
      <w:r>
        <w:rPr>
          <w:rFonts w:hint="eastAsia" w:ascii="宋体" w:hAnsi="宋体" w:eastAsia="宋体" w:cs="宋体"/>
          <w:b/>
          <w:bCs w:val="0"/>
          <w:kern w:val="2"/>
          <w:sz w:val="24"/>
          <w:szCs w:val="24"/>
          <w:lang w:val="en-US" w:eastAsia="zh-CN" w:bidi="ar"/>
        </w:rPr>
        <w:t>一、基金管理人、基金托管人和基金份额持有人的权利、义务</w:t>
      </w:r>
    </w:p>
    <w:p w14:paraId="3153BE58">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（一）基金管理人的权利</w:t>
      </w:r>
    </w:p>
    <w:p w14:paraId="67AABDA6">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宋体" w:cs="Times New Roman"/>
          <w:bCs/>
          <w:kern w:val="2"/>
          <w:sz w:val="24"/>
          <w:szCs w:val="24"/>
        </w:rPr>
      </w:pPr>
      <w:r>
        <w:rPr>
          <w:rFonts w:hint="eastAsia" w:ascii="宋体" w:hAnsi="宋体" w:eastAsia="宋体" w:cs="宋体"/>
          <w:bCs/>
          <w:kern w:val="2"/>
          <w:sz w:val="24"/>
          <w:szCs w:val="24"/>
          <w:lang w:val="en-US" w:eastAsia="zh-CN" w:bidi="ar"/>
        </w:rPr>
        <w:t>根据《基金法》、《运作办法》及其他有关规定，基金管理人的权利包括但不限于：</w:t>
      </w:r>
    </w:p>
    <w:p w14:paraId="7D9A92AE">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）依法募集资金；</w:t>
      </w:r>
    </w:p>
    <w:p w14:paraId="544703DF">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）自《基金合同》生效之日起，根据法律法规和《基金合同》独立运用并管理基金财产；</w:t>
      </w:r>
    </w:p>
    <w:p w14:paraId="6860897A">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）依照《基金合同》收取基金管理费以及法律法规规定或中国证监会批准的其他费用；</w:t>
      </w:r>
    </w:p>
    <w:p w14:paraId="1D28A516">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）销售基金份额；</w:t>
      </w:r>
    </w:p>
    <w:p w14:paraId="323232D4">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）按照规定召集基金份额持有人大会；</w:t>
      </w:r>
    </w:p>
    <w:p w14:paraId="10F73CF8">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）依据《基金合同》及有关法律规定监督基金托管人，如认为基金托管人违反了《基金合同》及国家有关法律规定，应呈报中国证监会和其他监管部门，并采取必要措施保护基金投资者的利益；</w:t>
      </w:r>
    </w:p>
    <w:p w14:paraId="2123B801">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）在基金托管人更换时，提名新的基金托管人；</w:t>
      </w:r>
    </w:p>
    <w:p w14:paraId="00DA0E1D">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8</w:t>
      </w:r>
      <w:r>
        <w:rPr>
          <w:rFonts w:hint="eastAsia" w:ascii="宋体" w:hAnsi="宋体" w:eastAsia="宋体" w:cs="宋体"/>
          <w:bCs/>
          <w:kern w:val="2"/>
          <w:sz w:val="24"/>
          <w:szCs w:val="24"/>
          <w:lang w:val="en-US" w:eastAsia="zh-CN" w:bidi="ar"/>
        </w:rPr>
        <w:t>）选择、更换基金销售机构，对基金销售机构的相关行为进行监督和处理；</w:t>
      </w:r>
    </w:p>
    <w:p w14:paraId="64A827D9">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9</w:t>
      </w:r>
      <w:r>
        <w:rPr>
          <w:rFonts w:hint="eastAsia" w:ascii="宋体" w:hAnsi="宋体" w:eastAsia="宋体" w:cs="宋体"/>
          <w:bCs/>
          <w:kern w:val="2"/>
          <w:sz w:val="24"/>
          <w:szCs w:val="24"/>
          <w:lang w:val="en-US" w:eastAsia="zh-CN" w:bidi="ar"/>
        </w:rPr>
        <w:t>）担任或委托其他符合条件的机构担任基金登记机构办理基金登记业务并获得《基金合同》规定的费用；</w:t>
      </w:r>
    </w:p>
    <w:p w14:paraId="298C294D">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）依据《基金合同》及有关法律规定决定基金收益的分配方案；</w:t>
      </w:r>
    </w:p>
    <w:p w14:paraId="32CC4053">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11</w:t>
      </w:r>
      <w:r>
        <w:rPr>
          <w:rFonts w:hint="eastAsia" w:ascii="宋体" w:hAnsi="宋体" w:eastAsia="宋体" w:cs="宋体"/>
          <w:bCs/>
          <w:kern w:val="2"/>
          <w:sz w:val="24"/>
          <w:szCs w:val="24"/>
          <w:lang w:val="en-US" w:eastAsia="zh-CN" w:bidi="ar"/>
        </w:rPr>
        <w:t>）在《基金合同》约定的范围内，拒绝或暂停受理申购与赎回申请；</w:t>
      </w:r>
    </w:p>
    <w:p w14:paraId="5D1442C9">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12</w:t>
      </w:r>
      <w:r>
        <w:rPr>
          <w:rFonts w:hint="eastAsia" w:ascii="宋体" w:hAnsi="宋体" w:eastAsia="宋体" w:cs="宋体"/>
          <w:bCs/>
          <w:kern w:val="2"/>
          <w:sz w:val="24"/>
          <w:szCs w:val="24"/>
          <w:lang w:val="en-US" w:eastAsia="zh-CN" w:bidi="ar"/>
        </w:rPr>
        <w:t>）依照法律法规为基金的利益对被投资公司行使股东权利，为基金的利益行使因基金财产投资于证券所产生的权利；</w:t>
      </w:r>
      <w:r>
        <w:rPr>
          <w:rFonts w:hint="default" w:ascii="Times New Roman" w:hAnsi="Times New Roman" w:eastAsia="宋体" w:cs="Times New Roman"/>
          <w:bCs/>
          <w:kern w:val="2"/>
          <w:sz w:val="24"/>
          <w:szCs w:val="24"/>
          <w:lang w:val="en-US" w:eastAsia="zh-CN" w:bidi="ar"/>
        </w:rPr>
        <w:tab/>
      </w:r>
    </w:p>
    <w:p w14:paraId="1481985F">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13</w:t>
      </w:r>
      <w:r>
        <w:rPr>
          <w:rFonts w:hint="eastAsia" w:ascii="宋体" w:hAnsi="宋体" w:eastAsia="宋体" w:cs="宋体"/>
          <w:bCs/>
          <w:kern w:val="2"/>
          <w:sz w:val="24"/>
          <w:szCs w:val="24"/>
          <w:lang w:val="en-US" w:eastAsia="zh-CN" w:bidi="ar"/>
        </w:rPr>
        <w:t>）在法律法规允许的前提下，为基金的利益依法为基金进行融资；</w:t>
      </w:r>
    </w:p>
    <w:p w14:paraId="4FB631C6">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14</w:t>
      </w:r>
      <w:r>
        <w:rPr>
          <w:rFonts w:hint="eastAsia" w:ascii="宋体" w:hAnsi="宋体" w:eastAsia="宋体" w:cs="宋体"/>
          <w:bCs/>
          <w:kern w:val="2"/>
          <w:sz w:val="24"/>
          <w:szCs w:val="24"/>
          <w:lang w:val="en-US" w:eastAsia="zh-CN" w:bidi="ar"/>
        </w:rPr>
        <w:t>）以基金管理人的名义，代表基金份额持有人的利益行使诉讼权利或者实施其他法律行为；</w:t>
      </w:r>
      <w:r>
        <w:rPr>
          <w:rFonts w:hint="default" w:ascii="Times New Roman" w:hAnsi="Times New Roman" w:eastAsia="宋体" w:cs="Times New Roman"/>
          <w:bCs/>
          <w:kern w:val="2"/>
          <w:sz w:val="24"/>
          <w:szCs w:val="24"/>
          <w:lang w:val="en-US" w:eastAsia="zh-CN" w:bidi="ar"/>
        </w:rPr>
        <w:tab/>
      </w:r>
    </w:p>
    <w:p w14:paraId="65E2F0DE">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15</w:t>
      </w:r>
      <w:r>
        <w:rPr>
          <w:rFonts w:hint="eastAsia" w:ascii="宋体" w:hAnsi="宋体" w:eastAsia="宋体" w:cs="宋体"/>
          <w:bCs/>
          <w:kern w:val="2"/>
          <w:sz w:val="24"/>
          <w:szCs w:val="24"/>
          <w:lang w:val="en-US" w:eastAsia="zh-CN" w:bidi="ar"/>
        </w:rPr>
        <w:t>）选择、更换律师事务所、会计师事务所、证券经纪商、期货经纪机构或其他为基金提供服务的外部机构；</w:t>
      </w:r>
      <w:r>
        <w:rPr>
          <w:rFonts w:hint="default" w:ascii="Times New Roman" w:hAnsi="Times New Roman" w:eastAsia="宋体" w:cs="Times New Roman"/>
          <w:bCs/>
          <w:kern w:val="2"/>
          <w:sz w:val="24"/>
          <w:szCs w:val="24"/>
          <w:lang w:val="en-US" w:eastAsia="zh-CN" w:bidi="ar"/>
        </w:rPr>
        <w:tab/>
      </w:r>
    </w:p>
    <w:p w14:paraId="04323918">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16</w:t>
      </w:r>
      <w:r>
        <w:rPr>
          <w:rFonts w:hint="eastAsia" w:ascii="宋体" w:hAnsi="宋体" w:eastAsia="宋体" w:cs="宋体"/>
          <w:bCs/>
          <w:kern w:val="2"/>
          <w:sz w:val="24"/>
          <w:szCs w:val="24"/>
          <w:lang w:val="en-US" w:eastAsia="zh-CN" w:bidi="ar"/>
        </w:rPr>
        <w:t>）在符合有关法律、法规的前提下，制定和调整有关基金认购、申购、赎回、转换等的业务规则；</w:t>
      </w:r>
    </w:p>
    <w:p w14:paraId="465CAB2E">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17</w:t>
      </w:r>
      <w:r>
        <w:rPr>
          <w:rFonts w:hint="eastAsia" w:ascii="宋体" w:hAnsi="宋体" w:eastAsia="宋体" w:cs="宋体"/>
          <w:bCs/>
          <w:kern w:val="2"/>
          <w:sz w:val="24"/>
          <w:szCs w:val="24"/>
          <w:lang w:val="en-US" w:eastAsia="zh-CN" w:bidi="ar"/>
        </w:rPr>
        <w:t>）法律法规及中国证监会规定的和《基金合同》约定的其他权利。</w:t>
      </w:r>
    </w:p>
    <w:p w14:paraId="0896EBEF">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（二）基金管理人的义务</w:t>
      </w:r>
    </w:p>
    <w:p w14:paraId="3B0EB0D6">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根据《基金法》、《运作办法》及其他有关规定，基金管理人的义务包括但不限于：</w:t>
      </w:r>
    </w:p>
    <w:p w14:paraId="4EBC028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）依法募集资金，办理或者委托经中国证监会认定的其他机构办理基金份额的发售、申购、赎回和登记事宜；</w:t>
      </w:r>
    </w:p>
    <w:p w14:paraId="3820639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）办理基金备案手续；</w:t>
      </w:r>
    </w:p>
    <w:p w14:paraId="049DDDF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）自《基金合同》生效之日起，以诚实信用、谨慎勤勉的原则管理和运用基金财产；</w:t>
      </w:r>
    </w:p>
    <w:p w14:paraId="7ADEF54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）配备足够的具有专业资格的人员进行基金投资分析、决策，以专业化的经营方式管理和运作基金财产；</w:t>
      </w:r>
    </w:p>
    <w:p w14:paraId="28A16C8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）建立健全内部风险控制、监察与稽核、财务管理及人事管理等制度，保证所管理的基金财产和基金管理人的财产相互独立，对所管理的不同基金分别管理，分别记账，进行证券投资；</w:t>
      </w:r>
    </w:p>
    <w:p w14:paraId="293C44D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）除依据《基金法》、《基金合同》及其他有关规定外，不得利用基金财产为自己及任何第三人谋取利益，不得委托第三人运作基金财产；</w:t>
      </w:r>
    </w:p>
    <w:p w14:paraId="236E2E5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）依法接受基金托管人的监督；</w:t>
      </w:r>
    </w:p>
    <w:p w14:paraId="6CDC7FE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8</w:t>
      </w:r>
      <w:r>
        <w:rPr>
          <w:rFonts w:hint="eastAsia" w:ascii="宋体" w:hAnsi="宋体" w:eastAsia="宋体" w:cs="宋体"/>
          <w:bCs/>
          <w:kern w:val="2"/>
          <w:sz w:val="24"/>
          <w:szCs w:val="24"/>
          <w:lang w:val="en-US" w:eastAsia="zh-CN" w:bidi="ar"/>
        </w:rPr>
        <w:t>）采取适当合理的措施使计算基金份额认购、申购、赎回和注销价格的方法符合《基金合同》等法律文件的规定，按有关规定计算并公告基金净值信息，确定基金份额申购、赎回的价格；</w:t>
      </w:r>
    </w:p>
    <w:p w14:paraId="3BD87A6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9</w:t>
      </w:r>
      <w:r>
        <w:rPr>
          <w:rFonts w:hint="eastAsia" w:ascii="宋体" w:hAnsi="宋体" w:eastAsia="宋体" w:cs="宋体"/>
          <w:bCs/>
          <w:kern w:val="2"/>
          <w:sz w:val="24"/>
          <w:szCs w:val="24"/>
          <w:lang w:val="en-US" w:eastAsia="zh-CN" w:bidi="ar"/>
        </w:rPr>
        <w:t>）进行基金会计核算并编制基金财务会计报告；</w:t>
      </w:r>
    </w:p>
    <w:p w14:paraId="00F410A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）编制季度报告、中期报告和年度报告；</w:t>
      </w:r>
    </w:p>
    <w:p w14:paraId="2446BC7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11</w:t>
      </w:r>
      <w:r>
        <w:rPr>
          <w:rFonts w:hint="eastAsia" w:ascii="宋体" w:hAnsi="宋体" w:eastAsia="宋体" w:cs="宋体"/>
          <w:bCs/>
          <w:kern w:val="2"/>
          <w:sz w:val="24"/>
          <w:szCs w:val="24"/>
          <w:lang w:val="en-US" w:eastAsia="zh-CN" w:bidi="ar"/>
        </w:rPr>
        <w:t>）严格按照《基金法》、《基金合同》及其他有关规定，履行信息披露及报告义务；</w:t>
      </w:r>
    </w:p>
    <w:p w14:paraId="770ADA4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12</w:t>
      </w:r>
      <w:r>
        <w:rPr>
          <w:rFonts w:hint="eastAsia" w:ascii="宋体" w:hAnsi="宋体" w:eastAsia="宋体" w:cs="宋体"/>
          <w:bCs/>
          <w:kern w:val="2"/>
          <w:sz w:val="24"/>
          <w:szCs w:val="24"/>
          <w:lang w:val="en-US" w:eastAsia="zh-CN" w:bidi="ar"/>
        </w:rPr>
        <w:t>）保守基金商业秘密，不泄露基金投资计划、投资意向等。除《基金法》、《基金合同》及其他有关规定另有规定外，在基金信息公开披露前应予保密，不向他人泄露；但根据监管机构、司法机关等有权机关的要求提供，或因审计、法律等外部专业顾问提供服务需要提供的情况除外；</w:t>
      </w:r>
    </w:p>
    <w:p w14:paraId="6855FF4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13</w:t>
      </w:r>
      <w:r>
        <w:rPr>
          <w:rFonts w:hint="eastAsia" w:ascii="宋体" w:hAnsi="宋体" w:eastAsia="宋体" w:cs="宋体"/>
          <w:bCs/>
          <w:kern w:val="2"/>
          <w:sz w:val="24"/>
          <w:szCs w:val="24"/>
          <w:lang w:val="en-US" w:eastAsia="zh-CN" w:bidi="ar"/>
        </w:rPr>
        <w:t>）按《基金合同》的约定确定基金收益分配方案，及时向基金份额持有人分配基金收益；</w:t>
      </w:r>
    </w:p>
    <w:p w14:paraId="76AD2EB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14</w:t>
      </w:r>
      <w:r>
        <w:rPr>
          <w:rFonts w:hint="eastAsia" w:ascii="宋体" w:hAnsi="宋体" w:eastAsia="宋体" w:cs="宋体"/>
          <w:bCs/>
          <w:kern w:val="2"/>
          <w:sz w:val="24"/>
          <w:szCs w:val="24"/>
          <w:lang w:val="en-US" w:eastAsia="zh-CN" w:bidi="ar"/>
        </w:rPr>
        <w:t>）按规定受理申购与赎回申请，及时、足额支付赎回款项；</w:t>
      </w:r>
    </w:p>
    <w:p w14:paraId="5F476F8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15</w:t>
      </w:r>
      <w:r>
        <w:rPr>
          <w:rFonts w:hint="eastAsia" w:ascii="宋体" w:hAnsi="宋体" w:eastAsia="宋体" w:cs="宋体"/>
          <w:bCs/>
          <w:kern w:val="2"/>
          <w:sz w:val="24"/>
          <w:szCs w:val="24"/>
          <w:lang w:val="en-US" w:eastAsia="zh-CN" w:bidi="ar"/>
        </w:rPr>
        <w:t>）依据《基金法》、《基金合同》及其他有关规定召集基金份额持有人大会或配合基金托管人、基金份额持有人依法召集基金份额持有人大会；</w:t>
      </w:r>
    </w:p>
    <w:p w14:paraId="220F1A4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16</w:t>
      </w:r>
      <w:r>
        <w:rPr>
          <w:rFonts w:hint="eastAsia" w:ascii="宋体" w:hAnsi="宋体" w:eastAsia="宋体" w:cs="宋体"/>
          <w:bCs/>
          <w:kern w:val="2"/>
          <w:sz w:val="24"/>
          <w:szCs w:val="24"/>
          <w:lang w:val="en-US" w:eastAsia="zh-CN" w:bidi="ar"/>
        </w:rPr>
        <w:t>）按规定保存基金财产管理业务活动的会计账册、报表、记录和其他相关资料不低于法律法规规定的最低期限；</w:t>
      </w:r>
    </w:p>
    <w:p w14:paraId="7A2FC7F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17</w:t>
      </w:r>
      <w:r>
        <w:rPr>
          <w:rFonts w:hint="eastAsia" w:ascii="宋体" w:hAnsi="宋体" w:eastAsia="宋体" w:cs="宋体"/>
          <w:bCs/>
          <w:kern w:val="2"/>
          <w:sz w:val="24"/>
          <w:szCs w:val="24"/>
          <w:lang w:val="en-US" w:eastAsia="zh-CN" w:bidi="ar"/>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482A86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18</w:t>
      </w:r>
      <w:r>
        <w:rPr>
          <w:rFonts w:hint="eastAsia" w:ascii="宋体" w:hAnsi="宋体" w:eastAsia="宋体" w:cs="宋体"/>
          <w:bCs/>
          <w:kern w:val="2"/>
          <w:sz w:val="24"/>
          <w:szCs w:val="24"/>
          <w:lang w:val="en-US" w:eastAsia="zh-CN" w:bidi="ar"/>
        </w:rPr>
        <w:t>）组织并参加基金财产清算小组，参与基金财产的保管、清理、估价、变现和分配；</w:t>
      </w:r>
    </w:p>
    <w:p w14:paraId="764B630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19</w:t>
      </w:r>
      <w:r>
        <w:rPr>
          <w:rFonts w:hint="eastAsia" w:ascii="宋体" w:hAnsi="宋体" w:eastAsia="宋体" w:cs="宋体"/>
          <w:bCs/>
          <w:kern w:val="2"/>
          <w:sz w:val="24"/>
          <w:szCs w:val="24"/>
          <w:lang w:val="en-US" w:eastAsia="zh-CN" w:bidi="ar"/>
        </w:rPr>
        <w:t>）面临解散、依法被撤销或者被依法宣告破产时，及时报告中国证监会，并通知基金托管人；</w:t>
      </w:r>
    </w:p>
    <w:p w14:paraId="08936DE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20</w:t>
      </w:r>
      <w:r>
        <w:rPr>
          <w:rFonts w:hint="eastAsia" w:ascii="宋体" w:hAnsi="宋体" w:eastAsia="宋体" w:cs="宋体"/>
          <w:bCs/>
          <w:kern w:val="2"/>
          <w:sz w:val="24"/>
          <w:szCs w:val="24"/>
          <w:lang w:val="en-US" w:eastAsia="zh-CN" w:bidi="ar"/>
        </w:rPr>
        <w:t>）因违反《基金合同》导致基金财产的损失或损害基金份额持有人合法权益时，应当承担赔偿责任，其赔偿责任不因其退任而免除；</w:t>
      </w:r>
    </w:p>
    <w:p w14:paraId="700E729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21</w:t>
      </w:r>
      <w:r>
        <w:rPr>
          <w:rFonts w:hint="eastAsia" w:ascii="宋体" w:hAnsi="宋体" w:eastAsia="宋体" w:cs="宋体"/>
          <w:bCs/>
          <w:kern w:val="2"/>
          <w:sz w:val="24"/>
          <w:szCs w:val="24"/>
          <w:lang w:val="en-US" w:eastAsia="zh-CN" w:bidi="ar"/>
        </w:rPr>
        <w:t>）监督基金托管人按法律法规和《基金合同》规定履行自己的义务，基金托管人违反《基金合同》造成基金财产损失时，基金管理人应为基金份额持有人利益向基金托管人追偿；</w:t>
      </w:r>
    </w:p>
    <w:p w14:paraId="7810B8C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22</w:t>
      </w:r>
      <w:r>
        <w:rPr>
          <w:rFonts w:hint="eastAsia" w:ascii="宋体" w:hAnsi="宋体" w:eastAsia="宋体" w:cs="宋体"/>
          <w:bCs/>
          <w:kern w:val="2"/>
          <w:sz w:val="24"/>
          <w:szCs w:val="24"/>
          <w:lang w:val="en-US" w:eastAsia="zh-CN" w:bidi="ar"/>
        </w:rPr>
        <w:t>）当基金管理人将其义务委托第三方处理时，应当对第三方处理有关基金事务的行为承担责任；</w:t>
      </w:r>
    </w:p>
    <w:p w14:paraId="2646546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23</w:t>
      </w:r>
      <w:r>
        <w:rPr>
          <w:rFonts w:hint="eastAsia" w:ascii="宋体" w:hAnsi="宋体" w:eastAsia="宋体" w:cs="宋体"/>
          <w:bCs/>
          <w:kern w:val="2"/>
          <w:sz w:val="24"/>
          <w:szCs w:val="24"/>
          <w:lang w:val="en-US" w:eastAsia="zh-CN" w:bidi="ar"/>
        </w:rPr>
        <w:t>）以基金管理人名义，代表基金份额持有人利益行使诉讼权利或实施其他法律行为；</w:t>
      </w:r>
      <w:r>
        <w:rPr>
          <w:rFonts w:hint="eastAsia" w:ascii="宋体" w:hAnsi="宋体" w:eastAsia="宋体" w:cs="宋体"/>
          <w:bCs/>
          <w:kern w:val="2"/>
          <w:sz w:val="24"/>
          <w:szCs w:val="24"/>
          <w:lang w:val="en-US" w:eastAsia="zh-CN" w:bidi="ar"/>
        </w:rPr>
        <w:tab/>
      </w:r>
    </w:p>
    <w:p w14:paraId="41986E8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24</w:t>
      </w:r>
      <w:r>
        <w:rPr>
          <w:rFonts w:hint="eastAsia" w:ascii="宋体" w:hAnsi="宋体" w:eastAsia="宋体" w:cs="宋体"/>
          <w:bCs/>
          <w:kern w:val="2"/>
          <w:sz w:val="24"/>
          <w:szCs w:val="24"/>
          <w:lang w:val="en-US" w:eastAsia="zh-CN" w:bidi="ar"/>
        </w:rPr>
        <w:t>）基金管理人在募集期间未能达到基金的备案条件，《基金合同》不能生效，基金管理人承担因募集行为而产生的债务和费用，将已募集资金并加计银行同期活期存款利息在基金募集期结束后</w:t>
      </w:r>
      <w:r>
        <w:rPr>
          <w:rFonts w:hint="default" w:ascii="Times New Roman" w:hAnsi="Times New Roman" w:eastAsia="宋体" w:cs="Times New Roman"/>
          <w:bCs/>
          <w:kern w:val="2"/>
          <w:sz w:val="24"/>
          <w:szCs w:val="24"/>
          <w:lang w:val="en-US" w:eastAsia="zh-CN" w:bidi="ar"/>
        </w:rPr>
        <w:t>30</w:t>
      </w:r>
      <w:r>
        <w:rPr>
          <w:rFonts w:hint="eastAsia" w:ascii="宋体" w:hAnsi="宋体" w:eastAsia="宋体" w:cs="宋体"/>
          <w:bCs/>
          <w:kern w:val="2"/>
          <w:sz w:val="24"/>
          <w:szCs w:val="24"/>
          <w:lang w:val="en-US" w:eastAsia="zh-CN" w:bidi="ar"/>
        </w:rPr>
        <w:t>日内退还基金认购人；</w:t>
      </w:r>
    </w:p>
    <w:p w14:paraId="13022E3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25</w:t>
      </w:r>
      <w:r>
        <w:rPr>
          <w:rFonts w:hint="eastAsia" w:ascii="宋体" w:hAnsi="宋体" w:eastAsia="宋体" w:cs="宋体"/>
          <w:bCs/>
          <w:kern w:val="2"/>
          <w:sz w:val="24"/>
          <w:szCs w:val="24"/>
          <w:lang w:val="en-US" w:eastAsia="zh-CN" w:bidi="ar"/>
        </w:rPr>
        <w:t>）执行生效的基金份额持有人大会的决议；</w:t>
      </w:r>
    </w:p>
    <w:p w14:paraId="62A5A79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26</w:t>
      </w:r>
      <w:r>
        <w:rPr>
          <w:rFonts w:hint="eastAsia" w:ascii="宋体" w:hAnsi="宋体" w:eastAsia="宋体" w:cs="宋体"/>
          <w:bCs/>
          <w:kern w:val="2"/>
          <w:sz w:val="24"/>
          <w:szCs w:val="24"/>
          <w:lang w:val="en-US" w:eastAsia="zh-CN" w:bidi="ar"/>
        </w:rPr>
        <w:t>）建立并保存基金份额持有人名册；</w:t>
      </w:r>
    </w:p>
    <w:p w14:paraId="6979C00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27</w:t>
      </w:r>
      <w:r>
        <w:rPr>
          <w:rFonts w:hint="eastAsia" w:ascii="宋体" w:hAnsi="宋体" w:eastAsia="宋体" w:cs="宋体"/>
          <w:bCs/>
          <w:kern w:val="2"/>
          <w:sz w:val="24"/>
          <w:szCs w:val="24"/>
          <w:lang w:val="en-US" w:eastAsia="zh-CN" w:bidi="ar"/>
        </w:rPr>
        <w:t>）法律法规及中国证监会规定的和《基金合同》约定的其他义务。</w:t>
      </w:r>
    </w:p>
    <w:p w14:paraId="1178E6D5">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（三）基金托管人的权利</w:t>
      </w:r>
    </w:p>
    <w:p w14:paraId="79BE80C0">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宋体" w:cs="Times New Roman"/>
          <w:bCs/>
          <w:kern w:val="2"/>
          <w:sz w:val="24"/>
          <w:szCs w:val="24"/>
        </w:rPr>
      </w:pPr>
      <w:r>
        <w:rPr>
          <w:rFonts w:hint="eastAsia" w:ascii="宋体" w:hAnsi="宋体" w:eastAsia="宋体" w:cs="宋体"/>
          <w:bCs/>
          <w:kern w:val="2"/>
          <w:sz w:val="24"/>
          <w:szCs w:val="24"/>
          <w:lang w:val="en-US" w:eastAsia="zh-CN" w:bidi="ar"/>
        </w:rPr>
        <w:t>根据《基金法》、《运作办法》及其他有关规定，基金托管人的权利包括但不限于：</w:t>
      </w:r>
    </w:p>
    <w:p w14:paraId="3C0EDE72">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）自《基金合同》生效之日起，依法律法规和《基金合同》的规定安全保管基金财产；</w:t>
      </w:r>
    </w:p>
    <w:p w14:paraId="38A0E6AF">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）依《基金合同》约定获得基金托管费以及法律法规规定或监管部门批准的其他费用；</w:t>
      </w:r>
    </w:p>
    <w:p w14:paraId="4554B9A9">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2571F3E">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）根据相关市场规则，为基金开设资金账户、证券账户等投资所需账户，为基金办理证券、期货交易资金清算；</w:t>
      </w:r>
    </w:p>
    <w:p w14:paraId="571891E4">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）提议召开或召集基金份额持有人大会；</w:t>
      </w:r>
    </w:p>
    <w:p w14:paraId="3E314B62">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）在基金管理人更换时，提名新的基金管理人；</w:t>
      </w:r>
    </w:p>
    <w:p w14:paraId="4E4C02D9">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）法律法规及中国证监会规定的和《基金合同》约定的其他权利。</w:t>
      </w:r>
    </w:p>
    <w:p w14:paraId="5E20342A">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kern w:val="2"/>
          <w:sz w:val="24"/>
          <w:szCs w:val="24"/>
        </w:rPr>
      </w:pPr>
      <w:r>
        <w:rPr>
          <w:rFonts w:hint="eastAsia" w:ascii="宋体" w:hAnsi="宋体" w:eastAsia="宋体" w:cs="宋体"/>
          <w:bCs/>
          <w:kern w:val="2"/>
          <w:sz w:val="24"/>
          <w:szCs w:val="24"/>
          <w:lang w:val="en-US" w:eastAsia="zh-CN" w:bidi="ar"/>
        </w:rPr>
        <w:t>（四）</w:t>
      </w:r>
      <w:r>
        <w:rPr>
          <w:rFonts w:hint="eastAsia" w:ascii="宋体" w:hAnsi="宋体" w:eastAsia="宋体" w:cs="宋体"/>
          <w:kern w:val="2"/>
          <w:sz w:val="24"/>
          <w:szCs w:val="24"/>
          <w:lang w:val="en-US" w:eastAsia="zh-CN" w:bidi="ar"/>
        </w:rPr>
        <w:t>基金托管人的义务</w:t>
      </w:r>
    </w:p>
    <w:p w14:paraId="05A1082F">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Times New Roman" w:hAnsi="宋体" w:cs="Times New Roman"/>
          <w:bCs/>
          <w:kern w:val="2"/>
          <w:sz w:val="24"/>
          <w:szCs w:val="24"/>
        </w:rPr>
      </w:pPr>
      <w:r>
        <w:rPr>
          <w:rFonts w:hint="eastAsia" w:ascii="宋体" w:hAnsi="宋体" w:eastAsia="宋体" w:cs="宋体"/>
          <w:bCs/>
          <w:kern w:val="2"/>
          <w:sz w:val="24"/>
          <w:szCs w:val="24"/>
          <w:lang w:val="en-US" w:eastAsia="zh-CN" w:bidi="ar"/>
        </w:rPr>
        <w:t>根据《基金法》、《运作办法》及其他有关规定，基金托管人的义务包括但不限于：</w:t>
      </w:r>
    </w:p>
    <w:p w14:paraId="7D1E1E35">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）以诚实信用、勤勉尽责的原则持有并安全保管基金财产；</w:t>
      </w:r>
    </w:p>
    <w:p w14:paraId="4BA85D48">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）设立专门的基金托管部门，具有符合要求的营业场所，配备足够的、合格的熟悉基金托管业务的专职人员，负责基金财产托管事宜；</w:t>
      </w:r>
    </w:p>
    <w:p w14:paraId="4F3E622E">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2EA972A">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）除依据《基金法》、《基金合同》及其他有关规定外，不得利用基金财产为自己及任何第三人谋取利益，不得委托第三人托管基金财产；</w:t>
      </w:r>
    </w:p>
    <w:p w14:paraId="4A2A684A">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）保管由基金管理人代表基金签订的与基金有关的重大合同及有关凭证；</w:t>
      </w:r>
    </w:p>
    <w:p w14:paraId="3D47790C">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）按规定开设基金财产的资金账户、证券账户等投资所需账户，按照《基金合同》的约定，根据基金管理人的投资指令，及时办理清算、交割事宜；</w:t>
      </w:r>
    </w:p>
    <w:p w14:paraId="74995BAB">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保守基金商业秘密，除《基金法》、《基金合同》及其他有关规定另有规定外，在基金信息公开披露前予以保密，不得向他人泄露；但根据监管机构、司法机关等有权机关的要求提供，或因审计、法律等外部专业顾问提供服务需要提供的情况除外；</w:t>
      </w:r>
    </w:p>
    <w:p w14:paraId="0D08697A">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8</w:t>
      </w:r>
      <w:r>
        <w:rPr>
          <w:rFonts w:hint="eastAsia" w:ascii="宋体" w:hAnsi="宋体" w:eastAsia="宋体" w:cs="宋体"/>
          <w:bCs/>
          <w:kern w:val="2"/>
          <w:sz w:val="24"/>
          <w:szCs w:val="24"/>
          <w:lang w:val="en-US" w:eastAsia="zh-CN" w:bidi="ar"/>
        </w:rPr>
        <w:t>）复核、审查基金管理人计算的基金资产净值、各类基金份额净值、基金份额申购、赎回价格；</w:t>
      </w:r>
    </w:p>
    <w:p w14:paraId="3AB286A7">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9</w:t>
      </w:r>
      <w:r>
        <w:rPr>
          <w:rFonts w:hint="eastAsia" w:ascii="宋体" w:hAnsi="宋体" w:eastAsia="宋体" w:cs="宋体"/>
          <w:bCs/>
          <w:kern w:val="2"/>
          <w:sz w:val="24"/>
          <w:szCs w:val="24"/>
          <w:lang w:val="en-US" w:eastAsia="zh-CN" w:bidi="ar"/>
        </w:rPr>
        <w:t>）办理与基金托管业务活动有关的信息披露事项；</w:t>
      </w:r>
    </w:p>
    <w:p w14:paraId="1117EF8A">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51A3D4A0">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11</w:t>
      </w:r>
      <w:r>
        <w:rPr>
          <w:rFonts w:hint="eastAsia" w:ascii="宋体" w:hAnsi="宋体" w:eastAsia="宋体" w:cs="宋体"/>
          <w:bCs/>
          <w:kern w:val="2"/>
          <w:sz w:val="24"/>
          <w:szCs w:val="24"/>
          <w:lang w:val="en-US" w:eastAsia="zh-CN" w:bidi="ar"/>
        </w:rPr>
        <w:t>）保存基金托管业务活动的记录、账册、报表和其他相关资料不低于法律法规规定的最低期限；</w:t>
      </w:r>
    </w:p>
    <w:p w14:paraId="60A811C7">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12</w:t>
      </w:r>
      <w:r>
        <w:rPr>
          <w:rFonts w:hint="eastAsia" w:ascii="宋体" w:hAnsi="宋体" w:eastAsia="宋体" w:cs="宋体"/>
          <w:bCs/>
          <w:kern w:val="2"/>
          <w:sz w:val="24"/>
          <w:szCs w:val="24"/>
          <w:lang w:val="en-US" w:eastAsia="zh-CN" w:bidi="ar"/>
        </w:rPr>
        <w:t>）建立并保存基金份额持有人名册；</w:t>
      </w:r>
    </w:p>
    <w:p w14:paraId="3310B1A0">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13</w:t>
      </w:r>
      <w:r>
        <w:rPr>
          <w:rFonts w:hint="eastAsia" w:ascii="宋体" w:hAnsi="宋体" w:eastAsia="宋体" w:cs="宋体"/>
          <w:bCs/>
          <w:kern w:val="2"/>
          <w:sz w:val="24"/>
          <w:szCs w:val="24"/>
          <w:lang w:val="en-US" w:eastAsia="zh-CN" w:bidi="ar"/>
        </w:rPr>
        <w:t>）按规定制作相关账册并与基金管理人核对；</w:t>
      </w:r>
    </w:p>
    <w:p w14:paraId="3B80A9CE">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14</w:t>
      </w:r>
      <w:r>
        <w:rPr>
          <w:rFonts w:hint="eastAsia" w:ascii="宋体" w:hAnsi="宋体" w:eastAsia="宋体" w:cs="宋体"/>
          <w:bCs/>
          <w:kern w:val="2"/>
          <w:sz w:val="24"/>
          <w:szCs w:val="24"/>
          <w:lang w:val="en-US" w:eastAsia="zh-CN" w:bidi="ar"/>
        </w:rPr>
        <w:t>）依据基金管理人的指令或有关规定向基金份额持有人支付基金收益和赎回款项；</w:t>
      </w:r>
    </w:p>
    <w:p w14:paraId="701B1FEB">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15</w:t>
      </w:r>
      <w:r>
        <w:rPr>
          <w:rFonts w:hint="eastAsia" w:ascii="宋体" w:hAnsi="宋体" w:eastAsia="宋体" w:cs="宋体"/>
          <w:bCs/>
          <w:kern w:val="2"/>
          <w:sz w:val="24"/>
          <w:szCs w:val="24"/>
          <w:lang w:val="en-US" w:eastAsia="zh-CN" w:bidi="ar"/>
        </w:rPr>
        <w:t>）依据《基金法》、《基金合同》及其他有关规定，召集基金份额持有人大会或配合基金管理人、基金份额持有人依法召集基金份额持有人大会；</w:t>
      </w:r>
    </w:p>
    <w:p w14:paraId="1C6F1ADC">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16</w:t>
      </w:r>
      <w:r>
        <w:rPr>
          <w:rFonts w:hint="eastAsia" w:ascii="宋体" w:hAnsi="宋体" w:eastAsia="宋体" w:cs="宋体"/>
          <w:bCs/>
          <w:kern w:val="2"/>
          <w:sz w:val="24"/>
          <w:szCs w:val="24"/>
          <w:lang w:val="en-US" w:eastAsia="zh-CN" w:bidi="ar"/>
        </w:rPr>
        <w:t>）按照法律法规和《基金合同》的规定监督基金管理人的投资运作；</w:t>
      </w:r>
    </w:p>
    <w:p w14:paraId="6549CB35">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17</w:t>
      </w:r>
      <w:r>
        <w:rPr>
          <w:rFonts w:hint="eastAsia" w:ascii="宋体" w:hAnsi="宋体" w:eastAsia="宋体" w:cs="宋体"/>
          <w:bCs/>
          <w:kern w:val="2"/>
          <w:sz w:val="24"/>
          <w:szCs w:val="24"/>
          <w:lang w:val="en-US" w:eastAsia="zh-CN" w:bidi="ar"/>
        </w:rPr>
        <w:t>）参加基金财产清算小组，参与基金财产的保管、清理、估价、变现和分配；</w:t>
      </w:r>
    </w:p>
    <w:p w14:paraId="560F7A8C">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18</w:t>
      </w:r>
      <w:r>
        <w:rPr>
          <w:rFonts w:hint="eastAsia" w:ascii="宋体" w:hAnsi="宋体" w:eastAsia="宋体" w:cs="宋体"/>
          <w:bCs/>
          <w:kern w:val="2"/>
          <w:sz w:val="24"/>
          <w:szCs w:val="24"/>
          <w:lang w:val="en-US" w:eastAsia="zh-CN" w:bidi="ar"/>
        </w:rPr>
        <w:t>）面临解散、依法被撤销或者被依法宣告破产时，及时报告中国证监会和银行业监督管理机构，并通知基金管理人；</w:t>
      </w:r>
    </w:p>
    <w:p w14:paraId="5359149E">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19</w:t>
      </w:r>
      <w:r>
        <w:rPr>
          <w:rFonts w:hint="eastAsia" w:ascii="宋体" w:hAnsi="宋体" w:eastAsia="宋体" w:cs="宋体"/>
          <w:bCs/>
          <w:kern w:val="2"/>
          <w:sz w:val="24"/>
          <w:szCs w:val="24"/>
          <w:lang w:val="en-US" w:eastAsia="zh-CN" w:bidi="ar"/>
        </w:rPr>
        <w:t>）因违反《基金合同》导致基金财产损失时，应承担赔偿责任，其赔偿责任不因其退任而免除；</w:t>
      </w:r>
    </w:p>
    <w:p w14:paraId="63054819">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20</w:t>
      </w:r>
      <w:r>
        <w:rPr>
          <w:rFonts w:hint="eastAsia" w:ascii="宋体" w:hAnsi="宋体" w:eastAsia="宋体" w:cs="宋体"/>
          <w:bCs/>
          <w:kern w:val="2"/>
          <w:sz w:val="24"/>
          <w:szCs w:val="24"/>
          <w:lang w:val="en-US" w:eastAsia="zh-CN" w:bidi="ar"/>
        </w:rPr>
        <w:t>）按规定监督基金管理人按法律法规和《基金合同》规定履行自己的义务，基金管理人因违反《基金合同》造成基金财产损失时，应为基金份额持有人利益向基金管理人追偿；</w:t>
      </w:r>
    </w:p>
    <w:p w14:paraId="3CF0E127">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21</w:t>
      </w:r>
      <w:r>
        <w:rPr>
          <w:rFonts w:hint="eastAsia" w:ascii="宋体" w:hAnsi="宋体" w:eastAsia="宋体" w:cs="宋体"/>
          <w:bCs/>
          <w:kern w:val="2"/>
          <w:sz w:val="24"/>
          <w:szCs w:val="24"/>
          <w:lang w:val="en-US" w:eastAsia="zh-CN" w:bidi="ar"/>
        </w:rPr>
        <w:t>）执行生效的基金份额持有人大会的决议；</w:t>
      </w:r>
    </w:p>
    <w:p w14:paraId="140D831E">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22</w:t>
      </w:r>
      <w:r>
        <w:rPr>
          <w:rFonts w:hint="eastAsia" w:ascii="宋体" w:hAnsi="宋体" w:eastAsia="宋体" w:cs="宋体"/>
          <w:bCs/>
          <w:kern w:val="2"/>
          <w:sz w:val="24"/>
          <w:szCs w:val="24"/>
          <w:lang w:val="en-US" w:eastAsia="zh-CN" w:bidi="ar"/>
        </w:rPr>
        <w:t>）法律法规及中国证监会规定的和《基金合同》约定的其他义务。</w:t>
      </w:r>
    </w:p>
    <w:p w14:paraId="1A546D50">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（五）托管人不承担以下职责：</w:t>
      </w:r>
    </w:p>
    <w:p w14:paraId="1622D8FF">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）承担托管产品财产的信用风险、市场风险等；</w:t>
      </w:r>
    </w:p>
    <w:p w14:paraId="4FB10515">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）为托管产品提供直接或间接、显性或隐性担保，包括承诺本金或保证收益；</w:t>
      </w:r>
    </w:p>
    <w:p w14:paraId="4E2FF0BE">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）为托管产品垫付资金、提供流动性支持或融资承诺等；</w:t>
      </w:r>
    </w:p>
    <w:p w14:paraId="142857FB">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 xml:space="preserve">）参与投资者适当性管理； </w:t>
      </w:r>
    </w:p>
    <w:p w14:paraId="5F94EDE0">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 xml:space="preserve">）保证投资项目及交易信息真实性； </w:t>
      </w:r>
    </w:p>
    <w:p w14:paraId="4DB0D162">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）保证托管产品资金来源的合法合规性；</w:t>
      </w:r>
    </w:p>
    <w:p w14:paraId="1A87AD23">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）对已划出托管账户以及处于托管人实际控制之外的资产承担保管责任；</w:t>
      </w:r>
    </w:p>
    <w:p w14:paraId="23899D66">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8</w:t>
      </w:r>
      <w:r>
        <w:rPr>
          <w:rFonts w:hint="eastAsia" w:ascii="宋体" w:hAnsi="宋体" w:eastAsia="宋体" w:cs="宋体"/>
          <w:bCs/>
          <w:kern w:val="2"/>
          <w:sz w:val="24"/>
          <w:szCs w:val="24"/>
          <w:lang w:val="en-US" w:eastAsia="zh-CN" w:bidi="ar"/>
        </w:rPr>
        <w:t>）参与管理人对托管产品的投资决策；</w:t>
      </w:r>
    </w:p>
    <w:p w14:paraId="126FF683">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9</w:t>
      </w:r>
      <w:r>
        <w:rPr>
          <w:rFonts w:hint="eastAsia" w:ascii="宋体" w:hAnsi="宋体" w:eastAsia="宋体" w:cs="宋体"/>
          <w:bCs/>
          <w:kern w:val="2"/>
          <w:sz w:val="24"/>
          <w:szCs w:val="24"/>
          <w:lang w:val="en-US" w:eastAsia="zh-CN" w:bidi="ar"/>
        </w:rPr>
        <w:t xml:space="preserve">）违规代替管理人向其他机构或者个人进行托管产品信息披露或提供相关数据信息； </w:t>
      </w:r>
    </w:p>
    <w:p w14:paraId="725ADEC1">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）基金管理人未接受托管人的复核意见进行信息披露产生的相应责任；</w:t>
      </w:r>
    </w:p>
    <w:p w14:paraId="686E8D82">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11</w:t>
      </w:r>
      <w:r>
        <w:rPr>
          <w:rFonts w:hint="eastAsia" w:ascii="宋体" w:hAnsi="宋体" w:eastAsia="宋体" w:cs="宋体"/>
          <w:bCs/>
          <w:kern w:val="2"/>
          <w:sz w:val="24"/>
          <w:szCs w:val="24"/>
          <w:lang w:val="en-US" w:eastAsia="zh-CN" w:bidi="ar"/>
        </w:rPr>
        <w:t>）负责未兑付产品的资金追偿、财产保全、诉讼仲裁、债务重组和破产程序等，法律另有规定的除外；</w:t>
      </w:r>
    </w:p>
    <w:p w14:paraId="1019E9D3">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12</w:t>
      </w:r>
      <w:r>
        <w:rPr>
          <w:rFonts w:hint="eastAsia" w:ascii="宋体" w:hAnsi="宋体" w:eastAsia="宋体" w:cs="宋体"/>
          <w:bCs/>
          <w:kern w:val="2"/>
          <w:sz w:val="24"/>
          <w:szCs w:val="24"/>
          <w:lang w:val="en-US" w:eastAsia="zh-CN" w:bidi="ar"/>
        </w:rPr>
        <w:t>）因不可抗力，以及非托管人履职错误或过失造成的托管资产损失；</w:t>
      </w:r>
    </w:p>
    <w:p w14:paraId="4D51B85E">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13</w:t>
      </w:r>
      <w:r>
        <w:rPr>
          <w:rFonts w:hint="eastAsia" w:ascii="宋体" w:hAnsi="宋体" w:eastAsia="宋体" w:cs="宋体"/>
          <w:bCs/>
          <w:kern w:val="2"/>
          <w:sz w:val="24"/>
          <w:szCs w:val="24"/>
          <w:lang w:val="en-US" w:eastAsia="zh-CN" w:bidi="ar"/>
        </w:rPr>
        <w:t>）国务院金融监管部门规定的不属于商业银行托管业务范围的其他职责。</w:t>
      </w:r>
    </w:p>
    <w:p w14:paraId="33C97797">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（六）基金份额持有人的权利</w:t>
      </w:r>
    </w:p>
    <w:p w14:paraId="7C203DD3">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投资者持有本基金基金份额的行为即视为对《基金合同》的承认和接受，基金投资者自依据《基金合同》取得本基金基金份额，即成为本基金基金份额持有人和《基金合同》的当事人，直至其不再持有本基金的基金份额。基金份额持有人作为《基金合同》当事人并不以在《基金合同》上书面签章或签字为必要条件。</w:t>
      </w:r>
    </w:p>
    <w:p w14:paraId="002335CC">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同一类别每份基金份额具有同等的合法权益。</w:t>
      </w:r>
    </w:p>
    <w:p w14:paraId="03F0EB93">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根据《基金法》、《运作办法》及其他有关规定，基金份额持有人的权利包括但不限于：</w:t>
      </w:r>
    </w:p>
    <w:p w14:paraId="53101A53">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）分享基金财产收益；</w:t>
      </w:r>
    </w:p>
    <w:p w14:paraId="681590F2">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）参与分配清算后的剩余基金财产；</w:t>
      </w:r>
    </w:p>
    <w:p w14:paraId="7A18A8B4">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）依法并按照基金合同和招募说明书的规定转让或者申请赎回其持有的基金份额；</w:t>
      </w:r>
    </w:p>
    <w:p w14:paraId="6B97A3CD">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）按照规定要求召开基金份额持有人大会或者召集基金份额持有人大会；</w:t>
      </w:r>
    </w:p>
    <w:p w14:paraId="2E5CE7A6">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）出席或者委派代表出席基金份额持有人大会，对基金份额持有人大会审议事项行使表决权；</w:t>
      </w:r>
    </w:p>
    <w:p w14:paraId="164024D5">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）查阅或者复制公开披露的基金信息资料；</w:t>
      </w:r>
    </w:p>
    <w:p w14:paraId="3F4FCE84">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）监督基金管理人的投资运作；</w:t>
      </w:r>
    </w:p>
    <w:p w14:paraId="1FD163B4">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8</w:t>
      </w:r>
      <w:r>
        <w:rPr>
          <w:rFonts w:hint="eastAsia" w:ascii="宋体" w:hAnsi="宋体" w:eastAsia="宋体" w:cs="宋体"/>
          <w:bCs/>
          <w:kern w:val="2"/>
          <w:sz w:val="24"/>
          <w:szCs w:val="24"/>
          <w:lang w:val="en-US" w:eastAsia="zh-CN" w:bidi="ar"/>
        </w:rPr>
        <w:t>）对基金管理人、基金托管人、基金服务机构损害其合法权益的行为依法提起诉讼或仲裁；</w:t>
      </w:r>
    </w:p>
    <w:p w14:paraId="17859CC2">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9</w:t>
      </w:r>
      <w:r>
        <w:rPr>
          <w:rFonts w:hint="eastAsia" w:ascii="宋体" w:hAnsi="宋体" w:eastAsia="宋体" w:cs="宋体"/>
          <w:bCs/>
          <w:kern w:val="2"/>
          <w:sz w:val="24"/>
          <w:szCs w:val="24"/>
          <w:lang w:val="en-US" w:eastAsia="zh-CN" w:bidi="ar"/>
        </w:rPr>
        <w:t>）法律法规及中国证监会规定的和《基金合同》约定的其他权利。</w:t>
      </w:r>
    </w:p>
    <w:p w14:paraId="7D761610">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kern w:val="2"/>
          <w:sz w:val="24"/>
          <w:szCs w:val="24"/>
        </w:rPr>
      </w:pPr>
      <w:r>
        <w:rPr>
          <w:rFonts w:hint="eastAsia" w:ascii="宋体" w:hAnsi="宋体" w:eastAsia="宋体" w:cs="宋体"/>
          <w:bCs/>
          <w:kern w:val="2"/>
          <w:sz w:val="24"/>
          <w:szCs w:val="24"/>
          <w:lang w:val="en-US" w:eastAsia="zh-CN" w:bidi="ar"/>
        </w:rPr>
        <w:t>（七）</w:t>
      </w:r>
      <w:r>
        <w:rPr>
          <w:rFonts w:hint="eastAsia" w:ascii="宋体" w:hAnsi="宋体" w:eastAsia="宋体" w:cs="宋体"/>
          <w:kern w:val="2"/>
          <w:sz w:val="24"/>
          <w:szCs w:val="24"/>
          <w:lang w:val="en-US" w:eastAsia="zh-CN" w:bidi="ar"/>
        </w:rPr>
        <w:t>基金份额持有人的义务</w:t>
      </w:r>
    </w:p>
    <w:p w14:paraId="58AB479C">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Times New Roman" w:hAnsi="宋体" w:cs="Times New Roman"/>
          <w:bCs/>
          <w:kern w:val="2"/>
          <w:sz w:val="24"/>
          <w:szCs w:val="24"/>
        </w:rPr>
      </w:pPr>
      <w:r>
        <w:rPr>
          <w:rFonts w:hint="eastAsia" w:ascii="宋体" w:hAnsi="宋体" w:eastAsia="宋体" w:cs="宋体"/>
          <w:bCs/>
          <w:kern w:val="2"/>
          <w:sz w:val="24"/>
          <w:szCs w:val="24"/>
          <w:lang w:val="en-US" w:eastAsia="zh-CN" w:bidi="ar"/>
        </w:rPr>
        <w:t>根据《基金法》、《运作办法》及其他有关规定，基金份额持有人的义务包括但不限于：</w:t>
      </w:r>
    </w:p>
    <w:p w14:paraId="109BEE1D">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）认真阅读并遵守《基金合同》、招募说明书等信息披露文件；</w:t>
      </w:r>
    </w:p>
    <w:p w14:paraId="1C685586">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）了解所投资基金产品，了解自身风险承受能力，自主判断基金的投资价值，自主做出投资决策，自行承担投资风险；</w:t>
      </w:r>
    </w:p>
    <w:p w14:paraId="18A19123">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）关注基金信息披露，及时行使权利和履行义务；</w:t>
      </w:r>
    </w:p>
    <w:p w14:paraId="4E70C2DB">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）交纳基金认购、申购款项及法律法规和《基金合同》所规定的费用；</w:t>
      </w:r>
    </w:p>
    <w:p w14:paraId="05F984A9">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）在其持有的基金份额范围内，承担基金亏损或者《基金合同》终止的有限责任；</w:t>
      </w:r>
    </w:p>
    <w:p w14:paraId="7C5F1C99">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）不从事任何有损基金及其他《基金合同》当事人合法权益的活动；</w:t>
      </w:r>
    </w:p>
    <w:p w14:paraId="569C9B50">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）执行生效的基金份额持有人大会的决议；</w:t>
      </w:r>
    </w:p>
    <w:p w14:paraId="413F8814">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8</w:t>
      </w:r>
      <w:r>
        <w:rPr>
          <w:rFonts w:hint="eastAsia" w:ascii="宋体" w:hAnsi="宋体" w:eastAsia="宋体" w:cs="宋体"/>
          <w:bCs/>
          <w:kern w:val="2"/>
          <w:sz w:val="24"/>
          <w:szCs w:val="24"/>
          <w:lang w:val="en-US" w:eastAsia="zh-CN" w:bidi="ar"/>
        </w:rPr>
        <w:t>）返还在基金交易过程中因任何原因获得的不当得利；</w:t>
      </w:r>
    </w:p>
    <w:p w14:paraId="13D5CCB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9</w:t>
      </w:r>
      <w:r>
        <w:rPr>
          <w:rFonts w:hint="eastAsia" w:ascii="宋体" w:hAnsi="宋体" w:eastAsia="宋体" w:cs="宋体"/>
          <w:bCs/>
          <w:kern w:val="2"/>
          <w:sz w:val="24"/>
          <w:szCs w:val="24"/>
          <w:lang w:val="en-US" w:eastAsia="zh-CN" w:bidi="ar"/>
        </w:rPr>
        <w:t>）遵守基金管理人、基金托管人、销售机构和登记机构的相关交易及业务规则；</w:t>
      </w:r>
    </w:p>
    <w:p w14:paraId="1429D18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）提供基金管理人和监管机构依法要求提供的信息，以及不时的更新和补充，并保证其真实性；</w:t>
      </w:r>
    </w:p>
    <w:p w14:paraId="68DD9BC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11</w:t>
      </w:r>
      <w:r>
        <w:rPr>
          <w:rFonts w:hint="eastAsia" w:ascii="宋体" w:hAnsi="宋体" w:eastAsia="宋体" w:cs="宋体"/>
          <w:bCs/>
          <w:kern w:val="2"/>
          <w:sz w:val="24"/>
          <w:szCs w:val="24"/>
          <w:lang w:val="en-US" w:eastAsia="zh-CN" w:bidi="ar"/>
        </w:rPr>
        <w:t>）发起资金提供方持有认购的基金份额的期限自《基金合同》生效日起不少于</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年；</w:t>
      </w:r>
    </w:p>
    <w:p w14:paraId="091B83B1">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12</w:t>
      </w:r>
      <w:r>
        <w:rPr>
          <w:rFonts w:hint="eastAsia" w:ascii="宋体" w:hAnsi="宋体" w:eastAsia="宋体" w:cs="宋体"/>
          <w:bCs/>
          <w:kern w:val="2"/>
          <w:sz w:val="24"/>
          <w:szCs w:val="24"/>
          <w:lang w:val="en-US" w:eastAsia="zh-CN" w:bidi="ar"/>
        </w:rPr>
        <w:t>）法律法规及中国证监会规定的和《基金合同》约定的其他义务。</w:t>
      </w:r>
    </w:p>
    <w:p w14:paraId="34DDF16F">
      <w:pPr>
        <w:keepNext w:val="0"/>
        <w:keepLines w:val="0"/>
        <w:widowControl w:val="0"/>
        <w:suppressLineNumbers w:val="0"/>
        <w:spacing w:before="0" w:beforeAutospacing="0" w:after="0" w:afterAutospacing="0" w:line="360" w:lineRule="auto"/>
        <w:ind w:left="0" w:right="0" w:firstLine="482" w:firstLineChars="200"/>
        <w:jc w:val="both"/>
        <w:outlineLvl w:val="1"/>
        <w:rPr>
          <w:rFonts w:hint="default" w:ascii="Times New Roman" w:hAnsi="Times New Roman" w:cs="Times New Roman"/>
          <w:b/>
          <w:bCs/>
          <w:kern w:val="2"/>
          <w:sz w:val="24"/>
          <w:szCs w:val="24"/>
        </w:rPr>
      </w:pPr>
      <w:r>
        <w:rPr>
          <w:rFonts w:hint="eastAsia" w:ascii="宋体" w:hAnsi="宋体" w:eastAsia="宋体" w:cs="宋体"/>
          <w:b/>
          <w:bCs/>
          <w:kern w:val="2"/>
          <w:sz w:val="24"/>
          <w:szCs w:val="24"/>
          <w:lang w:val="en-US" w:eastAsia="zh-CN" w:bidi="ar"/>
        </w:rPr>
        <w:t>二、基金份额持有人大会召集、议事及表决的程序和规则</w:t>
      </w:r>
    </w:p>
    <w:p w14:paraId="400A9F0C">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基金份额持有人大会由基金份额持有人组成，基金份额持有人的合法授权代表有权代表基金份额持有人出席会议并表决。基金份额持有人持有的每一基金份额拥有平等的投票权。</w:t>
      </w:r>
    </w:p>
    <w:p w14:paraId="3FB1CE6A">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本基金份额持有人大会不设日常机构。</w:t>
      </w:r>
    </w:p>
    <w:p w14:paraId="06D34E20">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（一）召开事由</w:t>
      </w:r>
    </w:p>
    <w:p w14:paraId="709F2EFC">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、当出现或需要决定下列事由之一的，应当召开基金份额持有人大会，法律法规和中国证监会另有规定的除外：</w:t>
      </w:r>
    </w:p>
    <w:p w14:paraId="69F9AAFA">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）终止《基金合同》，基金合同另有规定的除外；</w:t>
      </w:r>
    </w:p>
    <w:p w14:paraId="3D9DFDDE">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）更换基金管理人；</w:t>
      </w:r>
    </w:p>
    <w:p w14:paraId="522D1E5D">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）更换基金托管人；</w:t>
      </w:r>
    </w:p>
    <w:p w14:paraId="31FDC8ED">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）转换基金运作方式；</w:t>
      </w:r>
    </w:p>
    <w:p w14:paraId="4D1C0024">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）调整基金管理人、基金托管人的报酬标准或提高销售服务费率；</w:t>
      </w:r>
    </w:p>
    <w:p w14:paraId="2A8496CD">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）变更基金类别；</w:t>
      </w:r>
    </w:p>
    <w:p w14:paraId="4DDD0021">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）本基金与其他基金的合并；</w:t>
      </w:r>
    </w:p>
    <w:p w14:paraId="26181B0A">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8</w:t>
      </w:r>
      <w:r>
        <w:rPr>
          <w:rFonts w:hint="eastAsia" w:ascii="宋体" w:hAnsi="宋体" w:eastAsia="宋体" w:cs="宋体"/>
          <w:bCs/>
          <w:kern w:val="2"/>
          <w:sz w:val="24"/>
          <w:szCs w:val="24"/>
          <w:lang w:val="en-US" w:eastAsia="zh-CN" w:bidi="ar"/>
        </w:rPr>
        <w:t>）变更基金投资目标、范围或策略，基金合同另有规定的除外；</w:t>
      </w:r>
    </w:p>
    <w:p w14:paraId="795D8C1F">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9</w:t>
      </w:r>
      <w:r>
        <w:rPr>
          <w:rFonts w:hint="eastAsia" w:ascii="宋体" w:hAnsi="宋体" w:eastAsia="宋体" w:cs="宋体"/>
          <w:bCs/>
          <w:kern w:val="2"/>
          <w:sz w:val="24"/>
          <w:szCs w:val="24"/>
          <w:lang w:val="en-US" w:eastAsia="zh-CN" w:bidi="ar"/>
        </w:rPr>
        <w:t>）变更基金份额持有人大会程序，基金合同另有规定的除外；</w:t>
      </w:r>
    </w:p>
    <w:p w14:paraId="1510E6C4">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）基金管理人或基金托管人要求召开基金份额持有人大会；</w:t>
      </w:r>
    </w:p>
    <w:p w14:paraId="472C7551">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11</w:t>
      </w:r>
      <w:r>
        <w:rPr>
          <w:rFonts w:hint="eastAsia" w:ascii="宋体" w:hAnsi="宋体" w:eastAsia="宋体" w:cs="宋体"/>
          <w:bCs/>
          <w:kern w:val="2"/>
          <w:sz w:val="24"/>
          <w:szCs w:val="24"/>
          <w:lang w:val="en-US" w:eastAsia="zh-CN" w:bidi="ar"/>
        </w:rPr>
        <w:t>）单独或合计持有本基金总份额</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以上（含</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）基金份额的基金份额持有人（以基金管理人收到提议当日的基金份额计算，下同）就同一事项书面要求召开基金份额持有人大会；</w:t>
      </w:r>
    </w:p>
    <w:p w14:paraId="7A018C89">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12</w:t>
      </w:r>
      <w:r>
        <w:rPr>
          <w:rFonts w:hint="eastAsia" w:ascii="宋体" w:hAnsi="宋体" w:eastAsia="宋体" w:cs="宋体"/>
          <w:bCs/>
          <w:kern w:val="2"/>
          <w:sz w:val="24"/>
          <w:szCs w:val="24"/>
          <w:lang w:val="en-US" w:eastAsia="zh-CN" w:bidi="ar"/>
        </w:rPr>
        <w:t>）对基金合同当事人权利和义务产生重大影响的其他事项；</w:t>
      </w:r>
    </w:p>
    <w:p w14:paraId="64F0ACE3">
      <w:pPr>
        <w:keepNext w:val="0"/>
        <w:keepLines w:val="0"/>
        <w:widowControl w:val="0"/>
        <w:suppressLineNumbers w:val="0"/>
        <w:spacing w:before="0" w:beforeAutospacing="0" w:after="0" w:afterAutospacing="0" w:line="440" w:lineRule="atLeast"/>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13</w:t>
      </w:r>
      <w:r>
        <w:rPr>
          <w:rFonts w:hint="eastAsia" w:ascii="宋体" w:hAnsi="宋体" w:eastAsia="宋体" w:cs="宋体"/>
          <w:bCs/>
          <w:kern w:val="2"/>
          <w:sz w:val="24"/>
          <w:szCs w:val="24"/>
          <w:lang w:val="en-US" w:eastAsia="zh-CN" w:bidi="ar"/>
        </w:rPr>
        <w:t>）法律法规、《基金合同》或中国证监会规定的其他应当召开基金份额持有人大会的事项。</w:t>
      </w:r>
    </w:p>
    <w:p w14:paraId="095CDD0E">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、在法律法规规定和《基金合同》约定的范围内且对基金份额持有人利益无实质性不利影响的前提下，以下情况可由基金管理人和基金托管人协商后修改，不需召开基金份额持有人大会：</w:t>
      </w:r>
    </w:p>
    <w:p w14:paraId="757A112A">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）调低基金销售服务费率；</w:t>
      </w:r>
    </w:p>
    <w:p w14:paraId="75B6B9DA">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）法律法规要求增加的基金费用的收取；</w:t>
      </w:r>
    </w:p>
    <w:p w14:paraId="1FBF220E">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）在法律法规和《基金合同》规定的范围内调整本基金的申购费率、在对现有基金份额持有人利益无实质性不利影响的前提下变更收费方式；</w:t>
      </w:r>
    </w:p>
    <w:p w14:paraId="54284D29">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）因相应的法律法规、登记机构的相关业务规则发生变动而应当对《基金合同》进行修改；</w:t>
      </w:r>
    </w:p>
    <w:p w14:paraId="63ABA22C">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）对《基金合同》的修改对基金份额持有人利益无实质性不利影响或修改不涉及《基金合同》当事人权利义务关系发生重大变化；</w:t>
      </w:r>
    </w:p>
    <w:p w14:paraId="605318C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）在法律法规允许的情况下，且在对现有基金份额持有人利益无实质性不利影响的前提下，在履行适当程序后，基金推出新业务或服务；</w:t>
      </w:r>
    </w:p>
    <w:p w14:paraId="6E49CA8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）在符合法律法规及本基金合同规定、并且对基金份额持有人利益无实质性不利影响的前提下，增加或调整本基金份额类别的设置、对基金份额分类办法及规则进行调整；</w:t>
      </w:r>
    </w:p>
    <w:p w14:paraId="038044A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8</w:t>
      </w:r>
      <w:r>
        <w:rPr>
          <w:rFonts w:hint="eastAsia" w:ascii="宋体" w:hAnsi="宋体" w:eastAsia="宋体" w:cs="宋体"/>
          <w:bCs/>
          <w:kern w:val="2"/>
          <w:sz w:val="24"/>
          <w:szCs w:val="24"/>
          <w:lang w:val="en-US" w:eastAsia="zh-CN" w:bidi="ar"/>
        </w:rPr>
        <w:t>）在不违反法律法规及对基金份额持有人利益无实质性不利影响的前提下，基金管理人、登记机构、销售机构调整有关基金认购、申购、赎回、转换、收益分配、非交易过户、转托管等业务的规则；</w:t>
      </w:r>
    </w:p>
    <w:p w14:paraId="54979308">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9</w:t>
      </w:r>
      <w:r>
        <w:rPr>
          <w:rFonts w:hint="eastAsia" w:ascii="宋体" w:hAnsi="宋体" w:eastAsia="宋体" w:cs="宋体"/>
          <w:bCs/>
          <w:kern w:val="2"/>
          <w:sz w:val="24"/>
          <w:szCs w:val="24"/>
          <w:lang w:val="en-US" w:eastAsia="zh-CN" w:bidi="ar"/>
        </w:rPr>
        <w:t>）按照法律法规和《基金合同》规定不需召开基金份额持有人大会的其他情形。</w:t>
      </w:r>
    </w:p>
    <w:p w14:paraId="1CB41145">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（二）会议召集人及召集方式</w:t>
      </w:r>
    </w:p>
    <w:p w14:paraId="0474F240">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、除法律法规规定或《基金合同》另有约定外，基金份额持有人大会由基金管理人召集；</w:t>
      </w:r>
    </w:p>
    <w:p w14:paraId="7FCA5370">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、基金管理人未按规定召集或不能召集时，由基金托管人召集；</w:t>
      </w:r>
    </w:p>
    <w:p w14:paraId="7EF129B4">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、基金托管人认为有必要召开基金份额持有人大会的，应当向基金管理人提出书面提议。基金管理人应当自收到书面提议之日起</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日内决定是否召集，并书面告知基金托管人。基金管理人决定召集的，应当自出具书面决定之日起</w:t>
      </w:r>
      <w:r>
        <w:rPr>
          <w:rFonts w:hint="default" w:ascii="Times New Roman" w:hAnsi="Times New Roman" w:eastAsia="宋体" w:cs="Times New Roman"/>
          <w:bCs/>
          <w:kern w:val="2"/>
          <w:sz w:val="24"/>
          <w:szCs w:val="24"/>
          <w:lang w:val="en-US" w:eastAsia="zh-CN" w:bidi="ar"/>
        </w:rPr>
        <w:t>60</w:t>
      </w:r>
      <w:r>
        <w:rPr>
          <w:rFonts w:hint="eastAsia" w:ascii="宋体" w:hAnsi="宋体" w:eastAsia="宋体" w:cs="宋体"/>
          <w:bCs/>
          <w:kern w:val="2"/>
          <w:sz w:val="24"/>
          <w:szCs w:val="24"/>
          <w:lang w:val="en-US" w:eastAsia="zh-CN" w:bidi="ar"/>
        </w:rPr>
        <w:t>日内召开；基金管理人决定不召集，基金托管人仍认为有必要召开的，应当由基金托管人自行召集，并自出具书面决定之日起</w:t>
      </w:r>
      <w:r>
        <w:rPr>
          <w:rFonts w:hint="default" w:ascii="Times New Roman" w:hAnsi="Times New Roman" w:eastAsia="宋体" w:cs="Times New Roman"/>
          <w:bCs/>
          <w:kern w:val="2"/>
          <w:sz w:val="24"/>
          <w:szCs w:val="24"/>
          <w:lang w:val="en-US" w:eastAsia="zh-CN" w:bidi="ar"/>
        </w:rPr>
        <w:t>60</w:t>
      </w:r>
      <w:r>
        <w:rPr>
          <w:rFonts w:hint="eastAsia" w:ascii="宋体" w:hAnsi="宋体" w:eastAsia="宋体" w:cs="宋体"/>
          <w:bCs/>
          <w:kern w:val="2"/>
          <w:sz w:val="24"/>
          <w:szCs w:val="24"/>
          <w:lang w:val="en-US" w:eastAsia="zh-CN" w:bidi="ar"/>
        </w:rPr>
        <w:t>日内召开并告知基金管理人，基金管理人应当配合；</w:t>
      </w:r>
    </w:p>
    <w:p w14:paraId="53A8704F">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、代表基金份额</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以上（含</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）的基金份额持有人就同一事项书面要求召开基金份额持有人大会，应当向基金管理人提出书面提议。基金管理人应当自收到书面提议之日起</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日内决定是否召集，并书面告知提出提议的基金份额持有人代表和基金托管人。基金管理人决定召集的，应当自出具书面决定之日起</w:t>
      </w:r>
      <w:r>
        <w:rPr>
          <w:rFonts w:hint="default" w:ascii="Times New Roman" w:hAnsi="Times New Roman" w:eastAsia="宋体" w:cs="Times New Roman"/>
          <w:bCs/>
          <w:kern w:val="2"/>
          <w:sz w:val="24"/>
          <w:szCs w:val="24"/>
          <w:lang w:val="en-US" w:eastAsia="zh-CN" w:bidi="ar"/>
        </w:rPr>
        <w:t>60</w:t>
      </w:r>
      <w:r>
        <w:rPr>
          <w:rFonts w:hint="eastAsia" w:ascii="宋体" w:hAnsi="宋体" w:eastAsia="宋体" w:cs="宋体"/>
          <w:bCs/>
          <w:kern w:val="2"/>
          <w:sz w:val="24"/>
          <w:szCs w:val="24"/>
          <w:lang w:val="en-US" w:eastAsia="zh-CN" w:bidi="ar"/>
        </w:rPr>
        <w:t>日内召开；基金管理人决定不召集，代表基金份额</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以上（含</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）的基金份额持有人仍认为有必要召开的，应当向基金托管人提出书面提议。基金托管人应当自收到书面提议之日起</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日内决定是否召集，并书面告知提出提议的基金份额持有人代表和基金管理人；基金托管人决定召集的，应当自出具书面决定之日起</w:t>
      </w:r>
      <w:r>
        <w:rPr>
          <w:rFonts w:hint="default" w:ascii="Times New Roman" w:hAnsi="Times New Roman" w:eastAsia="宋体" w:cs="Times New Roman"/>
          <w:bCs/>
          <w:kern w:val="2"/>
          <w:sz w:val="24"/>
          <w:szCs w:val="24"/>
          <w:lang w:val="en-US" w:eastAsia="zh-CN" w:bidi="ar"/>
        </w:rPr>
        <w:t>60</w:t>
      </w:r>
      <w:r>
        <w:rPr>
          <w:rFonts w:hint="eastAsia" w:ascii="宋体" w:hAnsi="宋体" w:eastAsia="宋体" w:cs="宋体"/>
          <w:bCs/>
          <w:kern w:val="2"/>
          <w:sz w:val="24"/>
          <w:szCs w:val="24"/>
          <w:lang w:val="en-US" w:eastAsia="zh-CN" w:bidi="ar"/>
        </w:rPr>
        <w:t>日内召开并告知基金管理人，基金管理人应当配合；</w:t>
      </w:r>
    </w:p>
    <w:p w14:paraId="2D106FDF">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、代表基金份额</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以上（含</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）的基金份额持有人就同一事项要求召开基金份额持有人大会，而基金管理人、基金托管人都不召集的，单独或合计代表基金份额</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以上（含</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）的基金份额持有人有权自行召集，并至少提前</w:t>
      </w:r>
      <w:r>
        <w:rPr>
          <w:rFonts w:hint="default" w:ascii="Times New Roman" w:hAnsi="Times New Roman" w:eastAsia="宋体" w:cs="Times New Roman"/>
          <w:bCs/>
          <w:kern w:val="2"/>
          <w:sz w:val="24"/>
          <w:szCs w:val="24"/>
          <w:lang w:val="en-US" w:eastAsia="zh-CN" w:bidi="ar"/>
        </w:rPr>
        <w:t>30</w:t>
      </w:r>
      <w:r>
        <w:rPr>
          <w:rFonts w:hint="eastAsia" w:ascii="宋体" w:hAnsi="宋体" w:eastAsia="宋体" w:cs="宋体"/>
          <w:bCs/>
          <w:kern w:val="2"/>
          <w:sz w:val="24"/>
          <w:szCs w:val="24"/>
          <w:lang w:val="en-US" w:eastAsia="zh-CN" w:bidi="ar"/>
        </w:rPr>
        <w:t>日报中国证监会备案。基金份额持有人依法自行召集基金份额持有人大会的，基金管理人、基金托管人应当配合，不得阻碍、干扰；</w:t>
      </w:r>
    </w:p>
    <w:p w14:paraId="44FBC295">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、基金份额持有人会议的召集人负责选择确定开会时间、地点、方式和权益登记日。</w:t>
      </w:r>
    </w:p>
    <w:p w14:paraId="7562BE77">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（三）召开基金份额持有人大会的通知时间、通知内容、通知方式</w:t>
      </w:r>
    </w:p>
    <w:p w14:paraId="04B6D810">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、召开基金份额持有人大会，召集人应于会议召开前</w:t>
      </w:r>
      <w:r>
        <w:rPr>
          <w:rFonts w:hint="default" w:ascii="Times New Roman" w:hAnsi="Times New Roman" w:eastAsia="宋体" w:cs="Times New Roman"/>
          <w:bCs/>
          <w:kern w:val="2"/>
          <w:sz w:val="24"/>
          <w:szCs w:val="24"/>
          <w:lang w:val="en-US" w:eastAsia="zh-CN" w:bidi="ar"/>
        </w:rPr>
        <w:t>30</w:t>
      </w:r>
      <w:r>
        <w:rPr>
          <w:rFonts w:hint="eastAsia" w:ascii="宋体" w:hAnsi="宋体" w:eastAsia="宋体" w:cs="宋体"/>
          <w:bCs/>
          <w:kern w:val="2"/>
          <w:sz w:val="24"/>
          <w:szCs w:val="24"/>
          <w:lang w:val="en-US" w:eastAsia="zh-CN" w:bidi="ar"/>
        </w:rPr>
        <w:t>日，在规定媒介公告。基金份额持有人大会通知应至少载明以下内容：</w:t>
      </w:r>
    </w:p>
    <w:p w14:paraId="04AAD6D7">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）会议召开的时间、地点和会议形式；</w:t>
      </w:r>
    </w:p>
    <w:p w14:paraId="158F5B59">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）会议拟审议的事项、议事程序和表决方式；</w:t>
      </w:r>
    </w:p>
    <w:p w14:paraId="1AE601AC">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）有权出席基金份额持有人大会的基金份额持有人的权益登记日；</w:t>
      </w:r>
    </w:p>
    <w:p w14:paraId="775185A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）授权委托证明的内容要求（包括但不限于代理人身份，代理权限和代理有效期限等）、送达时间和地点；</w:t>
      </w:r>
    </w:p>
    <w:p w14:paraId="316FB772">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）会务常设联系人姓名及联系电话；</w:t>
      </w:r>
    </w:p>
    <w:p w14:paraId="7C2C57D6">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）出席会议者必须准备的文件和必须履行的手续；</w:t>
      </w:r>
    </w:p>
    <w:p w14:paraId="600C641E">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）召集人需要通知的其他事项。</w:t>
      </w:r>
    </w:p>
    <w:p w14:paraId="0E0D8151">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356311B">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45966232">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（四）基金份额持有人出席会议的方式</w:t>
      </w:r>
    </w:p>
    <w:p w14:paraId="50847318">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基金份额持有人大会可通过现场开会方式、通讯开会方式或法律法规、监管机构允许的其他方式召开，会议的召开方式由会议召集人确定。</w:t>
      </w:r>
    </w:p>
    <w:p w14:paraId="6F449A3A">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50F5CDE">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91D2AB1">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个月以后、</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7974CEAD">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、通讯开会。通讯开会系指基金份额持有人将其对表决事项的投票以会议通知载明的形式或基金合同约定的其他方式在表决截止日以前送达至召集人指定的地址或系统。</w:t>
      </w:r>
    </w:p>
    <w:p w14:paraId="35056EB8">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在同时符合以下条件时，通讯开会的方式视为有效：</w:t>
      </w:r>
    </w:p>
    <w:p w14:paraId="11F58192">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）会议召集人按《基金合同》约定公布会议通知后，在</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个工作日内连续公布相关提示性公告；</w:t>
      </w:r>
    </w:p>
    <w:p w14:paraId="33B49E48">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AED3EA2">
      <w:pPr>
        <w:keepNext w:val="0"/>
        <w:keepLines w:val="0"/>
        <w:widowControl w:val="0"/>
        <w:suppressLineNumbers w:val="0"/>
        <w:spacing w:before="0" w:beforeAutospacing="0" w:after="0" w:afterAutospacing="0" w:line="360" w:lineRule="auto"/>
        <w:ind w:left="0" w:right="0" w:firstLine="540" w:firstLineChars="225"/>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个月以后、</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个月以内，就原定审议事项重新召集基金份额持有人大会。重新召集的基金份额持有人大会应当有代表基金总份额三分之一以上（含三分之一）基金份额的持有人直接出具表决意见或授权他人代表出具表决意见；</w:t>
      </w:r>
    </w:p>
    <w:p w14:paraId="27464A77">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）上述第（</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596D02D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0C698EC1">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（五）议事内容与程序</w:t>
      </w:r>
    </w:p>
    <w:p w14:paraId="6D57D11A">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、议事内容及提案权</w:t>
      </w:r>
    </w:p>
    <w:p w14:paraId="6E423CE0">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2D784A73">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基金份额持有人大会的召集人发出召集会议的通知后，对原有提案的修改应当在基金份额持有人大会召开前及时公告。</w:t>
      </w:r>
    </w:p>
    <w:p w14:paraId="69F852B8">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基金份额持有人大会不得对未事先公告的议事内容进行表决。</w:t>
      </w:r>
    </w:p>
    <w:p w14:paraId="14065C9A">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、议事程序</w:t>
      </w:r>
    </w:p>
    <w:p w14:paraId="4306F6F1">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）现场开会</w:t>
      </w:r>
    </w:p>
    <w:p w14:paraId="491185C8">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default" w:ascii="Times New Roman" w:hAnsi="Times New Roman" w:eastAsia="宋体" w:cs="Times New Roman"/>
          <w:bCs/>
          <w:kern w:val="2"/>
          <w:sz w:val="24"/>
          <w:szCs w:val="24"/>
          <w:lang w:val="en-US" w:eastAsia="zh-CN" w:bidi="ar"/>
        </w:rPr>
        <w:t>50%</w:t>
      </w:r>
      <w:r>
        <w:rPr>
          <w:rFonts w:hint="eastAsia" w:ascii="宋体" w:hAnsi="宋体" w:eastAsia="宋体" w:cs="宋体"/>
          <w:bCs/>
          <w:kern w:val="2"/>
          <w:sz w:val="24"/>
          <w:szCs w:val="24"/>
          <w:lang w:val="en-US" w:eastAsia="zh-CN" w:bidi="ar"/>
        </w:rPr>
        <w:t>以上（含</w:t>
      </w:r>
      <w:r>
        <w:rPr>
          <w:rFonts w:hint="default" w:ascii="Times New Roman" w:hAnsi="Times New Roman" w:eastAsia="宋体" w:cs="Times New Roman"/>
          <w:bCs/>
          <w:kern w:val="2"/>
          <w:sz w:val="24"/>
          <w:szCs w:val="24"/>
          <w:lang w:val="en-US" w:eastAsia="zh-CN" w:bidi="ar"/>
        </w:rPr>
        <w:t>50%</w:t>
      </w:r>
      <w:r>
        <w:rPr>
          <w:rFonts w:hint="eastAsia" w:ascii="宋体" w:hAnsi="宋体" w:eastAsia="宋体" w:cs="宋体"/>
          <w:bCs/>
          <w:kern w:val="2"/>
          <w:sz w:val="24"/>
          <w:szCs w:val="24"/>
          <w:lang w:val="en-US" w:eastAsia="zh-CN" w:bidi="ar"/>
        </w:rPr>
        <w:t>）选举产生一名基金份额持有人或代理人作为该次基金份额持有人大会的主持人。基金管理人和基金托管人拒不出席或主持基金份额持有人大会，不影响基金份额持有人大会作出的决议的效力。</w:t>
      </w:r>
    </w:p>
    <w:p w14:paraId="1C700EF0">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会议召集人应当制作出席会议人员的签名册。签名册载明参加会议人员姓名（或单位名称）、身份证明文件号码、持有或代表有表决权的基金份额、委托人姓名（或单位名称）和联系方式等事项。</w:t>
      </w:r>
    </w:p>
    <w:p w14:paraId="60475D22">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）通讯开会</w:t>
      </w:r>
    </w:p>
    <w:p w14:paraId="76682C71">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在通讯开会的情况下，首先由召集人提前</w:t>
      </w:r>
      <w:r>
        <w:rPr>
          <w:rFonts w:hint="default" w:ascii="Times New Roman" w:hAnsi="Times New Roman" w:eastAsia="宋体" w:cs="Times New Roman"/>
          <w:bCs/>
          <w:kern w:val="2"/>
          <w:sz w:val="24"/>
          <w:szCs w:val="24"/>
          <w:lang w:val="en-US" w:eastAsia="zh-CN" w:bidi="ar"/>
        </w:rPr>
        <w:t>30</w:t>
      </w:r>
      <w:r>
        <w:rPr>
          <w:rFonts w:hint="eastAsia" w:ascii="宋体" w:hAnsi="宋体" w:eastAsia="宋体" w:cs="宋体"/>
          <w:bCs/>
          <w:kern w:val="2"/>
          <w:sz w:val="24"/>
          <w:szCs w:val="24"/>
          <w:lang w:val="en-US" w:eastAsia="zh-CN" w:bidi="ar"/>
        </w:rPr>
        <w:t>日公布提案，在所通知的表决截止日期后</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个工作日内在公证机关监督下由召集人统计全部有效表决，在公证机关监督下形成决议。</w:t>
      </w:r>
    </w:p>
    <w:p w14:paraId="51A41BA4">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宋体" w:cs="Times New Roman"/>
          <w:bCs/>
          <w:kern w:val="2"/>
          <w:sz w:val="24"/>
          <w:szCs w:val="24"/>
        </w:rPr>
      </w:pPr>
      <w:r>
        <w:rPr>
          <w:rFonts w:hint="eastAsia" w:ascii="宋体" w:hAnsi="宋体" w:eastAsia="宋体" w:cs="宋体"/>
          <w:bCs/>
          <w:kern w:val="2"/>
          <w:sz w:val="24"/>
          <w:szCs w:val="24"/>
          <w:lang w:val="en-US" w:eastAsia="zh-CN" w:bidi="ar"/>
        </w:rPr>
        <w:t>（六）表决</w:t>
      </w:r>
    </w:p>
    <w:p w14:paraId="701B1441">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基金份额持有人所持每份基金份额有一票表决权。</w:t>
      </w:r>
    </w:p>
    <w:p w14:paraId="24D81028">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基金份额持有人大会决议分为一般决议和特别决议：</w:t>
      </w:r>
    </w:p>
    <w:p w14:paraId="3FA337DB">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、一般决议，一般决议须经参加大会的基金份额持有人或其代理人所持表决权的二分之一以上（含二分之一）通过方为有效；除下列第</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项所规定的须以特别决议通过事项以外的其他事项均以一般决议的方式通过。</w:t>
      </w:r>
    </w:p>
    <w:p w14:paraId="589AC5C3">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14:paraId="1D0679E6">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基金份额持有人大会采取记名方式进行投票表决。</w:t>
      </w:r>
    </w:p>
    <w:p w14:paraId="6FA974EC">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7D4EB37">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基金份额持有人大会的各项提案或同一项提案内并列的各项议题应当分开审议、逐项表决。</w:t>
      </w:r>
    </w:p>
    <w:p w14:paraId="49629542">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（七）计票</w:t>
      </w:r>
    </w:p>
    <w:p w14:paraId="19CF27B7">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、现场开会</w:t>
      </w:r>
    </w:p>
    <w:p w14:paraId="472C1A40">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100BE902">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）监票人应当在基金份额持有人表决后立即进行清点并由大会主持人当场公布计票结果。</w:t>
      </w:r>
    </w:p>
    <w:p w14:paraId="1942914E">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8FE8775">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）计票过程应由公证机关予以公证，基金管理人或基金托管人拒不出席大会的，不影响计票的效力。</w:t>
      </w:r>
    </w:p>
    <w:p w14:paraId="25520AB2">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、通讯开会</w:t>
      </w:r>
    </w:p>
    <w:p w14:paraId="4A723506">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529B245C">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（八）生效与公告</w:t>
      </w:r>
    </w:p>
    <w:p w14:paraId="3432FF17">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基金份额持有人大会的决议，召集人应当自通过之日起</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日内报中国证监会备案。</w:t>
      </w:r>
    </w:p>
    <w:p w14:paraId="06910A06">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基金份额持有人大会的决议自表决通过之日起生效。法律法规另有规定的，从其规定。</w:t>
      </w:r>
    </w:p>
    <w:p w14:paraId="4FF96B8A">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基金份额持有人大会决议自生效之日起依照《信息披露办法》的规定在规定媒介上公告。如果采用通讯方式进行表决，在公告基金份额持有人大会决议时，必须将公证书全文、公证机构、公证员姓名等一同公告。</w:t>
      </w:r>
    </w:p>
    <w:p w14:paraId="3DFE549A">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基金管理人、基金托管人和基金份额持有人应当执行生效的基金份额持有人大会的决议。生效的基金份额持有人大会决议对全体基金份额持有人、基金管理人、基金托管人均有约束力。</w:t>
      </w:r>
    </w:p>
    <w:p w14:paraId="5A298636">
      <w:pPr>
        <w:keepNext w:val="0"/>
        <w:keepLines w:val="0"/>
        <w:widowControl w:val="0"/>
        <w:suppressLineNumbers w:val="0"/>
        <w:spacing w:before="0" w:beforeAutospacing="0" w:after="0" w:afterAutospacing="0" w:line="360" w:lineRule="auto"/>
        <w:ind w:left="0" w:right="0" w:firstLine="480" w:firstLineChars="200"/>
        <w:jc w:val="both"/>
        <w:outlineLvl w:val="2"/>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（九）实施侧袋机制期间基金份额持有人大会的特殊约定</w:t>
      </w:r>
    </w:p>
    <w:p w14:paraId="219108E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22E7575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、基金份额持有人行使提议权、召集权、提名权所需单独或合计代表相关基金份额</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以上（含</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w:t>
      </w:r>
    </w:p>
    <w:p w14:paraId="0F9AF57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、现场开会的到会者在权益登记日代表的基金份额不少于本基金在权益登记日相关基金份额的二分之一（含二分之一）；</w:t>
      </w:r>
    </w:p>
    <w:p w14:paraId="5B0EEFC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、通讯开会的直接出具表决意见或授权他人代表出具表决意见的基金份额持有人所持有的基金份额不小于在权益登记日相关基金份额的二分之一（含二分之一）；</w:t>
      </w:r>
    </w:p>
    <w:p w14:paraId="0441CBD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、在参与基金份额持有人大会投票的基金份额持有人所持有的基金份额小于在权益登记日相关基金份额的二分之一、召集人在原公告的基金份额持有人大会召开时间的</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个月以后、</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个月以内就原定审议事项重新召集的基金份额持有人大会应当有代表三分之一以上（含三分之一）相关基金份额的持有人参与或授权他人参与基金份额持有人大会投票；</w:t>
      </w:r>
    </w:p>
    <w:p w14:paraId="794FA99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、现场开会由出席大会的基金份额持有人和代理人所持表决权的</w:t>
      </w:r>
      <w:r>
        <w:rPr>
          <w:rFonts w:hint="default" w:ascii="Times New Roman" w:hAnsi="Times New Roman" w:eastAsia="宋体" w:cs="Times New Roman"/>
          <w:bCs/>
          <w:kern w:val="2"/>
          <w:sz w:val="24"/>
          <w:szCs w:val="24"/>
          <w:lang w:val="en-US" w:eastAsia="zh-CN" w:bidi="ar"/>
        </w:rPr>
        <w:t>50%</w:t>
      </w:r>
      <w:r>
        <w:rPr>
          <w:rFonts w:hint="eastAsia" w:ascii="宋体" w:hAnsi="宋体" w:eastAsia="宋体" w:cs="宋体"/>
          <w:bCs/>
          <w:kern w:val="2"/>
          <w:sz w:val="24"/>
          <w:szCs w:val="24"/>
          <w:lang w:val="en-US" w:eastAsia="zh-CN" w:bidi="ar"/>
        </w:rPr>
        <w:t>以上（含</w:t>
      </w:r>
      <w:r>
        <w:rPr>
          <w:rFonts w:hint="default" w:ascii="Times New Roman" w:hAnsi="Times New Roman" w:eastAsia="宋体" w:cs="Times New Roman"/>
          <w:bCs/>
          <w:kern w:val="2"/>
          <w:sz w:val="24"/>
          <w:szCs w:val="24"/>
          <w:lang w:val="en-US" w:eastAsia="zh-CN" w:bidi="ar"/>
        </w:rPr>
        <w:t>50%</w:t>
      </w:r>
      <w:r>
        <w:rPr>
          <w:rFonts w:hint="eastAsia" w:ascii="宋体" w:hAnsi="宋体" w:eastAsia="宋体" w:cs="宋体"/>
          <w:bCs/>
          <w:kern w:val="2"/>
          <w:sz w:val="24"/>
          <w:szCs w:val="24"/>
          <w:lang w:val="en-US" w:eastAsia="zh-CN" w:bidi="ar"/>
        </w:rPr>
        <w:t>）选举产生一名基金份额持有人或代理人作为该次基金份额持有人大会的主持人；</w:t>
      </w:r>
    </w:p>
    <w:p w14:paraId="419E1BA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、一般决议须经参加大会的基金份额持有人或其代理人所持表决权的二分之一以上（含二分之一）通过；</w:t>
      </w:r>
    </w:p>
    <w:p w14:paraId="677B9FB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、特别决议应当经参加大会的基金份额持有人或其代理人所持表决权的三分之二以上（含三分之二）通过。</w:t>
      </w:r>
    </w:p>
    <w:p w14:paraId="262EC5B6">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同一主侧袋账户内的每份基金份额具有平等的表决权。</w:t>
      </w:r>
    </w:p>
    <w:p w14:paraId="786E0351">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十、本部分对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14:paraId="14032190">
      <w:pPr>
        <w:keepNext w:val="0"/>
        <w:keepLines w:val="0"/>
        <w:widowControl w:val="0"/>
        <w:suppressLineNumbers w:val="0"/>
        <w:spacing w:before="0" w:beforeAutospacing="0" w:after="0" w:afterAutospacing="0" w:line="360" w:lineRule="auto"/>
        <w:ind w:left="0" w:right="0" w:firstLine="482" w:firstLineChars="200"/>
        <w:jc w:val="both"/>
        <w:outlineLvl w:val="1"/>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三、基金收益分配原则、执行方式</w:t>
      </w:r>
    </w:p>
    <w:p w14:paraId="38E8B0E9">
      <w:pPr>
        <w:keepNext w:val="0"/>
        <w:keepLines w:val="0"/>
        <w:widowControl w:val="0"/>
        <w:suppressLineNumbers w:val="0"/>
        <w:spacing w:before="0" w:beforeAutospacing="0" w:after="0" w:afterAutospacing="0" w:line="360" w:lineRule="auto"/>
        <w:ind w:left="0" w:right="0" w:firstLine="480" w:firstLineChars="200"/>
        <w:jc w:val="both"/>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（一）基金收益分配原则</w:t>
      </w:r>
    </w:p>
    <w:p w14:paraId="689A60F8">
      <w:pPr>
        <w:keepNext w:val="0"/>
        <w:keepLines w:val="0"/>
        <w:widowControl w:val="0"/>
        <w:suppressLineNumbers w:val="0"/>
        <w:spacing w:before="0" w:beforeAutospacing="0" w:after="0" w:afterAutospacing="0" w:line="360" w:lineRule="auto"/>
        <w:ind w:left="0" w:right="0" w:firstLine="540" w:firstLineChars="225"/>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、由于本基金</w:t>
      </w:r>
      <w:r>
        <w:rPr>
          <w:rFonts w:hint="default" w:ascii="Times New Roman" w:hAnsi="Times New Roman" w:eastAsia="宋体" w:cs="Times New Roman"/>
          <w:bCs/>
          <w:kern w:val="2"/>
          <w:sz w:val="24"/>
          <w:szCs w:val="24"/>
          <w:lang w:val="en-US" w:eastAsia="zh-CN" w:bidi="ar"/>
        </w:rPr>
        <w:t>A</w:t>
      </w:r>
      <w:r>
        <w:rPr>
          <w:rFonts w:hint="eastAsia" w:ascii="宋体" w:hAnsi="宋体" w:eastAsia="宋体" w:cs="宋体"/>
          <w:bCs/>
          <w:kern w:val="2"/>
          <w:sz w:val="24"/>
          <w:szCs w:val="24"/>
          <w:lang w:val="en-US" w:eastAsia="zh-CN" w:bidi="ar"/>
        </w:rPr>
        <w:t>类基金份额不收取销售服务费，</w:t>
      </w: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类基金份额收取销售服务费，各基金份额类别对应的可供分配利润将有所不同；</w:t>
      </w:r>
    </w:p>
    <w:p w14:paraId="046A2DD9">
      <w:pPr>
        <w:keepNext w:val="0"/>
        <w:keepLines w:val="0"/>
        <w:widowControl w:val="0"/>
        <w:suppressLineNumbers w:val="0"/>
        <w:spacing w:before="0" w:beforeAutospacing="0" w:after="0" w:afterAutospacing="0" w:line="360" w:lineRule="auto"/>
        <w:ind w:left="0" w:right="0" w:firstLine="540" w:firstLineChars="225"/>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、在符合有关基金分红条件的前提下，本基金管理人可以根据实际情况进行收益分配，具体分配方案以公告为准，若《基金合同》生效不满</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个月可不进行收益分配；</w:t>
      </w:r>
    </w:p>
    <w:p w14:paraId="4E882F7A">
      <w:pPr>
        <w:keepNext w:val="0"/>
        <w:keepLines w:val="0"/>
        <w:widowControl w:val="0"/>
        <w:suppressLineNumbers w:val="0"/>
        <w:spacing w:before="0" w:beforeAutospacing="0" w:after="0" w:afterAutospacing="0" w:line="360" w:lineRule="auto"/>
        <w:ind w:left="0" w:right="0" w:firstLine="540" w:firstLineChars="225"/>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、本基金收益分配方式分两种：现金分红与红利再投资，投资者可选择现金红利或将现金红利自动转为相应类别的基金份额进行再投资；若投资者不选择，本基金默认的收益分配方式是现金分红；</w:t>
      </w:r>
      <w:r>
        <w:rPr>
          <w:rFonts w:hint="eastAsia" w:ascii="宋体" w:hAnsi="宋体" w:eastAsia="宋体" w:cs="宋体"/>
          <w:kern w:val="2"/>
          <w:sz w:val="24"/>
          <w:szCs w:val="24"/>
          <w:lang w:val="en-US" w:eastAsia="zh-CN" w:bidi="ar"/>
        </w:rPr>
        <w:t>基金份额持有人可对其持有的</w:t>
      </w:r>
      <w:r>
        <w:rPr>
          <w:rFonts w:hint="default" w:ascii="Times New Roman" w:hAnsi="Times New Roman" w:eastAsia="宋体" w:cs="Times New Roman"/>
          <w:kern w:val="2"/>
          <w:sz w:val="24"/>
          <w:szCs w:val="24"/>
          <w:lang w:val="en-US" w:eastAsia="zh-CN" w:bidi="ar"/>
        </w:rPr>
        <w:t>A</w:t>
      </w:r>
      <w:r>
        <w:rPr>
          <w:rFonts w:hint="eastAsia" w:ascii="宋体" w:hAnsi="宋体" w:eastAsia="宋体" w:cs="宋体"/>
          <w:kern w:val="2"/>
          <w:sz w:val="24"/>
          <w:szCs w:val="24"/>
          <w:lang w:val="en-US" w:eastAsia="zh-CN" w:bidi="ar"/>
        </w:rPr>
        <w:t>类</w:t>
      </w:r>
      <w:r>
        <w:rPr>
          <w:rFonts w:hint="eastAsia" w:ascii="宋体" w:hAnsi="宋体" w:eastAsia="宋体" w:cs="宋体"/>
          <w:bCs/>
          <w:kern w:val="2"/>
          <w:sz w:val="24"/>
          <w:szCs w:val="24"/>
          <w:lang w:val="en-US" w:eastAsia="zh-CN" w:bidi="ar"/>
        </w:rPr>
        <w:t>基金份额</w:t>
      </w:r>
      <w:r>
        <w:rPr>
          <w:rFonts w:hint="eastAsia" w:ascii="宋体" w:hAnsi="宋体" w:eastAsia="宋体" w:cs="宋体"/>
          <w:kern w:val="2"/>
          <w:sz w:val="24"/>
          <w:szCs w:val="24"/>
          <w:lang w:val="en-US" w:eastAsia="zh-CN" w:bidi="ar"/>
        </w:rPr>
        <w:t>和</w:t>
      </w:r>
      <w:r>
        <w:rPr>
          <w:rFonts w:hint="default" w:ascii="Times New Roman" w:hAnsi="Times New Roman" w:eastAsia="宋体" w:cs="Times New Roman"/>
          <w:kern w:val="2"/>
          <w:sz w:val="24"/>
          <w:szCs w:val="24"/>
          <w:lang w:val="en-US" w:eastAsia="zh-CN" w:bidi="ar"/>
        </w:rPr>
        <w:t>C</w:t>
      </w:r>
      <w:r>
        <w:rPr>
          <w:rFonts w:hint="eastAsia" w:ascii="宋体" w:hAnsi="宋体" w:eastAsia="宋体" w:cs="宋体"/>
          <w:kern w:val="2"/>
          <w:sz w:val="24"/>
          <w:szCs w:val="24"/>
          <w:lang w:val="en-US" w:eastAsia="zh-CN" w:bidi="ar"/>
        </w:rPr>
        <w:t>类基金份额分别选择不同的收益分配方式；</w:t>
      </w:r>
    </w:p>
    <w:p w14:paraId="6A72B50B">
      <w:pPr>
        <w:keepNext w:val="0"/>
        <w:keepLines w:val="0"/>
        <w:widowControl w:val="0"/>
        <w:suppressLineNumbers w:val="0"/>
        <w:spacing w:before="0" w:beforeAutospacing="0" w:after="0" w:afterAutospacing="0" w:line="360" w:lineRule="auto"/>
        <w:ind w:left="0" w:right="0" w:firstLine="540" w:firstLineChars="225"/>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、基金收益分配后任一类基金份额净值不能低于面值；即基金收益分配基准日的任一类基金份额净值减去该类每单位基金份额收益分配金额后不能低于面值；</w:t>
      </w:r>
    </w:p>
    <w:p w14:paraId="0315E33F">
      <w:pPr>
        <w:keepNext w:val="0"/>
        <w:keepLines w:val="0"/>
        <w:widowControl w:val="0"/>
        <w:suppressLineNumbers w:val="0"/>
        <w:spacing w:before="0" w:beforeAutospacing="0" w:after="0" w:afterAutospacing="0" w:line="360" w:lineRule="auto"/>
        <w:ind w:left="0" w:right="0" w:firstLine="540" w:firstLineChars="225"/>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、本基金同一基金份额类别的每一基金份额享有同等分配权；</w:t>
      </w:r>
    </w:p>
    <w:p w14:paraId="089FF2D0">
      <w:pPr>
        <w:keepNext w:val="0"/>
        <w:keepLines w:val="0"/>
        <w:widowControl w:val="0"/>
        <w:suppressLineNumbers w:val="0"/>
        <w:spacing w:before="0" w:beforeAutospacing="0" w:after="0" w:afterAutospacing="0" w:line="360" w:lineRule="auto"/>
        <w:ind w:left="0" w:right="0" w:firstLine="540" w:firstLineChars="225"/>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、法律法规或监管机关另有规定的，从其规定。</w:t>
      </w:r>
    </w:p>
    <w:p w14:paraId="1B162CD2">
      <w:pPr>
        <w:keepNext w:val="0"/>
        <w:keepLines w:val="0"/>
        <w:widowControl w:val="0"/>
        <w:suppressLineNumbers w:val="0"/>
        <w:spacing w:before="0" w:beforeAutospacing="0" w:after="0" w:afterAutospacing="0" w:line="360" w:lineRule="auto"/>
        <w:ind w:left="0" w:right="0" w:firstLine="540" w:firstLineChars="225"/>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（二）收益分配方案</w:t>
      </w:r>
    </w:p>
    <w:p w14:paraId="4545EE32">
      <w:pPr>
        <w:keepNext w:val="0"/>
        <w:keepLines w:val="0"/>
        <w:widowControl w:val="0"/>
        <w:suppressLineNumbers w:val="0"/>
        <w:spacing w:before="0" w:beforeAutospacing="0" w:after="0" w:afterAutospacing="0" w:line="360" w:lineRule="auto"/>
        <w:ind w:left="0" w:right="0" w:firstLine="540" w:firstLineChars="225"/>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基金收益分配方案中应载明截止收益分配基准日的可供分配利润、基金收益分配对象、分配时间、分配数额及比例、分配方式等内容。</w:t>
      </w:r>
    </w:p>
    <w:p w14:paraId="26B125FB">
      <w:pPr>
        <w:keepNext w:val="0"/>
        <w:keepLines w:val="0"/>
        <w:widowControl w:val="0"/>
        <w:suppressLineNumbers w:val="0"/>
        <w:spacing w:before="0" w:beforeAutospacing="0" w:after="0" w:afterAutospacing="0" w:line="360" w:lineRule="auto"/>
        <w:ind w:left="0" w:right="0" w:firstLine="540" w:firstLineChars="225"/>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（三）收益分配方案的确定、公告与实施</w:t>
      </w:r>
    </w:p>
    <w:p w14:paraId="7815918F">
      <w:pPr>
        <w:keepNext w:val="0"/>
        <w:keepLines w:val="0"/>
        <w:widowControl w:val="0"/>
        <w:suppressLineNumbers w:val="0"/>
        <w:spacing w:before="0" w:beforeAutospacing="0" w:after="0" w:afterAutospacing="0" w:line="360" w:lineRule="auto"/>
        <w:ind w:left="0" w:right="0" w:firstLine="540" w:firstLineChars="225"/>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本基金收益分配方案由基金管理人拟定，并由基金托管人复核，依照《信息披露办法》的规定在规定媒介公告。</w:t>
      </w:r>
    </w:p>
    <w:p w14:paraId="10F52925">
      <w:pPr>
        <w:keepNext w:val="0"/>
        <w:keepLines w:val="0"/>
        <w:widowControl w:val="0"/>
        <w:suppressLineNumbers w:val="0"/>
        <w:spacing w:before="0" w:beforeAutospacing="0" w:after="0" w:afterAutospacing="0" w:line="360" w:lineRule="auto"/>
        <w:ind w:left="0" w:right="0" w:firstLine="540" w:firstLineChars="225"/>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法律法规或监管机关另有规定的，从其规定。</w:t>
      </w:r>
    </w:p>
    <w:p w14:paraId="5C2AA0F6">
      <w:pPr>
        <w:keepNext w:val="0"/>
        <w:keepLines w:val="0"/>
        <w:widowControl w:val="0"/>
        <w:suppressLineNumbers w:val="0"/>
        <w:spacing w:before="0" w:beforeAutospacing="0" w:after="0" w:afterAutospacing="0" w:line="360" w:lineRule="auto"/>
        <w:ind w:left="0" w:right="0" w:firstLine="482" w:firstLineChars="200"/>
        <w:jc w:val="both"/>
        <w:outlineLvl w:val="1"/>
        <w:rPr>
          <w:rFonts w:hint="default" w:ascii="Times New Roman" w:hAnsi="Times New Roman" w:cs="Times New Roman"/>
          <w:b/>
          <w:bCs/>
          <w:kern w:val="2"/>
          <w:sz w:val="24"/>
          <w:szCs w:val="24"/>
        </w:rPr>
      </w:pPr>
      <w:r>
        <w:rPr>
          <w:rFonts w:hint="eastAsia" w:ascii="宋体" w:hAnsi="宋体" w:eastAsia="宋体" w:cs="宋体"/>
          <w:b/>
          <w:bCs/>
          <w:kern w:val="2"/>
          <w:sz w:val="24"/>
          <w:szCs w:val="24"/>
          <w:lang w:val="en-US" w:eastAsia="zh-CN" w:bidi="ar"/>
        </w:rPr>
        <w:t>四、与基金财产管理、运用有关费用的提取、支付方式与比例</w:t>
      </w:r>
    </w:p>
    <w:p w14:paraId="4F7B3092">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（一）基金费用的种类</w:t>
      </w:r>
    </w:p>
    <w:p w14:paraId="119C5AA0">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、基金管理人的管理费；</w:t>
      </w:r>
    </w:p>
    <w:p w14:paraId="5901EE21">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、基金托管人的托管费；</w:t>
      </w:r>
    </w:p>
    <w:p w14:paraId="05B1B690">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、《基金合同》生效后与基金相关的信息披露费用；</w:t>
      </w:r>
    </w:p>
    <w:p w14:paraId="55C3A6AB">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、《基金合同》生效后与基金相关的会计师费、律师费、仲裁费和诉讼费；</w:t>
      </w:r>
    </w:p>
    <w:p w14:paraId="7FF496FF">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、基金份额持有人大会费用；</w:t>
      </w:r>
    </w:p>
    <w:p w14:paraId="17A9A7E9">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、基金的证券、期货交易费用；</w:t>
      </w:r>
    </w:p>
    <w:p w14:paraId="150DBE10">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、基金的银行汇划费用；</w:t>
      </w:r>
    </w:p>
    <w:p w14:paraId="16754CDE">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8</w:t>
      </w:r>
      <w:r>
        <w:rPr>
          <w:rFonts w:hint="eastAsia" w:ascii="宋体" w:hAnsi="宋体" w:eastAsia="宋体" w:cs="宋体"/>
          <w:bCs/>
          <w:kern w:val="2"/>
          <w:sz w:val="24"/>
          <w:szCs w:val="24"/>
          <w:lang w:val="en-US" w:eastAsia="zh-CN" w:bidi="ar"/>
        </w:rPr>
        <w:t>、基金的开户费用、账户维护费用；</w:t>
      </w:r>
    </w:p>
    <w:p w14:paraId="0E89B494">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9</w:t>
      </w:r>
      <w:r>
        <w:rPr>
          <w:rFonts w:hint="eastAsia" w:ascii="宋体" w:hAnsi="宋体" w:eastAsia="宋体" w:cs="宋体"/>
          <w:bCs/>
          <w:kern w:val="2"/>
          <w:sz w:val="24"/>
          <w:szCs w:val="24"/>
          <w:lang w:val="en-US" w:eastAsia="zh-CN" w:bidi="ar"/>
        </w:rPr>
        <w:t>、因投资港股通标的股票而产生的各项合理费用；</w:t>
      </w:r>
    </w:p>
    <w:p w14:paraId="4E55225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、本基金从</w:t>
      </w: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类基金份额的基金财产中计提的销售服务费；</w:t>
      </w:r>
    </w:p>
    <w:p w14:paraId="6B6A0039">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11</w:t>
      </w:r>
      <w:r>
        <w:rPr>
          <w:rFonts w:hint="eastAsia" w:ascii="宋体" w:hAnsi="宋体" w:eastAsia="宋体" w:cs="宋体"/>
          <w:bCs/>
          <w:kern w:val="2"/>
          <w:sz w:val="24"/>
          <w:szCs w:val="24"/>
          <w:lang w:val="en-US" w:eastAsia="zh-CN" w:bidi="ar"/>
        </w:rPr>
        <w:t>、按照国家有关规定和《基金合同》约定，可以在基金财产中列支的其他费用。</w:t>
      </w:r>
    </w:p>
    <w:p w14:paraId="316C7600">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（二）基金费用计提方法、计提标准和支付方式</w:t>
      </w:r>
    </w:p>
    <w:p w14:paraId="418C4AF6">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、基金管理人的管理费</w:t>
      </w:r>
    </w:p>
    <w:p w14:paraId="3CEF20B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本基金的管理费按前一日基金资产净值的</w:t>
      </w:r>
      <w:r>
        <w:rPr>
          <w:rFonts w:hint="default" w:ascii="Times New Roman" w:hAnsi="Times New Roman" w:eastAsia="宋体" w:cs="Times New Roman"/>
          <w:bCs/>
          <w:kern w:val="2"/>
          <w:sz w:val="24"/>
          <w:szCs w:val="24"/>
          <w:lang w:val="en-US" w:eastAsia="zh-CN" w:bidi="ar"/>
        </w:rPr>
        <w:t>1.2%</w:t>
      </w:r>
      <w:r>
        <w:rPr>
          <w:rFonts w:hint="eastAsia" w:ascii="宋体" w:hAnsi="宋体" w:eastAsia="宋体" w:cs="宋体"/>
          <w:bCs/>
          <w:kern w:val="2"/>
          <w:sz w:val="24"/>
          <w:szCs w:val="24"/>
          <w:lang w:val="en-US" w:eastAsia="zh-CN" w:bidi="ar"/>
        </w:rPr>
        <w:t>年费率计提。管理费的计算方法如下：</w:t>
      </w:r>
    </w:p>
    <w:p w14:paraId="3D554D6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H</w:t>
      </w: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E</w:t>
      </w:r>
      <w:r>
        <w:rPr>
          <w:rFonts w:hint="eastAsia" w:ascii="宋体" w:hAnsi="宋体" w:eastAsia="宋体" w:cs="宋体"/>
          <w:bCs/>
          <w:kern w:val="2"/>
          <w:sz w:val="24"/>
          <w:szCs w:val="24"/>
          <w:lang w:val="en-US" w:eastAsia="zh-CN" w:bidi="ar"/>
        </w:rPr>
        <w:t>×年管理费率÷当年天数</w:t>
      </w:r>
    </w:p>
    <w:p w14:paraId="4DC71EB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H</w:t>
      </w:r>
      <w:r>
        <w:rPr>
          <w:rFonts w:hint="eastAsia" w:ascii="宋体" w:hAnsi="宋体" w:eastAsia="宋体" w:cs="宋体"/>
          <w:bCs/>
          <w:kern w:val="2"/>
          <w:sz w:val="24"/>
          <w:szCs w:val="24"/>
          <w:lang w:val="en-US" w:eastAsia="zh-CN" w:bidi="ar"/>
        </w:rPr>
        <w:t>为每日应计提的基金管理费</w:t>
      </w:r>
    </w:p>
    <w:p w14:paraId="4533099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E</w:t>
      </w:r>
      <w:r>
        <w:rPr>
          <w:rFonts w:hint="eastAsia" w:ascii="宋体" w:hAnsi="宋体" w:eastAsia="宋体" w:cs="宋体"/>
          <w:bCs/>
          <w:kern w:val="2"/>
          <w:sz w:val="24"/>
          <w:szCs w:val="24"/>
          <w:lang w:val="en-US" w:eastAsia="zh-CN" w:bidi="ar"/>
        </w:rPr>
        <w:t>为前一日的基金资产净值</w:t>
      </w:r>
    </w:p>
    <w:p w14:paraId="0E3B8EED">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基金管理费每日计提，逐日累计至每月月末，按月支付。由基金管理人根据双方核对一致的数据向基金托管人发送划付指令，基金托管人于次月首日起</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个工作日内从基金财产中一次性支付给基金管理人。若遇法定节假日、休息日或不可抗力致使无法按时支付的，顺延至最近可支付日支付。</w:t>
      </w:r>
    </w:p>
    <w:p w14:paraId="3F9E69F7">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、基金托管人的托管费</w:t>
      </w:r>
    </w:p>
    <w:p w14:paraId="4F50907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本基金的托管费按前一日基金资产净值的</w:t>
      </w:r>
      <w:r>
        <w:rPr>
          <w:rFonts w:hint="default" w:ascii="Times New Roman" w:hAnsi="Times New Roman" w:eastAsia="宋体" w:cs="Times New Roman"/>
          <w:bCs/>
          <w:kern w:val="2"/>
          <w:sz w:val="24"/>
          <w:szCs w:val="24"/>
          <w:lang w:val="en-US" w:eastAsia="zh-CN" w:bidi="ar"/>
        </w:rPr>
        <w:t>0.2%</w:t>
      </w:r>
      <w:r>
        <w:rPr>
          <w:rFonts w:hint="eastAsia" w:ascii="宋体" w:hAnsi="宋体" w:eastAsia="宋体" w:cs="宋体"/>
          <w:bCs/>
          <w:kern w:val="2"/>
          <w:sz w:val="24"/>
          <w:szCs w:val="24"/>
          <w:lang w:val="en-US" w:eastAsia="zh-CN" w:bidi="ar"/>
        </w:rPr>
        <w:t>年费率计提。托管费的计算方法如下：</w:t>
      </w:r>
    </w:p>
    <w:p w14:paraId="7C72FD2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H</w:t>
      </w: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E</w:t>
      </w:r>
      <w:r>
        <w:rPr>
          <w:rFonts w:hint="eastAsia" w:ascii="宋体" w:hAnsi="宋体" w:eastAsia="宋体" w:cs="宋体"/>
          <w:bCs/>
          <w:kern w:val="2"/>
          <w:sz w:val="24"/>
          <w:szCs w:val="24"/>
          <w:lang w:val="en-US" w:eastAsia="zh-CN" w:bidi="ar"/>
        </w:rPr>
        <w:t>×年托管费率÷当年天数</w:t>
      </w:r>
    </w:p>
    <w:p w14:paraId="6BDCCE6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H</w:t>
      </w:r>
      <w:r>
        <w:rPr>
          <w:rFonts w:hint="eastAsia" w:ascii="宋体" w:hAnsi="宋体" w:eastAsia="宋体" w:cs="宋体"/>
          <w:bCs/>
          <w:kern w:val="2"/>
          <w:sz w:val="24"/>
          <w:szCs w:val="24"/>
          <w:lang w:val="en-US" w:eastAsia="zh-CN" w:bidi="ar"/>
        </w:rPr>
        <w:t>为每日应计提的基金托管费</w:t>
      </w:r>
    </w:p>
    <w:p w14:paraId="4E04D87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E</w:t>
      </w:r>
      <w:r>
        <w:rPr>
          <w:rFonts w:hint="eastAsia" w:ascii="宋体" w:hAnsi="宋体" w:eastAsia="宋体" w:cs="宋体"/>
          <w:bCs/>
          <w:kern w:val="2"/>
          <w:sz w:val="24"/>
          <w:szCs w:val="24"/>
          <w:lang w:val="en-US" w:eastAsia="zh-CN" w:bidi="ar"/>
        </w:rPr>
        <w:t>为前一日的基金资产净值</w:t>
      </w:r>
    </w:p>
    <w:p w14:paraId="527CCFB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基金托管费每日计提，逐日累计至每月月末，按月支付。由基金管理人根据双方核对一致的数据向基金托管人发送划付指令，基金托管人于次月首日起</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个工作日内从基金财产中一次性支取。若遇法定节假日、休息日或不可抗力致使无法按时支付的，顺延至最近可支付日支付。</w:t>
      </w:r>
    </w:p>
    <w:p w14:paraId="73ECE4D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类基金份额的销售服务费</w:t>
      </w:r>
    </w:p>
    <w:p w14:paraId="303C51D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本基金</w:t>
      </w:r>
      <w:r>
        <w:rPr>
          <w:rFonts w:hint="default" w:ascii="Times New Roman" w:hAnsi="Times New Roman" w:eastAsia="宋体" w:cs="Times New Roman"/>
          <w:bCs/>
          <w:kern w:val="2"/>
          <w:sz w:val="24"/>
          <w:szCs w:val="24"/>
          <w:lang w:val="en-US" w:eastAsia="zh-CN" w:bidi="ar"/>
        </w:rPr>
        <w:t>A</w:t>
      </w:r>
      <w:r>
        <w:rPr>
          <w:rFonts w:hint="eastAsia" w:ascii="宋体" w:hAnsi="宋体" w:eastAsia="宋体" w:cs="宋体"/>
          <w:bCs/>
          <w:kern w:val="2"/>
          <w:sz w:val="24"/>
          <w:szCs w:val="24"/>
          <w:lang w:val="en-US" w:eastAsia="zh-CN" w:bidi="ar"/>
        </w:rPr>
        <w:t>类基金份额不收取销售服务费，</w:t>
      </w: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类基金份额的销售服务费按前一日</w:t>
      </w: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类基金份额的基金资产净值的</w:t>
      </w:r>
      <w:r>
        <w:rPr>
          <w:rFonts w:hint="default" w:ascii="Times New Roman" w:hAnsi="Times New Roman" w:eastAsia="宋体" w:cs="Times New Roman"/>
          <w:bCs/>
          <w:kern w:val="2"/>
          <w:sz w:val="24"/>
          <w:szCs w:val="24"/>
          <w:lang w:val="en-US" w:eastAsia="zh-CN" w:bidi="ar"/>
        </w:rPr>
        <w:t>0.4%</w:t>
      </w:r>
      <w:r>
        <w:rPr>
          <w:rFonts w:hint="eastAsia" w:ascii="宋体" w:hAnsi="宋体" w:eastAsia="宋体" w:cs="宋体"/>
          <w:bCs/>
          <w:kern w:val="2"/>
          <w:sz w:val="24"/>
          <w:szCs w:val="24"/>
          <w:lang w:val="en-US" w:eastAsia="zh-CN" w:bidi="ar"/>
        </w:rPr>
        <w:t>年费率计提。销售服务费的计算方法如下：</w:t>
      </w:r>
    </w:p>
    <w:p w14:paraId="4E01621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H</w:t>
      </w: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E</w:t>
      </w:r>
      <w:r>
        <w:rPr>
          <w:rFonts w:hint="eastAsia" w:ascii="宋体" w:hAnsi="宋体" w:eastAsia="宋体" w:cs="宋体"/>
          <w:bCs/>
          <w:kern w:val="2"/>
          <w:sz w:val="24"/>
          <w:szCs w:val="24"/>
          <w:lang w:val="en-US" w:eastAsia="zh-CN" w:bidi="ar"/>
        </w:rPr>
        <w:t>×年销售服务费率÷当年天数</w:t>
      </w:r>
    </w:p>
    <w:p w14:paraId="6D67CB4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H</w:t>
      </w:r>
      <w:r>
        <w:rPr>
          <w:rFonts w:hint="eastAsia" w:ascii="宋体" w:hAnsi="宋体" w:eastAsia="宋体" w:cs="宋体"/>
          <w:bCs/>
          <w:kern w:val="2"/>
          <w:sz w:val="24"/>
          <w:szCs w:val="24"/>
          <w:lang w:val="en-US" w:eastAsia="zh-CN" w:bidi="ar"/>
        </w:rPr>
        <w:t>为</w:t>
      </w: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类基金份额每日应计提的销售服务费</w:t>
      </w:r>
    </w:p>
    <w:p w14:paraId="4EBD20D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E</w:t>
      </w:r>
      <w:r>
        <w:rPr>
          <w:rFonts w:hint="eastAsia" w:ascii="宋体" w:hAnsi="宋体" w:eastAsia="宋体" w:cs="宋体"/>
          <w:bCs/>
          <w:kern w:val="2"/>
          <w:sz w:val="24"/>
          <w:szCs w:val="24"/>
          <w:lang w:val="en-US" w:eastAsia="zh-CN" w:bidi="ar"/>
        </w:rPr>
        <w:t>为</w:t>
      </w: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类基金份额前一日基金资产净值</w:t>
      </w:r>
    </w:p>
    <w:p w14:paraId="7A8C78F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类基金份额的销售服务费具体收取</w:t>
      </w:r>
      <w:r>
        <w:rPr>
          <w:rFonts w:hint="default" w:ascii="Times New Roman" w:hAnsi="Times New Roman" w:eastAsia="宋体" w:cs="Times New Roman"/>
          <w:bCs/>
          <w:kern w:val="2"/>
          <w:sz w:val="24"/>
          <w:szCs w:val="24"/>
          <w:lang w:val="en-US" w:eastAsia="zh-CN" w:bidi="ar"/>
        </w:rPr>
        <w:t>/</w:t>
      </w:r>
      <w:r>
        <w:rPr>
          <w:rFonts w:hint="eastAsia" w:ascii="宋体" w:hAnsi="宋体" w:eastAsia="宋体" w:cs="宋体"/>
          <w:bCs/>
          <w:kern w:val="2"/>
          <w:sz w:val="24"/>
          <w:szCs w:val="24"/>
          <w:lang w:val="en-US" w:eastAsia="zh-CN" w:bidi="ar"/>
        </w:rPr>
        <w:t>返还方式：</w:t>
      </w:r>
    </w:p>
    <w:p w14:paraId="67F6083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）通过直销机构认购</w:t>
      </w:r>
      <w:r>
        <w:rPr>
          <w:rFonts w:hint="default" w:ascii="Times New Roman" w:hAnsi="Times New Roman" w:eastAsia="宋体" w:cs="Times New Roman"/>
          <w:bCs/>
          <w:kern w:val="2"/>
          <w:sz w:val="24"/>
          <w:szCs w:val="24"/>
          <w:lang w:val="en-US" w:eastAsia="zh-CN" w:bidi="ar"/>
        </w:rPr>
        <w:t>/</w:t>
      </w:r>
      <w:r>
        <w:rPr>
          <w:rFonts w:hint="eastAsia" w:ascii="宋体" w:hAnsi="宋体" w:eastAsia="宋体" w:cs="宋体"/>
          <w:bCs/>
          <w:kern w:val="2"/>
          <w:sz w:val="24"/>
          <w:szCs w:val="24"/>
          <w:lang w:val="en-US" w:eastAsia="zh-CN" w:bidi="ar"/>
        </w:rPr>
        <w:t>申购的</w:t>
      </w: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类基金份额</w:t>
      </w:r>
    </w:p>
    <w:p w14:paraId="631EDA9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对于</w:t>
      </w: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类基金份额计提的销售服务费，在投资人赎回基金份额或基金合同终止时随赎回款或清算款一并返还给投资人。</w:t>
      </w:r>
    </w:p>
    <w:p w14:paraId="492EBBE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）通过其他销售机构认购</w:t>
      </w:r>
      <w:r>
        <w:rPr>
          <w:rFonts w:hint="default" w:ascii="Times New Roman" w:hAnsi="Times New Roman" w:eastAsia="宋体" w:cs="Times New Roman"/>
          <w:bCs/>
          <w:kern w:val="2"/>
          <w:sz w:val="24"/>
          <w:szCs w:val="24"/>
          <w:lang w:val="en-US" w:eastAsia="zh-CN" w:bidi="ar"/>
        </w:rPr>
        <w:t>/</w:t>
      </w:r>
      <w:r>
        <w:rPr>
          <w:rFonts w:hint="eastAsia" w:ascii="宋体" w:hAnsi="宋体" w:eastAsia="宋体" w:cs="宋体"/>
          <w:bCs/>
          <w:kern w:val="2"/>
          <w:sz w:val="24"/>
          <w:szCs w:val="24"/>
          <w:lang w:val="en-US" w:eastAsia="zh-CN" w:bidi="ar"/>
        </w:rPr>
        <w:t>申购的</w:t>
      </w: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类基金份额</w:t>
      </w:r>
    </w:p>
    <w:p w14:paraId="605C50F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对于投资人持续持有期限未超过一年的</w:t>
      </w: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类基金份额，销售服务费每日计提，逐日累计至每月月末，按月支付。由基金管理人根据双方核对一致的数据向基金托管人发送销售服务费划付指令，基金托管人于次月首日起</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个工作日内从基金财产中一次性支付给基金管理人，由基金管理人代付给销售机构。若遇法定节假日、休息日或不可抗力致使无法按时支付的，顺延至最近可支付日支付。</w:t>
      </w:r>
    </w:p>
    <w:p w14:paraId="4113922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对于投资人持续持有期限超过一年的</w:t>
      </w: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类基金份额，持续持有超过一年后计提的销售服务费将在投资人赎回相应基金份额或基金合同终止时随赎回款或清算款一并返还给投资人。</w:t>
      </w:r>
    </w:p>
    <w:p w14:paraId="456C9FC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类基金份额的销售服务费将专门用于本基金的市场推广、销售与基金份额持有人服务。</w:t>
      </w:r>
    </w:p>
    <w:p w14:paraId="7CFBB437">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、上述</w:t>
      </w:r>
      <w:r>
        <w:rPr>
          <w:rFonts w:hint="default" w:ascii="Times New Roman" w:hAnsi="Times New Roman" w:eastAsia="宋体" w:cs="Times New Roman"/>
          <w:bCs/>
          <w:kern w:val="2"/>
          <w:sz w:val="24"/>
          <w:szCs w:val="24"/>
          <w:lang w:val="en-US" w:eastAsia="zh-CN" w:bidi="ar"/>
        </w:rPr>
        <w:t>“</w:t>
      </w:r>
      <w:r>
        <w:rPr>
          <w:rFonts w:hint="eastAsia" w:ascii="宋体" w:hAnsi="宋体" w:eastAsia="宋体" w:cs="宋体"/>
          <w:bCs/>
          <w:kern w:val="2"/>
          <w:sz w:val="24"/>
          <w:szCs w:val="24"/>
          <w:lang w:val="en-US" w:eastAsia="zh-CN" w:bidi="ar"/>
        </w:rPr>
        <w:t>（一）基金费用的种类”中第</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9</w:t>
      </w:r>
      <w:r>
        <w:rPr>
          <w:rFonts w:hint="eastAsia" w:ascii="宋体" w:hAnsi="宋体" w:eastAsia="宋体" w:cs="宋体"/>
          <w:bCs/>
          <w:kern w:val="2"/>
          <w:sz w:val="24"/>
          <w:szCs w:val="24"/>
          <w:lang w:val="en-US" w:eastAsia="zh-CN" w:bidi="ar"/>
        </w:rPr>
        <w:t>项、第</w:t>
      </w:r>
      <w:r>
        <w:rPr>
          <w:rFonts w:hint="default" w:ascii="Times New Roman" w:hAnsi="Times New Roman" w:eastAsia="宋体" w:cs="Times New Roman"/>
          <w:bCs/>
          <w:kern w:val="2"/>
          <w:sz w:val="24"/>
          <w:szCs w:val="24"/>
          <w:lang w:val="en-US" w:eastAsia="zh-CN" w:bidi="ar"/>
        </w:rPr>
        <w:t>11</w:t>
      </w:r>
      <w:r>
        <w:rPr>
          <w:rFonts w:hint="eastAsia" w:ascii="宋体" w:hAnsi="宋体" w:eastAsia="宋体" w:cs="宋体"/>
          <w:bCs/>
          <w:kern w:val="2"/>
          <w:sz w:val="24"/>
          <w:szCs w:val="24"/>
          <w:lang w:val="en-US" w:eastAsia="zh-CN" w:bidi="ar"/>
        </w:rPr>
        <w:t>项费用，根据有关法规及相应协议规定，按费用实际支出金额列入当期费用，由基金托管人从基金财产中支付。</w:t>
      </w:r>
    </w:p>
    <w:p w14:paraId="60DE66ED">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（三）不列入基金费用的项目</w:t>
      </w:r>
    </w:p>
    <w:p w14:paraId="3A326807">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下列费用不列入基金费用：</w:t>
      </w:r>
    </w:p>
    <w:p w14:paraId="7E2A473A">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、基金管理人和基金托管人因未履行或未完全履行义务导致的费用支出或基金财产的损失；</w:t>
      </w:r>
    </w:p>
    <w:p w14:paraId="036DD090">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、基金管理人和基金托管人处理与基金运作无关的事项发生的费用；</w:t>
      </w:r>
    </w:p>
    <w:p w14:paraId="1AD696E2">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、《基金合同》生效前的相关费用；</w:t>
      </w:r>
    </w:p>
    <w:p w14:paraId="0001672C">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、其他根据相关法律法规及中国证监会的有关规定不得列入基金费用的项目。</w:t>
      </w:r>
    </w:p>
    <w:p w14:paraId="7DCF71E1">
      <w:pPr>
        <w:keepNext w:val="0"/>
        <w:keepLines w:val="0"/>
        <w:widowControl w:val="0"/>
        <w:suppressLineNumbers w:val="0"/>
        <w:spacing w:before="0" w:beforeAutospacing="0" w:after="0" w:afterAutospacing="0" w:line="360" w:lineRule="auto"/>
        <w:ind w:left="0" w:right="0" w:firstLine="480" w:firstLineChars="200"/>
        <w:jc w:val="both"/>
        <w:outlineLvl w:val="2"/>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（四）实施侧袋机制期间的基金费用</w:t>
      </w:r>
    </w:p>
    <w:p w14:paraId="23249E9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本基金实施侧袋机制的，与侧袋账户有关的费用可以从侧袋账户中列支，但应待侧袋账户资产变现后方可列支，有关费用可酌情收取或减免，但不得收取管理费，详见招募说明书的规定。</w:t>
      </w:r>
    </w:p>
    <w:p w14:paraId="4EE4D33F">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（五）基金税收</w:t>
      </w:r>
    </w:p>
    <w:p w14:paraId="0AA4C44D">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159F3EC1">
      <w:pPr>
        <w:keepNext w:val="0"/>
        <w:keepLines w:val="0"/>
        <w:widowControl w:val="0"/>
        <w:suppressLineNumbers w:val="0"/>
        <w:spacing w:before="0" w:beforeAutospacing="0" w:after="0" w:afterAutospacing="0" w:line="360" w:lineRule="auto"/>
        <w:ind w:left="0" w:right="0" w:firstLine="482" w:firstLineChars="200"/>
        <w:jc w:val="both"/>
        <w:outlineLvl w:val="1"/>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五、基金财产的投资方向和投资限制</w:t>
      </w:r>
    </w:p>
    <w:p w14:paraId="1247EAF2">
      <w:pPr>
        <w:keepNext w:val="0"/>
        <w:keepLines w:val="0"/>
        <w:widowControl w:val="0"/>
        <w:suppressLineNumbers w:val="0"/>
        <w:spacing w:before="0" w:beforeAutospacing="0" w:after="0" w:afterAutospacing="0" w:line="360" w:lineRule="auto"/>
        <w:ind w:left="0" w:right="0" w:firstLine="480" w:firstLineChars="200"/>
        <w:jc w:val="both"/>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（一）投资目标</w:t>
      </w:r>
    </w:p>
    <w:p w14:paraId="296DA76B">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本基金主要投资于消费主题相关上市公司，在合理控制风险的前提下，充分发挥专业研究与管理能力，力争为投资者提供长期稳健的投资回报。</w:t>
      </w:r>
    </w:p>
    <w:p w14:paraId="4F795EA4">
      <w:pPr>
        <w:keepNext w:val="0"/>
        <w:keepLines w:val="0"/>
        <w:widowControl w:val="0"/>
        <w:suppressLineNumbers w:val="0"/>
        <w:spacing w:before="0" w:beforeAutospacing="0" w:after="0" w:afterAutospacing="0" w:line="360" w:lineRule="auto"/>
        <w:ind w:left="0" w:right="0" w:firstLine="480" w:firstLineChars="200"/>
        <w:jc w:val="both"/>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（二）投资范围</w:t>
      </w:r>
    </w:p>
    <w:p w14:paraId="1D865F35">
      <w:pPr>
        <w:keepNext w:val="0"/>
        <w:keepLines w:val="0"/>
        <w:widowControl w:val="0"/>
        <w:suppressLineNumbers w:val="0"/>
        <w:spacing w:before="0" w:beforeAutospacing="0" w:after="0" w:afterAutospacing="0" w:line="360" w:lineRule="auto"/>
        <w:ind w:left="0" w:right="0" w:firstLine="48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本基金的投资范围为具有良好流动性的金融工具，包括国内依法发行上市的股票（含主板、创业板、科创板及其他经中国证监会核准或注册上市的股票、存托凭证）、港股通标的股票、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14:paraId="7C72B82F">
      <w:pPr>
        <w:keepNext w:val="0"/>
        <w:keepLines w:val="0"/>
        <w:widowControl w:val="0"/>
        <w:suppressLineNumbers w:val="0"/>
        <w:spacing w:before="0" w:beforeAutospacing="0" w:after="0" w:afterAutospacing="0" w:line="360" w:lineRule="auto"/>
        <w:ind w:left="0" w:right="0" w:firstLine="480"/>
        <w:jc w:val="both"/>
        <w:rPr>
          <w:rFonts w:hint="default" w:ascii="Times New Roman" w:hAnsi="Times New Roman" w:cs="Times New Roman"/>
          <w:bCs/>
          <w:kern w:val="2"/>
          <w:sz w:val="21"/>
          <w:szCs w:val="21"/>
        </w:rPr>
      </w:pPr>
      <w:r>
        <w:rPr>
          <w:rFonts w:hint="eastAsia" w:ascii="宋体" w:hAnsi="宋体" w:eastAsia="宋体" w:cs="宋体"/>
          <w:bCs/>
          <w:kern w:val="2"/>
          <w:sz w:val="24"/>
          <w:szCs w:val="24"/>
          <w:lang w:val="en-US" w:eastAsia="zh-CN" w:bidi="ar"/>
        </w:rPr>
        <w:t>如法律法规或监管机构以后允许基金投资其他品种，基金管理人在履行适当程序后，可以将其纳入投资范围。</w:t>
      </w:r>
    </w:p>
    <w:p w14:paraId="70C341AB">
      <w:pPr>
        <w:keepNext w:val="0"/>
        <w:keepLines w:val="0"/>
        <w:widowControl w:val="0"/>
        <w:suppressLineNumbers w:val="0"/>
        <w:spacing w:before="0" w:beforeAutospacing="0" w:after="0" w:afterAutospacing="0" w:line="360" w:lineRule="auto"/>
        <w:ind w:left="0" w:right="0" w:firstLine="48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基金的投资组合比例为：股票投资（含存托凭证）占基金资产的比例为</w:t>
      </w:r>
      <w:r>
        <w:rPr>
          <w:rFonts w:hint="default" w:ascii="Times New Roman" w:hAnsi="Times New Roman" w:eastAsia="宋体" w:cs="Times New Roman"/>
          <w:bCs/>
          <w:kern w:val="2"/>
          <w:sz w:val="24"/>
          <w:szCs w:val="24"/>
          <w:lang w:val="en-US" w:eastAsia="zh-CN" w:bidi="ar"/>
        </w:rPr>
        <w:t>60%-95%</w:t>
      </w:r>
      <w:r>
        <w:rPr>
          <w:rFonts w:hint="eastAsia" w:ascii="宋体" w:hAnsi="宋体" w:eastAsia="宋体" w:cs="宋体"/>
          <w:bCs/>
          <w:kern w:val="2"/>
          <w:sz w:val="24"/>
          <w:szCs w:val="24"/>
          <w:lang w:val="en-US" w:eastAsia="zh-CN" w:bidi="ar"/>
        </w:rPr>
        <w:t>（其中投资于港股通标的股票的比例占股票资产的</w:t>
      </w:r>
      <w:r>
        <w:rPr>
          <w:rFonts w:hint="default" w:ascii="Times New Roman" w:hAnsi="Times New Roman" w:eastAsia="宋体" w:cs="Times New Roman"/>
          <w:bCs/>
          <w:kern w:val="2"/>
          <w:sz w:val="24"/>
          <w:szCs w:val="24"/>
          <w:lang w:val="en-US" w:eastAsia="zh-CN" w:bidi="ar"/>
        </w:rPr>
        <w:t>0%-50%</w:t>
      </w:r>
      <w:r>
        <w:rPr>
          <w:rFonts w:hint="eastAsia" w:ascii="宋体" w:hAnsi="宋体" w:eastAsia="宋体" w:cs="宋体"/>
          <w:bCs/>
          <w:kern w:val="2"/>
          <w:sz w:val="24"/>
          <w:szCs w:val="24"/>
          <w:lang w:val="en-US" w:eastAsia="zh-CN" w:bidi="ar"/>
        </w:rPr>
        <w:t>），投资于消费主题相关股票（含存托凭证）的比例不低于非现金基金资产的</w:t>
      </w:r>
      <w:r>
        <w:rPr>
          <w:rFonts w:hint="default" w:ascii="Times New Roman" w:hAnsi="Times New Roman" w:eastAsia="宋体" w:cs="Times New Roman"/>
          <w:bCs/>
          <w:kern w:val="2"/>
          <w:sz w:val="24"/>
          <w:szCs w:val="24"/>
          <w:lang w:val="en-US" w:eastAsia="zh-CN" w:bidi="ar"/>
        </w:rPr>
        <w:t>80%</w:t>
      </w:r>
      <w:r>
        <w:rPr>
          <w:rFonts w:hint="eastAsia" w:ascii="宋体" w:hAnsi="宋体" w:eastAsia="宋体" w:cs="宋体"/>
          <w:bCs/>
          <w:kern w:val="2"/>
          <w:sz w:val="24"/>
          <w:szCs w:val="24"/>
          <w:lang w:val="en-US" w:eastAsia="zh-CN" w:bidi="ar"/>
        </w:rPr>
        <w:t>；每个交易日日终在扣除股指期货合约需缴纳的交易保证金后，本基金持有的现金或者到期日在一年以内的政府债券的比例合计不低于基金资产净值的</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，其中现金不包括结算备付金、存出保证金、应收申购款等。</w:t>
      </w:r>
    </w:p>
    <w:p w14:paraId="29B2BE4D">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如果法律法规或中国证监会变更投资品种的投资比例限制，基金管理人在履行适当程序后，可以调整上述投资品种的投资比例。</w:t>
      </w:r>
    </w:p>
    <w:p w14:paraId="634B0151">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（三）投资策略</w:t>
      </w:r>
    </w:p>
    <w:p w14:paraId="739C672A">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本基金充分发挥基金管理人的研究优势，在分析和判断宏观经济周期和金融市场运行趋势的基础上，运用修正后的投资时钟分析框架，自上而下调整基金大类资产配置；在严谨深入的股票和债券研究分析基础上，自下而上精选个股和个券；在保持总体风险水平相对稳定的基础上，力争获取投资组合的较高回报。</w:t>
      </w:r>
    </w:p>
    <w:p w14:paraId="5F9543C6">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、大类资产配置</w:t>
      </w:r>
    </w:p>
    <w:p w14:paraId="7AB804E9">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本基金利用经交银施罗德研究团队修正后的投资时钟分析框架，通过“自上而下”的定性分析和定量分析相结合形成对不同资产市场表现的预测和判断，确定基金资产在沪深</w:t>
      </w:r>
      <w:r>
        <w:rPr>
          <w:rFonts w:hint="default" w:ascii="Times New Roman" w:hAnsi="Times New Roman" w:eastAsia="宋体" w:cs="Times New Roman"/>
          <w:bCs/>
          <w:kern w:val="2"/>
          <w:sz w:val="24"/>
          <w:szCs w:val="24"/>
          <w:lang w:val="en-US" w:eastAsia="zh-CN" w:bidi="ar"/>
        </w:rPr>
        <w:t>A</w:t>
      </w:r>
      <w:r>
        <w:rPr>
          <w:rFonts w:hint="eastAsia" w:ascii="宋体" w:hAnsi="宋体" w:eastAsia="宋体" w:cs="宋体"/>
          <w:bCs/>
          <w:kern w:val="2"/>
          <w:sz w:val="24"/>
          <w:szCs w:val="24"/>
          <w:lang w:val="en-US" w:eastAsia="zh-CN" w:bidi="ar"/>
        </w:rPr>
        <w:t>股、港股通标的股票、债券及货币市场工具等各类别资产间的分配比例，并随着各类证券风险收益特征的相对变化，在基金合同约定的范围内动态调整组合中各类资产的比例，以规避或控制市场风险，提高基金收益率。</w:t>
      </w:r>
    </w:p>
    <w:p w14:paraId="274C03A7">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、股票投资策略</w:t>
      </w:r>
    </w:p>
    <w:p w14:paraId="2B7DB4C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本基金主要运用交银施罗德股票研究分析方法等投资分析工具，在把握宏观经济运行趋势和股票市场行业轮动的基础上，充分发挥公司股票研究团队“自下而上”的主动选股能力，基于对个股深入的基本面研究和细致的实地调研，精选股票构建股票投资组合。</w:t>
      </w:r>
    </w:p>
    <w:p w14:paraId="769C20C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）消费主题的界定</w:t>
      </w:r>
    </w:p>
    <w:p w14:paraId="147C60C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本基金所界定的消费主题，聚焦于在经济发展、社会文化变迁、技术变革的背景下，随着消费人群的变化，消费方式和场景的创新，消费内容的迭代所带来的消费机遇。</w:t>
      </w:r>
    </w:p>
    <w:p w14:paraId="2014161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本基金所指消费主题相关行业，既包含满足居民日常生活基本需求的行业，如食品饮料、农林牧渔、商贸零售、家用电器、纺织服饰、轻工制造、交通运输、医药生物等，也包含满足新时代居民更高层次物质或精神需求的行业，如美容护理、社会服务、传媒、汽车等。</w:t>
      </w:r>
    </w:p>
    <w:p w14:paraId="4D05D86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本基金将结合经济发展、人口结构、社会生活习惯、产业结构、科技发展及国家相关政策等多重因素，综合研判各行业、企业未来能否成为消费行业发展的增长动力，动态调整消费主题相关行业的覆盖范围。对于部分传统行业，若其能借助新技术、新产品、新模式适配人们多元化的消费需求，也将被纳入本基金的消费主题行业范畴。在履行适当程序后，本基金将根据实际情况对主题的界定范围进行调整，并在招募说明书中更新并公告。</w:t>
      </w:r>
    </w:p>
    <w:p w14:paraId="29D6733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）个股投资策略</w:t>
      </w:r>
    </w:p>
    <w:p w14:paraId="5397342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）品质筛选</w:t>
      </w:r>
    </w:p>
    <w:p w14:paraId="587D722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筛选出在公司治理、财务及管理品质上符合基本品质要求的公司，构建备选股票池。主要筛选指标包括：</w:t>
      </w:r>
    </w:p>
    <w:p w14:paraId="6441B947">
      <w:pPr>
        <w:keepNext w:val="0"/>
        <w:keepLines w:val="0"/>
        <w:widowControl w:val="0"/>
        <w:numPr>
          <w:ilvl w:val="0"/>
          <w:numId w:val="2"/>
        </w:numPr>
        <w:suppressLineNumbers w:val="0"/>
        <w:spacing w:before="0" w:beforeAutospacing="0" w:after="0" w:afterAutospacing="0" w:line="360" w:lineRule="auto"/>
        <w:ind w:left="840" w:right="0" w:hanging="42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盈利能力指标：如营业利润率（</w:t>
      </w:r>
      <w:r>
        <w:rPr>
          <w:rFonts w:hint="default" w:ascii="Times New Roman" w:hAnsi="Times New Roman" w:eastAsia="宋体" w:cs="Times New Roman"/>
          <w:bCs/>
          <w:kern w:val="2"/>
          <w:sz w:val="24"/>
          <w:szCs w:val="24"/>
          <w:lang w:val="en-US" w:eastAsia="zh-CN" w:bidi="ar"/>
        </w:rPr>
        <w:t>OPM</w:t>
      </w:r>
      <w:r>
        <w:rPr>
          <w:rFonts w:hint="eastAsia" w:ascii="宋体" w:hAnsi="宋体" w:eastAsia="宋体" w:cs="宋体"/>
          <w:bCs/>
          <w:kern w:val="2"/>
          <w:sz w:val="24"/>
          <w:szCs w:val="24"/>
          <w:lang w:val="en-US" w:eastAsia="zh-CN" w:bidi="ar"/>
        </w:rPr>
        <w:t>）、每股收益（</w:t>
      </w:r>
      <w:r>
        <w:rPr>
          <w:rFonts w:hint="default" w:ascii="Times New Roman" w:hAnsi="Times New Roman" w:eastAsia="宋体" w:cs="Times New Roman"/>
          <w:bCs/>
          <w:kern w:val="2"/>
          <w:sz w:val="24"/>
          <w:szCs w:val="24"/>
          <w:lang w:val="en-US" w:eastAsia="zh-CN" w:bidi="ar"/>
        </w:rPr>
        <w:t>EPS</w:t>
      </w:r>
      <w:r>
        <w:rPr>
          <w:rFonts w:hint="eastAsia" w:ascii="宋体" w:hAnsi="宋体" w:eastAsia="宋体" w:cs="宋体"/>
          <w:bCs/>
          <w:kern w:val="2"/>
          <w:sz w:val="24"/>
          <w:szCs w:val="24"/>
          <w:lang w:val="en-US" w:eastAsia="zh-CN" w:bidi="ar"/>
        </w:rPr>
        <w:t>）、每股现金流（</w:t>
      </w:r>
      <w:r>
        <w:rPr>
          <w:rFonts w:hint="default" w:ascii="Times New Roman" w:hAnsi="Times New Roman" w:eastAsia="宋体" w:cs="Times New Roman"/>
          <w:bCs/>
          <w:kern w:val="2"/>
          <w:sz w:val="24"/>
          <w:szCs w:val="24"/>
          <w:lang w:val="en-US" w:eastAsia="zh-CN" w:bidi="ar"/>
        </w:rPr>
        <w:t>CFPS</w:t>
      </w:r>
      <w:r>
        <w:rPr>
          <w:rFonts w:hint="eastAsia" w:ascii="宋体" w:hAnsi="宋体" w:eastAsia="宋体" w:cs="宋体"/>
          <w:bCs/>
          <w:kern w:val="2"/>
          <w:sz w:val="24"/>
          <w:szCs w:val="24"/>
          <w:lang w:val="en-US" w:eastAsia="zh-CN" w:bidi="ar"/>
        </w:rPr>
        <w:t>）、每股自由现金流（</w:t>
      </w:r>
      <w:r>
        <w:rPr>
          <w:rFonts w:hint="default" w:ascii="Times New Roman" w:hAnsi="Times New Roman" w:eastAsia="宋体" w:cs="Times New Roman"/>
          <w:bCs/>
          <w:kern w:val="2"/>
          <w:sz w:val="24"/>
          <w:szCs w:val="24"/>
          <w:lang w:val="en-US" w:eastAsia="zh-CN" w:bidi="ar"/>
        </w:rPr>
        <w:t>FCFPS</w:t>
      </w:r>
      <w:r>
        <w:rPr>
          <w:rFonts w:hint="eastAsia" w:ascii="宋体" w:hAnsi="宋体" w:eastAsia="宋体" w:cs="宋体"/>
          <w:bCs/>
          <w:kern w:val="2"/>
          <w:sz w:val="24"/>
          <w:szCs w:val="24"/>
          <w:lang w:val="en-US" w:eastAsia="zh-CN" w:bidi="ar"/>
        </w:rPr>
        <w:t>）与每股息税前利润（</w:t>
      </w:r>
      <w:r>
        <w:rPr>
          <w:rFonts w:hint="default" w:ascii="Times New Roman" w:hAnsi="Times New Roman" w:eastAsia="宋体" w:cs="Times New Roman"/>
          <w:bCs/>
          <w:kern w:val="2"/>
          <w:sz w:val="24"/>
          <w:szCs w:val="24"/>
          <w:lang w:val="en-US" w:eastAsia="zh-CN" w:bidi="ar"/>
        </w:rPr>
        <w:t>EBITPS</w:t>
      </w:r>
      <w:r>
        <w:rPr>
          <w:rFonts w:hint="eastAsia" w:ascii="宋体" w:hAnsi="宋体" w:eastAsia="宋体" w:cs="宋体"/>
          <w:bCs/>
          <w:kern w:val="2"/>
          <w:sz w:val="24"/>
          <w:szCs w:val="24"/>
          <w:lang w:val="en-US" w:eastAsia="zh-CN" w:bidi="ar"/>
        </w:rPr>
        <w:t>）等；</w:t>
      </w:r>
    </w:p>
    <w:p w14:paraId="533C819C">
      <w:pPr>
        <w:keepNext w:val="0"/>
        <w:keepLines w:val="0"/>
        <w:widowControl w:val="0"/>
        <w:numPr>
          <w:ilvl w:val="0"/>
          <w:numId w:val="2"/>
        </w:numPr>
        <w:suppressLineNumbers w:val="0"/>
        <w:spacing w:before="0" w:beforeAutospacing="0" w:after="0" w:afterAutospacing="0" w:line="360" w:lineRule="auto"/>
        <w:ind w:left="840" w:right="0" w:hanging="42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经营效率指标：如净资产收益率（</w:t>
      </w:r>
      <w:r>
        <w:rPr>
          <w:rFonts w:hint="default" w:ascii="Times New Roman" w:hAnsi="Times New Roman" w:eastAsia="宋体" w:cs="Times New Roman"/>
          <w:bCs/>
          <w:kern w:val="2"/>
          <w:sz w:val="24"/>
          <w:szCs w:val="24"/>
          <w:lang w:val="en-US" w:eastAsia="zh-CN" w:bidi="ar"/>
        </w:rPr>
        <w:t>ROE</w:t>
      </w:r>
      <w:r>
        <w:rPr>
          <w:rFonts w:hint="eastAsia" w:ascii="宋体" w:hAnsi="宋体" w:eastAsia="宋体" w:cs="宋体"/>
          <w:bCs/>
          <w:kern w:val="2"/>
          <w:sz w:val="24"/>
          <w:szCs w:val="24"/>
          <w:lang w:val="en-US" w:eastAsia="zh-CN" w:bidi="ar"/>
        </w:rPr>
        <w:t>）、资产收益率（</w:t>
      </w:r>
      <w:r>
        <w:rPr>
          <w:rFonts w:hint="default" w:ascii="Times New Roman" w:hAnsi="Times New Roman" w:eastAsia="宋体" w:cs="Times New Roman"/>
          <w:bCs/>
          <w:kern w:val="2"/>
          <w:sz w:val="24"/>
          <w:szCs w:val="24"/>
          <w:lang w:val="en-US" w:eastAsia="zh-CN" w:bidi="ar"/>
        </w:rPr>
        <w:t>ROA</w:t>
      </w:r>
      <w:r>
        <w:rPr>
          <w:rFonts w:hint="eastAsia" w:ascii="宋体" w:hAnsi="宋体" w:eastAsia="宋体" w:cs="宋体"/>
          <w:bCs/>
          <w:kern w:val="2"/>
          <w:sz w:val="24"/>
          <w:szCs w:val="24"/>
          <w:lang w:val="en-US" w:eastAsia="zh-CN" w:bidi="ar"/>
        </w:rPr>
        <w:t>）、经营资产收益率（</w:t>
      </w:r>
      <w:r>
        <w:rPr>
          <w:rFonts w:hint="default" w:ascii="Times New Roman" w:hAnsi="Times New Roman" w:eastAsia="宋体" w:cs="Times New Roman"/>
          <w:bCs/>
          <w:kern w:val="2"/>
          <w:sz w:val="24"/>
          <w:szCs w:val="24"/>
          <w:lang w:val="en-US" w:eastAsia="zh-CN" w:bidi="ar"/>
        </w:rPr>
        <w:t>ROOA</w:t>
      </w:r>
      <w:r>
        <w:rPr>
          <w:rFonts w:hint="eastAsia" w:ascii="宋体" w:hAnsi="宋体" w:eastAsia="宋体" w:cs="宋体"/>
          <w:bCs/>
          <w:kern w:val="2"/>
          <w:sz w:val="24"/>
          <w:szCs w:val="24"/>
          <w:lang w:val="en-US" w:eastAsia="zh-CN" w:bidi="ar"/>
        </w:rPr>
        <w:t>）与资产周转率（</w:t>
      </w:r>
      <w:r>
        <w:rPr>
          <w:rFonts w:hint="default" w:ascii="Times New Roman" w:hAnsi="Times New Roman" w:eastAsia="宋体" w:cs="Times New Roman"/>
          <w:bCs/>
          <w:kern w:val="2"/>
          <w:sz w:val="24"/>
          <w:szCs w:val="24"/>
          <w:lang w:val="en-US" w:eastAsia="zh-CN" w:bidi="ar"/>
        </w:rPr>
        <w:t>ATR</w:t>
      </w:r>
      <w:r>
        <w:rPr>
          <w:rFonts w:hint="eastAsia" w:ascii="宋体" w:hAnsi="宋体" w:eastAsia="宋体" w:cs="宋体"/>
          <w:bCs/>
          <w:kern w:val="2"/>
          <w:sz w:val="24"/>
          <w:szCs w:val="24"/>
          <w:lang w:val="en-US" w:eastAsia="zh-CN" w:bidi="ar"/>
        </w:rPr>
        <w:t>）等；</w:t>
      </w:r>
    </w:p>
    <w:p w14:paraId="70AFD812">
      <w:pPr>
        <w:keepNext w:val="0"/>
        <w:keepLines w:val="0"/>
        <w:widowControl w:val="0"/>
        <w:numPr>
          <w:ilvl w:val="0"/>
          <w:numId w:val="2"/>
        </w:numPr>
        <w:suppressLineNumbers w:val="0"/>
        <w:spacing w:before="0" w:beforeAutospacing="0" w:after="0" w:afterAutospacing="0" w:line="360" w:lineRule="auto"/>
        <w:ind w:left="840" w:right="0" w:hanging="42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财务状况指标：如资产负债率（</w:t>
      </w:r>
      <w:r>
        <w:rPr>
          <w:rFonts w:hint="default" w:ascii="Times New Roman" w:hAnsi="Times New Roman" w:eastAsia="宋体" w:cs="Times New Roman"/>
          <w:bCs/>
          <w:kern w:val="2"/>
          <w:sz w:val="24"/>
          <w:szCs w:val="24"/>
          <w:lang w:val="en-US" w:eastAsia="zh-CN" w:bidi="ar"/>
        </w:rPr>
        <w:t>D/A</w:t>
      </w:r>
      <w:r>
        <w:rPr>
          <w:rFonts w:hint="eastAsia" w:ascii="宋体" w:hAnsi="宋体" w:eastAsia="宋体" w:cs="宋体"/>
          <w:bCs/>
          <w:kern w:val="2"/>
          <w:sz w:val="24"/>
          <w:szCs w:val="24"/>
          <w:lang w:val="en-US" w:eastAsia="zh-CN" w:bidi="ar"/>
        </w:rPr>
        <w:t>）、流动比率（</w:t>
      </w:r>
      <w:r>
        <w:rPr>
          <w:rFonts w:hint="default" w:ascii="Times New Roman" w:hAnsi="Times New Roman" w:eastAsia="宋体" w:cs="Times New Roman"/>
          <w:bCs/>
          <w:kern w:val="2"/>
          <w:sz w:val="24"/>
          <w:szCs w:val="24"/>
          <w:lang w:val="en-US" w:eastAsia="zh-CN" w:bidi="ar"/>
        </w:rPr>
        <w:t>CR</w:t>
      </w:r>
      <w:r>
        <w:rPr>
          <w:rFonts w:hint="eastAsia" w:ascii="宋体" w:hAnsi="宋体" w:eastAsia="宋体" w:cs="宋体"/>
          <w:bCs/>
          <w:kern w:val="2"/>
          <w:sz w:val="24"/>
          <w:szCs w:val="24"/>
          <w:lang w:val="en-US" w:eastAsia="zh-CN" w:bidi="ar"/>
        </w:rPr>
        <w:t>）等；</w:t>
      </w:r>
    </w:p>
    <w:p w14:paraId="1513C4D1">
      <w:pPr>
        <w:keepNext w:val="0"/>
        <w:keepLines w:val="0"/>
        <w:widowControl w:val="0"/>
        <w:numPr>
          <w:ilvl w:val="0"/>
          <w:numId w:val="2"/>
        </w:numPr>
        <w:suppressLineNumbers w:val="0"/>
        <w:spacing w:before="0" w:beforeAutospacing="0" w:after="0" w:afterAutospacing="0" w:line="360" w:lineRule="auto"/>
        <w:ind w:left="840" w:right="0" w:hanging="420"/>
        <w:jc w:val="both"/>
        <w:rPr>
          <w:rFonts w:hint="eastAsia" w:ascii="宋体" w:hAnsi="宋体" w:eastAsia="宋体" w:cs="宋体"/>
          <w:kern w:val="2"/>
          <w:sz w:val="24"/>
          <w:szCs w:val="24"/>
        </w:rPr>
      </w:pPr>
      <w:r>
        <w:rPr>
          <w:rFonts w:hint="eastAsia" w:ascii="宋体" w:hAnsi="宋体" w:eastAsia="宋体" w:cs="宋体"/>
          <w:bCs/>
          <w:kern w:val="2"/>
          <w:sz w:val="24"/>
          <w:szCs w:val="24"/>
          <w:lang w:val="en-US" w:eastAsia="zh-CN" w:bidi="ar"/>
        </w:rPr>
        <w:t>研发投入指标：如研发投入与营业收入比率、科研人员数量及占比、专利数量及在同行业的占比等。</w:t>
      </w:r>
    </w:p>
    <w:p w14:paraId="752D3E97">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）价值评估</w:t>
      </w:r>
    </w:p>
    <w:p w14:paraId="7C6002C8">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股票估值水平的高低将最终决定投资回报率的高低。由于驱动公司价值创造的因素不同，本基金将借鉴市场通用估值理念，针对不同类型公司以及公司发展中所处的不同阶段，采用不同的价值评估指标对公司的内在价值进行评估，筛选出估值具有吸引力的公司作为投资目标。</w:t>
      </w:r>
    </w:p>
    <w:p w14:paraId="4877131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）港股通标的股票投资策略</w:t>
      </w:r>
    </w:p>
    <w:p w14:paraId="135A266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本基金可通过内地与香港股票市场交易互联互通机制投资于香港股票市场。本基金优先将基本面健康、业绩向上弹性较大、具有估值优势且符合本基金消费主题界定的港股通标的股票纳入本基金的股票投资组合。</w:t>
      </w:r>
    </w:p>
    <w:p w14:paraId="46CB68A1">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本基金可根据投资策略需要或不同配置地市场环境的变化，选择将部分基金资产投资于港股通标的股票或选择不将基金资产投资于港股通标的股票，基金资产并非必然投资港股通标的股票。</w:t>
      </w:r>
    </w:p>
    <w:p w14:paraId="76201B81">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）存托凭证的投资策略</w:t>
      </w:r>
    </w:p>
    <w:p w14:paraId="769BCDA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本基金投资存托凭证的策略依照境内上市交易的股票投资策略执行。</w:t>
      </w:r>
    </w:p>
    <w:p w14:paraId="7AB25E96">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、债券投资策略</w:t>
      </w:r>
    </w:p>
    <w:p w14:paraId="3D3BA072">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本基金的债券投资采取主动的投资管理方式，获得与风险相匹配的投资收益，以实现在一定程度上规避股票市场的系统性风险和保证基金资产的流动性。</w:t>
      </w:r>
    </w:p>
    <w:p w14:paraId="22FAA41B">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调整策略、类属配置策略、期限结构配置策略、回购策略、信用债券投资策略、可转换债券投资策略等多种策略，以期获取债券市场的长期稳定收益。</w:t>
      </w:r>
    </w:p>
    <w:p w14:paraId="23F1578E">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、资产支持证券投资策略</w:t>
      </w:r>
    </w:p>
    <w:p w14:paraId="5EDBC774">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14:paraId="3AC1C714">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、股指期货投资策略</w:t>
      </w:r>
    </w:p>
    <w:p w14:paraId="0137B6E6">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14:paraId="0FE6563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5A3D2840">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（四）投资限制</w:t>
      </w:r>
    </w:p>
    <w:p w14:paraId="17BE6F1E">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、组合限制</w:t>
      </w:r>
    </w:p>
    <w:p w14:paraId="20018596">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基金的投资组合应遵循以下限制：</w:t>
      </w:r>
    </w:p>
    <w:p w14:paraId="7B36FD59">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）股票投资（含存托凭证）占基金资产的比例为</w:t>
      </w:r>
      <w:r>
        <w:rPr>
          <w:rFonts w:hint="default" w:ascii="Times New Roman" w:hAnsi="Times New Roman" w:eastAsia="宋体" w:cs="Times New Roman"/>
          <w:bCs/>
          <w:kern w:val="2"/>
          <w:sz w:val="24"/>
          <w:szCs w:val="24"/>
          <w:lang w:val="en-US" w:eastAsia="zh-CN" w:bidi="ar"/>
        </w:rPr>
        <w:t>60%-95%</w:t>
      </w:r>
      <w:r>
        <w:rPr>
          <w:rFonts w:hint="eastAsia" w:ascii="宋体" w:hAnsi="宋体" w:eastAsia="宋体" w:cs="宋体"/>
          <w:bCs/>
          <w:kern w:val="2"/>
          <w:sz w:val="24"/>
          <w:szCs w:val="24"/>
          <w:lang w:val="en-US" w:eastAsia="zh-CN" w:bidi="ar"/>
        </w:rPr>
        <w:t>（其中投资于港股通标的股票的比例占股票资产的</w:t>
      </w:r>
      <w:r>
        <w:rPr>
          <w:rFonts w:hint="default" w:ascii="Times New Roman" w:hAnsi="Times New Roman" w:eastAsia="宋体" w:cs="Times New Roman"/>
          <w:bCs/>
          <w:kern w:val="2"/>
          <w:sz w:val="24"/>
          <w:szCs w:val="24"/>
          <w:lang w:val="en-US" w:eastAsia="zh-CN" w:bidi="ar"/>
        </w:rPr>
        <w:t>0%-50%</w:t>
      </w:r>
      <w:r>
        <w:rPr>
          <w:rFonts w:hint="eastAsia" w:ascii="宋体" w:hAnsi="宋体" w:eastAsia="宋体" w:cs="宋体"/>
          <w:bCs/>
          <w:kern w:val="2"/>
          <w:sz w:val="24"/>
          <w:szCs w:val="24"/>
          <w:lang w:val="en-US" w:eastAsia="zh-CN" w:bidi="ar"/>
        </w:rPr>
        <w:t>），投资于消费主题相关股票（含存托凭证）的比例不低于非现金基金资产的</w:t>
      </w:r>
      <w:r>
        <w:rPr>
          <w:rFonts w:hint="default" w:ascii="Times New Roman" w:hAnsi="Times New Roman" w:eastAsia="宋体" w:cs="Times New Roman"/>
          <w:bCs/>
          <w:kern w:val="2"/>
          <w:sz w:val="24"/>
          <w:szCs w:val="24"/>
          <w:lang w:val="en-US" w:eastAsia="zh-CN" w:bidi="ar"/>
        </w:rPr>
        <w:t>80%</w:t>
      </w:r>
      <w:r>
        <w:rPr>
          <w:rFonts w:hint="eastAsia" w:ascii="宋体" w:hAnsi="宋体" w:eastAsia="宋体" w:cs="宋体"/>
          <w:bCs/>
          <w:kern w:val="2"/>
          <w:sz w:val="24"/>
          <w:szCs w:val="24"/>
          <w:lang w:val="en-US" w:eastAsia="zh-CN" w:bidi="ar"/>
        </w:rPr>
        <w:t>；</w:t>
      </w:r>
    </w:p>
    <w:p w14:paraId="1DFBEBA1">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）每个交易日日终在扣除股指期货合约需缴纳的交易保证金后，本基金持有的现金或者到期日在一年以内的政府债券的比例合计不低于基金资产净值的</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，其中现金不包括结算备付金、存出保证金、应收申购款等；</w:t>
      </w:r>
    </w:p>
    <w:p w14:paraId="58E0B354">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）本基金持有一家公司发行的证券（同一家公司在内地和香港同时上市的</w:t>
      </w:r>
      <w:r>
        <w:rPr>
          <w:rFonts w:hint="default" w:ascii="Times New Roman" w:hAnsi="Times New Roman" w:eastAsia="宋体" w:cs="Times New Roman"/>
          <w:bCs/>
          <w:kern w:val="2"/>
          <w:sz w:val="24"/>
          <w:szCs w:val="24"/>
          <w:lang w:val="en-US" w:eastAsia="zh-CN" w:bidi="ar"/>
        </w:rPr>
        <w:t>A+H</w:t>
      </w:r>
      <w:r>
        <w:rPr>
          <w:rFonts w:hint="eastAsia" w:ascii="宋体" w:hAnsi="宋体" w:eastAsia="宋体" w:cs="宋体"/>
          <w:bCs/>
          <w:kern w:val="2"/>
          <w:sz w:val="24"/>
          <w:szCs w:val="24"/>
          <w:lang w:val="en-US" w:eastAsia="zh-CN" w:bidi="ar"/>
        </w:rPr>
        <w:t>股合计计算），其市值不超过基金资产净值的</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w:t>
      </w:r>
    </w:p>
    <w:p w14:paraId="3F54F3F3">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）本基金管理人管理的全部基金持有一家公司发行的证券（同一家公司在内地和香港同时上市的</w:t>
      </w:r>
      <w:r>
        <w:rPr>
          <w:rFonts w:hint="default" w:ascii="Times New Roman" w:hAnsi="Times New Roman" w:eastAsia="宋体" w:cs="Times New Roman"/>
          <w:bCs/>
          <w:kern w:val="2"/>
          <w:sz w:val="24"/>
          <w:szCs w:val="24"/>
          <w:lang w:val="en-US" w:eastAsia="zh-CN" w:bidi="ar"/>
        </w:rPr>
        <w:t>A+H</w:t>
      </w:r>
      <w:r>
        <w:rPr>
          <w:rFonts w:hint="eastAsia" w:ascii="宋体" w:hAnsi="宋体" w:eastAsia="宋体" w:cs="宋体"/>
          <w:bCs/>
          <w:kern w:val="2"/>
          <w:sz w:val="24"/>
          <w:szCs w:val="24"/>
          <w:lang w:val="en-US" w:eastAsia="zh-CN" w:bidi="ar"/>
        </w:rPr>
        <w:t>股合计计算），不超过该证券的</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％，完全按照有关指数的构成比例进行证券投资的基金品种可以不受此条款规定的比例限制；</w:t>
      </w:r>
    </w:p>
    <w:p w14:paraId="61F97B57">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）本基金投资于同一原始权益人的各类资产支持证券的比例，不得超过基金资产净值的</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w:t>
      </w:r>
    </w:p>
    <w:p w14:paraId="33286A66">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）本基金持有的全部资产支持证券，其市值不得超过基金资产净值的</w:t>
      </w:r>
      <w:r>
        <w:rPr>
          <w:rFonts w:hint="default" w:ascii="Times New Roman" w:hAnsi="Times New Roman" w:eastAsia="宋体" w:cs="Times New Roman"/>
          <w:bCs/>
          <w:kern w:val="2"/>
          <w:sz w:val="24"/>
          <w:szCs w:val="24"/>
          <w:lang w:val="en-US" w:eastAsia="zh-CN" w:bidi="ar"/>
        </w:rPr>
        <w:t>20</w:t>
      </w:r>
      <w:r>
        <w:rPr>
          <w:rFonts w:hint="eastAsia" w:ascii="宋体" w:hAnsi="宋体" w:eastAsia="宋体" w:cs="宋体"/>
          <w:bCs/>
          <w:kern w:val="2"/>
          <w:sz w:val="24"/>
          <w:szCs w:val="24"/>
          <w:lang w:val="en-US" w:eastAsia="zh-CN" w:bidi="ar"/>
        </w:rPr>
        <w:t>％；</w:t>
      </w:r>
    </w:p>
    <w:p w14:paraId="643D28D4">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）本基金持有的同一（指同一信用级别）资产支持证券的比例，不得超过该资产支持证券规模的</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w:t>
      </w:r>
    </w:p>
    <w:p w14:paraId="6E97A23D">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8</w:t>
      </w:r>
      <w:r>
        <w:rPr>
          <w:rFonts w:hint="eastAsia" w:ascii="宋体" w:hAnsi="宋体" w:eastAsia="宋体" w:cs="宋体"/>
          <w:bCs/>
          <w:kern w:val="2"/>
          <w:sz w:val="24"/>
          <w:szCs w:val="24"/>
          <w:lang w:val="en-US" w:eastAsia="zh-CN" w:bidi="ar"/>
        </w:rPr>
        <w:t>）本基金管理人管理的全部基金投资于同一原始权益人的各类资产支持证券，不得超过其各类资产支持证券合计规模的</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w:t>
      </w:r>
    </w:p>
    <w:p w14:paraId="19767E1F">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9</w:t>
      </w:r>
      <w:r>
        <w:rPr>
          <w:rFonts w:hint="eastAsia" w:ascii="宋体" w:hAnsi="宋体" w:eastAsia="宋体" w:cs="宋体"/>
          <w:bCs/>
          <w:kern w:val="2"/>
          <w:sz w:val="24"/>
          <w:szCs w:val="24"/>
          <w:lang w:val="en-US" w:eastAsia="zh-CN" w:bidi="ar"/>
        </w:rPr>
        <w:t>）本基金应投资于信用级别评级为</w:t>
      </w:r>
      <w:r>
        <w:rPr>
          <w:rFonts w:hint="default" w:ascii="Times New Roman" w:hAnsi="Times New Roman" w:eastAsia="宋体" w:cs="Times New Roman"/>
          <w:bCs/>
          <w:kern w:val="2"/>
          <w:sz w:val="24"/>
          <w:szCs w:val="24"/>
          <w:lang w:val="en-US" w:eastAsia="zh-CN" w:bidi="ar"/>
        </w:rPr>
        <w:t>BBB</w:t>
      </w:r>
      <w:r>
        <w:rPr>
          <w:rFonts w:hint="eastAsia" w:ascii="宋体" w:hAnsi="宋体" w:eastAsia="宋体" w:cs="宋体"/>
          <w:bCs/>
          <w:kern w:val="2"/>
          <w:sz w:val="24"/>
          <w:szCs w:val="24"/>
          <w:lang w:val="en-US" w:eastAsia="zh-CN" w:bidi="ar"/>
        </w:rPr>
        <w:t>以上（含</w:t>
      </w:r>
      <w:r>
        <w:rPr>
          <w:rFonts w:hint="default" w:ascii="Times New Roman" w:hAnsi="Times New Roman" w:eastAsia="宋体" w:cs="Times New Roman"/>
          <w:bCs/>
          <w:kern w:val="2"/>
          <w:sz w:val="24"/>
          <w:szCs w:val="24"/>
          <w:lang w:val="en-US" w:eastAsia="zh-CN" w:bidi="ar"/>
        </w:rPr>
        <w:t>BBB</w:t>
      </w:r>
      <w:r>
        <w:rPr>
          <w:rFonts w:hint="eastAsia" w:ascii="宋体" w:hAnsi="宋体" w:eastAsia="宋体" w:cs="宋体"/>
          <w:bCs/>
          <w:kern w:val="2"/>
          <w:sz w:val="24"/>
          <w:szCs w:val="24"/>
          <w:lang w:val="en-US" w:eastAsia="zh-CN" w:bidi="ar"/>
        </w:rPr>
        <w:t>）的资产支持证券。基金持有资产支持证券期间，如果其信用等级下降、不再符合投资标准，应在评级报告发布之日起</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个月内予以全部卖出；</w:t>
      </w:r>
    </w:p>
    <w:p w14:paraId="5F6E59E5">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）基金财产参与股票发行申购，本基金所申报的金额不超过本基金的总资产，本基金所申报的股票数量不超过拟发行股票公司本次发行股票的总量；</w:t>
      </w:r>
    </w:p>
    <w:p w14:paraId="4D3DFB85">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11</w:t>
      </w:r>
      <w:r>
        <w:rPr>
          <w:rFonts w:hint="eastAsia" w:ascii="宋体" w:hAnsi="宋体" w:eastAsia="宋体" w:cs="宋体"/>
          <w:bCs/>
          <w:kern w:val="2"/>
          <w:sz w:val="24"/>
          <w:szCs w:val="24"/>
          <w:lang w:val="en-US" w:eastAsia="zh-CN" w:bidi="ar"/>
        </w:rPr>
        <w:t>）本基金管理人管理的全部开放式基金（包括开放式基金以及处于开放期的定期开放基金）持有一家上市公司发行的可流通股票，不得超过该上市公司可流通股票的</w:t>
      </w:r>
      <w:r>
        <w:rPr>
          <w:rFonts w:hint="default" w:ascii="Times New Roman" w:hAnsi="Times New Roman" w:eastAsia="宋体" w:cs="Times New Roman"/>
          <w:bCs/>
          <w:kern w:val="2"/>
          <w:sz w:val="24"/>
          <w:szCs w:val="24"/>
          <w:lang w:val="en-US" w:eastAsia="zh-CN" w:bidi="ar"/>
        </w:rPr>
        <w:t>15%</w:t>
      </w:r>
      <w:r>
        <w:rPr>
          <w:rFonts w:hint="eastAsia" w:ascii="宋体" w:hAnsi="宋体" w:eastAsia="宋体" w:cs="宋体"/>
          <w:bCs/>
          <w:kern w:val="2"/>
          <w:sz w:val="24"/>
          <w:szCs w:val="24"/>
          <w:lang w:val="en-US" w:eastAsia="zh-CN" w:bidi="ar"/>
        </w:rPr>
        <w:t>；本基金管理人管理的全部投资组合持有一家上市公司发行的可流通股票，不得超过该上市公司可流通股票的</w:t>
      </w:r>
      <w:r>
        <w:rPr>
          <w:rFonts w:hint="default" w:ascii="Times New Roman" w:hAnsi="Times New Roman" w:eastAsia="宋体" w:cs="Times New Roman"/>
          <w:bCs/>
          <w:kern w:val="2"/>
          <w:sz w:val="24"/>
          <w:szCs w:val="24"/>
          <w:lang w:val="en-US" w:eastAsia="zh-CN" w:bidi="ar"/>
        </w:rPr>
        <w:t>30%</w:t>
      </w:r>
      <w:r>
        <w:rPr>
          <w:rFonts w:hint="eastAsia" w:ascii="宋体" w:hAnsi="宋体" w:eastAsia="宋体" w:cs="宋体"/>
          <w:bCs/>
          <w:kern w:val="2"/>
          <w:sz w:val="24"/>
          <w:szCs w:val="24"/>
          <w:lang w:val="en-US" w:eastAsia="zh-CN" w:bidi="ar"/>
        </w:rPr>
        <w:t>；完全按照有关指数的构成比例进行证券投资的开放式基金以及中国证监会认定的特殊投资组合可不受前述比例限制；</w:t>
      </w:r>
    </w:p>
    <w:p w14:paraId="1EE9A0E4">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12</w:t>
      </w:r>
      <w:r>
        <w:rPr>
          <w:rFonts w:hint="eastAsia" w:ascii="宋体" w:hAnsi="宋体" w:eastAsia="宋体" w:cs="宋体"/>
          <w:bCs/>
          <w:kern w:val="2"/>
          <w:sz w:val="24"/>
          <w:szCs w:val="24"/>
          <w:lang w:val="en-US" w:eastAsia="zh-CN" w:bidi="ar"/>
        </w:rPr>
        <w:t>）本基金主动投资于流动性受限资产的市值合计不得超过基金资产净值的</w:t>
      </w:r>
      <w:r>
        <w:rPr>
          <w:rFonts w:hint="default" w:ascii="Times New Roman" w:hAnsi="Times New Roman" w:eastAsia="宋体" w:cs="Times New Roman"/>
          <w:bCs/>
          <w:kern w:val="2"/>
          <w:sz w:val="24"/>
          <w:szCs w:val="24"/>
          <w:lang w:val="en-US" w:eastAsia="zh-CN" w:bidi="ar"/>
        </w:rPr>
        <w:t>15%</w:t>
      </w:r>
      <w:r>
        <w:rPr>
          <w:rFonts w:hint="eastAsia" w:ascii="宋体" w:hAnsi="宋体" w:eastAsia="宋体" w:cs="宋体"/>
          <w:bCs/>
          <w:kern w:val="2"/>
          <w:sz w:val="24"/>
          <w:szCs w:val="24"/>
          <w:lang w:val="en-US" w:eastAsia="zh-CN" w:bidi="ar"/>
        </w:rPr>
        <w:t>；因证券市场波动、上市公司股票停牌、基金规模变动等基金管理人之外的因素致使基金不符合该比例限制的，基金管理人不得主动新增流动性受限资产的投资；</w:t>
      </w:r>
    </w:p>
    <w:p w14:paraId="5E0E6FB0">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13</w:t>
      </w:r>
      <w:r>
        <w:rPr>
          <w:rFonts w:hint="eastAsia" w:ascii="宋体" w:hAnsi="宋体" w:eastAsia="宋体" w:cs="宋体"/>
          <w:bCs/>
          <w:kern w:val="2"/>
          <w:sz w:val="24"/>
          <w:szCs w:val="24"/>
          <w:lang w:val="en-US" w:eastAsia="zh-CN" w:bidi="ar"/>
        </w:rPr>
        <w:t>）本基金与私募类证券资管产品及中国证监会认定的其他主体为交易对手开展逆回购交易的，可接受质押品的资质要求应当与本基金合同约定的投资范围保持一致；</w:t>
      </w:r>
    </w:p>
    <w:p w14:paraId="4C51311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14</w:t>
      </w:r>
      <w:r>
        <w:rPr>
          <w:rFonts w:hint="eastAsia" w:ascii="宋体" w:hAnsi="宋体" w:eastAsia="宋体" w:cs="宋体"/>
          <w:bCs/>
          <w:kern w:val="2"/>
          <w:sz w:val="24"/>
          <w:szCs w:val="24"/>
          <w:lang w:val="en-US" w:eastAsia="zh-CN" w:bidi="ar"/>
        </w:rPr>
        <w:t>）若本基金参与股指期货交易，则：</w:t>
      </w:r>
    </w:p>
    <w:p w14:paraId="42DCE60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）本基金在任何交易日日终，持有的买入股指期货合约价值，不得超过基金资产净值的</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w:t>
      </w:r>
    </w:p>
    <w:p w14:paraId="6E28452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）本基金在任何交易日日终，持有的买入股指期货合约价值与有价证券市值之和，不得超过基金资产净值的</w:t>
      </w:r>
      <w:r>
        <w:rPr>
          <w:rFonts w:hint="default" w:ascii="Times New Roman" w:hAnsi="Times New Roman" w:eastAsia="宋体" w:cs="Times New Roman"/>
          <w:bCs/>
          <w:kern w:val="2"/>
          <w:sz w:val="24"/>
          <w:szCs w:val="24"/>
          <w:lang w:val="en-US" w:eastAsia="zh-CN" w:bidi="ar"/>
        </w:rPr>
        <w:t>95%</w:t>
      </w:r>
      <w:r>
        <w:rPr>
          <w:rFonts w:hint="eastAsia" w:ascii="宋体" w:hAnsi="宋体" w:eastAsia="宋体" w:cs="宋体"/>
          <w:bCs/>
          <w:kern w:val="2"/>
          <w:sz w:val="24"/>
          <w:szCs w:val="24"/>
          <w:lang w:val="en-US" w:eastAsia="zh-CN" w:bidi="ar"/>
        </w:rPr>
        <w:t>。其中，有价证券指股票、债券（不含到期日在一年以内的政府债券）、资产支持证券、买入返售金融资产（不含质押式回购）等；</w:t>
      </w:r>
    </w:p>
    <w:p w14:paraId="048D509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）本基金在任何交易日日终，持有的卖出股指期货合约价值不得超过基金持有的股票总市值的</w:t>
      </w:r>
      <w:r>
        <w:rPr>
          <w:rFonts w:hint="default" w:ascii="Times New Roman" w:hAnsi="Times New Roman" w:eastAsia="宋体" w:cs="Times New Roman"/>
          <w:bCs/>
          <w:kern w:val="2"/>
          <w:sz w:val="24"/>
          <w:szCs w:val="24"/>
          <w:lang w:val="en-US" w:eastAsia="zh-CN" w:bidi="ar"/>
        </w:rPr>
        <w:t>20%</w:t>
      </w:r>
      <w:r>
        <w:rPr>
          <w:rFonts w:hint="eastAsia" w:ascii="宋体" w:hAnsi="宋体" w:eastAsia="宋体" w:cs="宋体"/>
          <w:bCs/>
          <w:kern w:val="2"/>
          <w:sz w:val="24"/>
          <w:szCs w:val="24"/>
          <w:lang w:val="en-US" w:eastAsia="zh-CN" w:bidi="ar"/>
        </w:rPr>
        <w:t>；</w:t>
      </w:r>
    </w:p>
    <w:p w14:paraId="3A64587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）本基金所持有的股票市值和买入、卖出股指期货合约价值，合计（轧差计算）应当符合基金合同关于股票投资比例的有关约定；</w:t>
      </w:r>
    </w:p>
    <w:p w14:paraId="5B89664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）本基金在任何交易日内交易（不包括平仓）的股指期货合约的成交金额不得超过上一交易日基金资产净值的</w:t>
      </w:r>
      <w:r>
        <w:rPr>
          <w:rFonts w:hint="default" w:ascii="Times New Roman" w:hAnsi="Times New Roman" w:eastAsia="宋体" w:cs="Times New Roman"/>
          <w:bCs/>
          <w:kern w:val="2"/>
          <w:sz w:val="24"/>
          <w:szCs w:val="24"/>
          <w:lang w:val="en-US" w:eastAsia="zh-CN" w:bidi="ar"/>
        </w:rPr>
        <w:t>20%</w:t>
      </w:r>
      <w:r>
        <w:rPr>
          <w:rFonts w:hint="eastAsia" w:ascii="宋体" w:hAnsi="宋体" w:eastAsia="宋体" w:cs="宋体"/>
          <w:bCs/>
          <w:kern w:val="2"/>
          <w:sz w:val="24"/>
          <w:szCs w:val="24"/>
          <w:lang w:val="en-US" w:eastAsia="zh-CN" w:bidi="ar"/>
        </w:rPr>
        <w:t>；</w:t>
      </w:r>
    </w:p>
    <w:p w14:paraId="6DA5F910">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15</w:t>
      </w:r>
      <w:r>
        <w:rPr>
          <w:rFonts w:hint="eastAsia" w:ascii="宋体" w:hAnsi="宋体" w:eastAsia="宋体" w:cs="宋体"/>
          <w:bCs/>
          <w:kern w:val="2"/>
          <w:sz w:val="24"/>
          <w:szCs w:val="24"/>
          <w:lang w:val="en-US" w:eastAsia="zh-CN" w:bidi="ar"/>
        </w:rPr>
        <w:t>）本基金资产总值不超过基金资产净值的</w:t>
      </w:r>
      <w:r>
        <w:rPr>
          <w:rFonts w:hint="default" w:ascii="Times New Roman" w:hAnsi="Times New Roman" w:eastAsia="宋体" w:cs="Times New Roman"/>
          <w:bCs/>
          <w:kern w:val="2"/>
          <w:sz w:val="24"/>
          <w:szCs w:val="24"/>
          <w:lang w:val="en-US" w:eastAsia="zh-CN" w:bidi="ar"/>
        </w:rPr>
        <w:t>140%</w:t>
      </w:r>
      <w:r>
        <w:rPr>
          <w:rFonts w:hint="eastAsia" w:ascii="宋体" w:hAnsi="宋体" w:eastAsia="宋体" w:cs="宋体"/>
          <w:bCs/>
          <w:kern w:val="2"/>
          <w:sz w:val="24"/>
          <w:szCs w:val="24"/>
          <w:lang w:val="en-US" w:eastAsia="zh-CN" w:bidi="ar"/>
        </w:rPr>
        <w:t>；</w:t>
      </w:r>
    </w:p>
    <w:p w14:paraId="5F9B03F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16</w:t>
      </w:r>
      <w:r>
        <w:rPr>
          <w:rFonts w:hint="eastAsia" w:ascii="宋体" w:hAnsi="宋体" w:eastAsia="宋体" w:cs="宋体"/>
          <w:bCs/>
          <w:kern w:val="2"/>
          <w:sz w:val="24"/>
          <w:szCs w:val="24"/>
          <w:lang w:val="en-US" w:eastAsia="zh-CN" w:bidi="ar"/>
        </w:rPr>
        <w:t>）本基金投资存托凭证的比例限制依照境内上市交易的股票执行；</w:t>
      </w:r>
    </w:p>
    <w:p w14:paraId="21CBF371">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17</w:t>
      </w:r>
      <w:r>
        <w:rPr>
          <w:rFonts w:hint="eastAsia" w:ascii="宋体" w:hAnsi="宋体" w:eastAsia="宋体" w:cs="宋体"/>
          <w:bCs/>
          <w:kern w:val="2"/>
          <w:sz w:val="24"/>
          <w:szCs w:val="24"/>
          <w:lang w:val="en-US" w:eastAsia="zh-CN" w:bidi="ar"/>
        </w:rPr>
        <w:t>）法律法规及中国证监会规定的和《基金合同》约定的其他投资限制。</w:t>
      </w:r>
    </w:p>
    <w:p w14:paraId="4E042E7E">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除上述（</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9</w:t>
      </w: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12</w:t>
      </w: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13</w:t>
      </w:r>
      <w:r>
        <w:rPr>
          <w:rFonts w:hint="eastAsia" w:ascii="宋体" w:hAnsi="宋体" w:eastAsia="宋体" w:cs="宋体"/>
          <w:bCs/>
          <w:kern w:val="2"/>
          <w:sz w:val="24"/>
          <w:szCs w:val="24"/>
          <w:lang w:val="en-US" w:eastAsia="zh-CN" w:bidi="ar"/>
        </w:rPr>
        <w:t>）情形之外，因证券、期货市场波动、证券发行人合并、基金规模变动等基金管理人之外的因素致使基金投资比例不符合上述规定投资比例的，基金管理人应当在</w:t>
      </w: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个交易日内进行调整，但中国证监会规定的特殊情形除外。法律法规另有规定的，从其规定。</w:t>
      </w:r>
    </w:p>
    <w:p w14:paraId="7E273382">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基金管理人应当自基金合同生效之日起</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个月内使基金的投资组合比例符合基金合同的有关约定。在上述期间内，本基金的投资范围、投资策略应当符合基金合同的约定。基金托管人对基金的投资的监督与检查自本基金合同生效之日起开始。</w:t>
      </w:r>
    </w:p>
    <w:p w14:paraId="172D332A">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法律法规或监管部门取消或者变更上述限制，如适用于本基金，基金管理人在履行适当程序后，则本基金投资不再受相关限制或以变更后的规定为准。</w:t>
      </w:r>
    </w:p>
    <w:p w14:paraId="641EEDA6">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、禁止行为</w:t>
      </w:r>
    </w:p>
    <w:p w14:paraId="56DF0501">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为维护基金份额持有人的合法权益，基金财产不得用于下列投资或者活动：</w:t>
      </w:r>
    </w:p>
    <w:p w14:paraId="108149F3">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）承销证券；</w:t>
      </w:r>
    </w:p>
    <w:p w14:paraId="7A562580">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）违反规定向他人贷款或者提供担保；</w:t>
      </w:r>
    </w:p>
    <w:p w14:paraId="3147F24C">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）从事承担无限责任的投资；</w:t>
      </w:r>
    </w:p>
    <w:p w14:paraId="3EA6C8F4">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）买卖其他基金份额，但是中国证监会另有规定的除外；</w:t>
      </w:r>
    </w:p>
    <w:p w14:paraId="756D7B3F">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）向其基金管理人、基金托管人出资；</w:t>
      </w:r>
    </w:p>
    <w:p w14:paraId="13884086">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）从事内幕交易、操纵证券交易价格及其他不正当的证券交易活动；</w:t>
      </w:r>
    </w:p>
    <w:p w14:paraId="12A69AF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）法律、行政法规和中国证监会规定禁止的其他活动。</w:t>
      </w:r>
    </w:p>
    <w:p w14:paraId="70426B42">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C1F2CA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如法律、行政法规或监管部门取消或变更上述规定，如适用于本基金，基金管理人在履行适当程序后，本基金可不受上述规定的限制或以变更后的规定为准。</w:t>
      </w:r>
    </w:p>
    <w:p w14:paraId="662596DC">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（五）业绩比较基准</w:t>
      </w:r>
    </w:p>
    <w:p w14:paraId="7661CFD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本基金业绩比较基准：中证内地消费主题指数收益率×</w:t>
      </w:r>
      <w:r>
        <w:rPr>
          <w:rFonts w:hint="default" w:ascii="Times New Roman" w:hAnsi="Times New Roman" w:eastAsia="宋体" w:cs="Times New Roman"/>
          <w:bCs/>
          <w:kern w:val="2"/>
          <w:sz w:val="24"/>
          <w:szCs w:val="24"/>
          <w:lang w:val="en-US" w:eastAsia="zh-CN" w:bidi="ar"/>
        </w:rPr>
        <w:t>60%+</w:t>
      </w:r>
      <w:r>
        <w:rPr>
          <w:rFonts w:hint="eastAsia" w:ascii="宋体" w:hAnsi="宋体" w:eastAsia="宋体" w:cs="宋体"/>
          <w:bCs/>
          <w:kern w:val="2"/>
          <w:sz w:val="24"/>
          <w:szCs w:val="24"/>
          <w:lang w:val="en-US" w:eastAsia="zh-CN" w:bidi="ar"/>
        </w:rPr>
        <w:t>中证港股通消费主题指数（人民币）收益率×</w:t>
      </w:r>
      <w:r>
        <w:rPr>
          <w:rFonts w:hint="default" w:ascii="Times New Roman" w:hAnsi="Times New Roman" w:eastAsia="宋体" w:cs="Times New Roman"/>
          <w:bCs/>
          <w:kern w:val="2"/>
          <w:sz w:val="24"/>
          <w:szCs w:val="24"/>
          <w:lang w:val="en-US" w:eastAsia="zh-CN" w:bidi="ar"/>
        </w:rPr>
        <w:t>20%+</w:t>
      </w:r>
      <w:r>
        <w:rPr>
          <w:rFonts w:hint="eastAsia" w:ascii="宋体" w:hAnsi="宋体" w:eastAsia="宋体" w:cs="宋体"/>
          <w:bCs/>
          <w:kern w:val="2"/>
          <w:sz w:val="24"/>
          <w:szCs w:val="24"/>
          <w:lang w:val="en-US" w:eastAsia="zh-CN" w:bidi="ar"/>
        </w:rPr>
        <w:t>中债</w:t>
      </w:r>
      <w:r>
        <w:rPr>
          <w:rFonts w:hint="default" w:ascii="Times New Roman" w:hAnsi="Times New Roman" w:eastAsia="宋体" w:cs="Times New Roman"/>
          <w:bCs/>
          <w:kern w:val="2"/>
          <w:sz w:val="24"/>
          <w:szCs w:val="24"/>
          <w:lang w:val="en-US" w:eastAsia="zh-CN" w:bidi="ar"/>
        </w:rPr>
        <w:t>-</w:t>
      </w:r>
      <w:r>
        <w:rPr>
          <w:rFonts w:hint="eastAsia" w:ascii="宋体" w:hAnsi="宋体" w:eastAsia="宋体" w:cs="宋体"/>
          <w:bCs/>
          <w:kern w:val="2"/>
          <w:sz w:val="24"/>
          <w:szCs w:val="24"/>
          <w:lang w:val="en-US" w:eastAsia="zh-CN" w:bidi="ar"/>
        </w:rPr>
        <w:t>综合全价（总值）指数收益率×</w:t>
      </w:r>
      <w:r>
        <w:rPr>
          <w:rFonts w:hint="default" w:ascii="Times New Roman" w:hAnsi="Times New Roman" w:eastAsia="宋体" w:cs="Times New Roman"/>
          <w:bCs/>
          <w:kern w:val="2"/>
          <w:sz w:val="24"/>
          <w:szCs w:val="24"/>
          <w:lang w:val="en-US" w:eastAsia="zh-CN" w:bidi="ar"/>
        </w:rPr>
        <w:t>20%</w:t>
      </w:r>
      <w:r>
        <w:rPr>
          <w:rFonts w:hint="eastAsia" w:ascii="宋体" w:hAnsi="宋体" w:eastAsia="宋体" w:cs="宋体"/>
          <w:bCs/>
          <w:kern w:val="2"/>
          <w:sz w:val="24"/>
          <w:szCs w:val="24"/>
          <w:lang w:val="en-US" w:eastAsia="zh-CN" w:bidi="ar"/>
        </w:rPr>
        <w:t>。</w:t>
      </w:r>
    </w:p>
    <w:p w14:paraId="62E3502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、业绩比较基准设定的原因</w:t>
      </w:r>
    </w:p>
    <w:p w14:paraId="615B032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）基于基金投资范围以及预期投资的主要资产类别，本基金主要投资于</w:t>
      </w:r>
      <w:r>
        <w:rPr>
          <w:rFonts w:hint="default" w:ascii="Times New Roman" w:hAnsi="Times New Roman" w:eastAsia="宋体" w:cs="Times New Roman"/>
          <w:bCs/>
          <w:kern w:val="2"/>
          <w:sz w:val="24"/>
          <w:szCs w:val="24"/>
          <w:lang w:val="en-US" w:eastAsia="zh-CN" w:bidi="ar"/>
        </w:rPr>
        <w:t>A</w:t>
      </w:r>
      <w:r>
        <w:rPr>
          <w:rFonts w:hint="eastAsia" w:ascii="宋体" w:hAnsi="宋体" w:eastAsia="宋体" w:cs="宋体"/>
          <w:bCs/>
          <w:kern w:val="2"/>
          <w:sz w:val="24"/>
          <w:szCs w:val="24"/>
          <w:lang w:val="en-US" w:eastAsia="zh-CN" w:bidi="ar"/>
        </w:rPr>
        <w:t>股股票、港股通股票、债券等资产，相应选取与之匹配的</w:t>
      </w:r>
      <w:r>
        <w:rPr>
          <w:rFonts w:hint="default" w:ascii="Times New Roman" w:hAnsi="Times New Roman" w:eastAsia="宋体" w:cs="Times New Roman"/>
          <w:bCs/>
          <w:kern w:val="2"/>
          <w:sz w:val="24"/>
          <w:szCs w:val="24"/>
          <w:lang w:val="en-US" w:eastAsia="zh-CN" w:bidi="ar"/>
        </w:rPr>
        <w:t>A</w:t>
      </w:r>
      <w:r>
        <w:rPr>
          <w:rFonts w:hint="eastAsia" w:ascii="宋体" w:hAnsi="宋体" w:eastAsia="宋体" w:cs="宋体"/>
          <w:bCs/>
          <w:kern w:val="2"/>
          <w:sz w:val="24"/>
          <w:szCs w:val="24"/>
          <w:lang w:val="en-US" w:eastAsia="zh-CN" w:bidi="ar"/>
        </w:rPr>
        <w:t>股指数、港股通指数与债券指数作为基准要素；同时基于基金投资股票资产（含存托凭证）占基金资产的比例为</w:t>
      </w:r>
      <w:r>
        <w:rPr>
          <w:rFonts w:hint="default" w:ascii="Times New Roman" w:hAnsi="Times New Roman" w:eastAsia="宋体" w:cs="Times New Roman"/>
          <w:bCs/>
          <w:kern w:val="2"/>
          <w:sz w:val="24"/>
          <w:szCs w:val="24"/>
          <w:lang w:val="en-US" w:eastAsia="zh-CN" w:bidi="ar"/>
        </w:rPr>
        <w:t>60%-95%</w:t>
      </w:r>
      <w:r>
        <w:rPr>
          <w:rFonts w:hint="eastAsia" w:ascii="宋体" w:hAnsi="宋体" w:eastAsia="宋体" w:cs="宋体"/>
          <w:bCs/>
          <w:kern w:val="2"/>
          <w:sz w:val="24"/>
          <w:szCs w:val="24"/>
          <w:lang w:val="en-US" w:eastAsia="zh-CN" w:bidi="ar"/>
        </w:rPr>
        <w:t>（其中港股通股票不超过股票资产的</w:t>
      </w:r>
      <w:r>
        <w:rPr>
          <w:rFonts w:hint="default" w:ascii="Times New Roman" w:hAnsi="Times New Roman" w:eastAsia="宋体" w:cs="Times New Roman"/>
          <w:bCs/>
          <w:kern w:val="2"/>
          <w:sz w:val="24"/>
          <w:szCs w:val="24"/>
          <w:lang w:val="en-US" w:eastAsia="zh-CN" w:bidi="ar"/>
        </w:rPr>
        <w:t>50%</w:t>
      </w:r>
      <w:r>
        <w:rPr>
          <w:rFonts w:hint="eastAsia" w:ascii="宋体" w:hAnsi="宋体" w:eastAsia="宋体" w:cs="宋体"/>
          <w:bCs/>
          <w:kern w:val="2"/>
          <w:sz w:val="24"/>
          <w:szCs w:val="24"/>
          <w:lang w:val="en-US" w:eastAsia="zh-CN" w:bidi="ar"/>
        </w:rPr>
        <w:t xml:space="preserve">）、投资于消费主题相关股票（含存托凭证）的资产不低于非现金基金资产的 </w:t>
      </w:r>
      <w:r>
        <w:rPr>
          <w:rFonts w:hint="default" w:ascii="Times New Roman" w:hAnsi="Times New Roman" w:eastAsia="宋体" w:cs="Times New Roman"/>
          <w:bCs/>
          <w:kern w:val="2"/>
          <w:sz w:val="24"/>
          <w:szCs w:val="24"/>
          <w:lang w:val="en-US" w:eastAsia="zh-CN" w:bidi="ar"/>
        </w:rPr>
        <w:t>80%</w:t>
      </w:r>
      <w:r>
        <w:rPr>
          <w:rFonts w:hint="eastAsia" w:ascii="宋体" w:hAnsi="宋体" w:eastAsia="宋体" w:cs="宋体"/>
          <w:bCs/>
          <w:kern w:val="2"/>
          <w:sz w:val="24"/>
          <w:szCs w:val="24"/>
          <w:lang w:val="en-US" w:eastAsia="zh-CN" w:bidi="ar"/>
        </w:rPr>
        <w:t>等投资比例限制，以及预期的资产配置比例，本基金将股票资产与债券资产所对应的基准要素权重分别设置为</w:t>
      </w:r>
      <w:r>
        <w:rPr>
          <w:rFonts w:hint="default" w:ascii="Times New Roman" w:hAnsi="Times New Roman" w:eastAsia="宋体" w:cs="Times New Roman"/>
          <w:bCs/>
          <w:kern w:val="2"/>
          <w:sz w:val="24"/>
          <w:szCs w:val="24"/>
          <w:lang w:val="en-US" w:eastAsia="zh-CN" w:bidi="ar"/>
        </w:rPr>
        <w:t>80%</w:t>
      </w:r>
      <w:r>
        <w:rPr>
          <w:rFonts w:hint="eastAsia" w:ascii="宋体" w:hAnsi="宋体" w:eastAsia="宋体" w:cs="宋体"/>
          <w:bCs/>
          <w:kern w:val="2"/>
          <w:sz w:val="24"/>
          <w:szCs w:val="24"/>
          <w:lang w:val="en-US" w:eastAsia="zh-CN" w:bidi="ar"/>
        </w:rPr>
        <w:t>与</w:t>
      </w:r>
      <w:r>
        <w:rPr>
          <w:rFonts w:hint="default" w:ascii="Times New Roman" w:hAnsi="Times New Roman" w:eastAsia="宋体" w:cs="Times New Roman"/>
          <w:bCs/>
          <w:kern w:val="2"/>
          <w:sz w:val="24"/>
          <w:szCs w:val="24"/>
          <w:lang w:val="en-US" w:eastAsia="zh-CN" w:bidi="ar"/>
        </w:rPr>
        <w:t>20%</w:t>
      </w:r>
      <w:r>
        <w:rPr>
          <w:rFonts w:hint="eastAsia" w:ascii="宋体" w:hAnsi="宋体" w:eastAsia="宋体" w:cs="宋体"/>
          <w:bCs/>
          <w:kern w:val="2"/>
          <w:sz w:val="24"/>
          <w:szCs w:val="24"/>
          <w:lang w:val="en-US" w:eastAsia="zh-CN" w:bidi="ar"/>
        </w:rPr>
        <w:t>，其中将股票资产中的</w:t>
      </w:r>
      <w:r>
        <w:rPr>
          <w:rFonts w:hint="default" w:ascii="Times New Roman" w:hAnsi="Times New Roman" w:eastAsia="宋体" w:cs="Times New Roman"/>
          <w:bCs/>
          <w:kern w:val="2"/>
          <w:sz w:val="24"/>
          <w:szCs w:val="24"/>
          <w:lang w:val="en-US" w:eastAsia="zh-CN" w:bidi="ar"/>
        </w:rPr>
        <w:t>A</w:t>
      </w:r>
      <w:r>
        <w:rPr>
          <w:rFonts w:hint="eastAsia" w:ascii="宋体" w:hAnsi="宋体" w:eastAsia="宋体" w:cs="宋体"/>
          <w:bCs/>
          <w:kern w:val="2"/>
          <w:sz w:val="24"/>
          <w:szCs w:val="24"/>
          <w:lang w:val="en-US" w:eastAsia="zh-CN" w:bidi="ar"/>
        </w:rPr>
        <w:t>股股票与港股通股票所对应的基准要素权重分别设置为</w:t>
      </w:r>
      <w:r>
        <w:rPr>
          <w:rFonts w:hint="default" w:ascii="Times New Roman" w:hAnsi="Times New Roman" w:eastAsia="宋体" w:cs="Times New Roman"/>
          <w:bCs/>
          <w:kern w:val="2"/>
          <w:sz w:val="24"/>
          <w:szCs w:val="24"/>
          <w:lang w:val="en-US" w:eastAsia="zh-CN" w:bidi="ar"/>
        </w:rPr>
        <w:t>60%</w:t>
      </w:r>
      <w:r>
        <w:rPr>
          <w:rFonts w:hint="eastAsia" w:ascii="宋体" w:hAnsi="宋体" w:eastAsia="宋体" w:cs="宋体"/>
          <w:bCs/>
          <w:kern w:val="2"/>
          <w:sz w:val="24"/>
          <w:szCs w:val="24"/>
          <w:lang w:val="en-US" w:eastAsia="zh-CN" w:bidi="ar"/>
        </w:rPr>
        <w:t>与</w:t>
      </w:r>
      <w:r>
        <w:rPr>
          <w:rFonts w:hint="default" w:ascii="Times New Roman" w:hAnsi="Times New Roman" w:eastAsia="宋体" w:cs="Times New Roman"/>
          <w:bCs/>
          <w:kern w:val="2"/>
          <w:sz w:val="24"/>
          <w:szCs w:val="24"/>
          <w:lang w:val="en-US" w:eastAsia="zh-CN" w:bidi="ar"/>
        </w:rPr>
        <w:t>20%</w:t>
      </w:r>
      <w:r>
        <w:rPr>
          <w:rFonts w:hint="eastAsia" w:ascii="宋体" w:hAnsi="宋体" w:eastAsia="宋体" w:cs="宋体"/>
          <w:bCs/>
          <w:kern w:val="2"/>
          <w:sz w:val="24"/>
          <w:szCs w:val="24"/>
          <w:lang w:val="en-US" w:eastAsia="zh-CN" w:bidi="ar"/>
        </w:rPr>
        <w:t>。</w:t>
      </w:r>
    </w:p>
    <w:p w14:paraId="4E9641C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基于基金投资目标、投资范围和投资策略，本基金的股票资产主要投向消费主题相关公司，并在消费主题相关领域中精选在公司治理、财务及管理品质上符合基本品质要求、估值具有吸引力的优质公司，从而力争在控制风险的基础上追求超越业绩比较基准的投资回报。综合考虑基准指数与产品定位、投资风格与主题库的匹配度，同时兼顾考虑基准指数的表征性、认可度，以及指数主题界定、市值覆盖、行业与个股分布等，本基金选取中证内地消费主题指数和中证港股通消费主题指数（人民币）分别作为</w:t>
      </w:r>
      <w:r>
        <w:rPr>
          <w:rFonts w:hint="default" w:ascii="Times New Roman" w:hAnsi="Times New Roman" w:eastAsia="宋体" w:cs="Times New Roman"/>
          <w:bCs/>
          <w:kern w:val="2"/>
          <w:sz w:val="24"/>
          <w:szCs w:val="24"/>
          <w:lang w:val="en-US" w:eastAsia="zh-CN" w:bidi="ar"/>
        </w:rPr>
        <w:t>A</w:t>
      </w:r>
      <w:r>
        <w:rPr>
          <w:rFonts w:hint="eastAsia" w:ascii="宋体" w:hAnsi="宋体" w:eastAsia="宋体" w:cs="宋体"/>
          <w:bCs/>
          <w:kern w:val="2"/>
          <w:sz w:val="24"/>
          <w:szCs w:val="24"/>
          <w:lang w:val="en-US" w:eastAsia="zh-CN" w:bidi="ar"/>
        </w:rPr>
        <w:t>股和港股通股票部分的基准要素，具体情况如下：</w:t>
      </w:r>
    </w:p>
    <w:p w14:paraId="3B971DB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中证内地消费主题指数从中证</w:t>
      </w:r>
      <w:r>
        <w:rPr>
          <w:rFonts w:hint="default" w:ascii="Times New Roman" w:hAnsi="Times New Roman" w:eastAsia="宋体" w:cs="Times New Roman"/>
          <w:bCs/>
          <w:kern w:val="2"/>
          <w:sz w:val="24"/>
          <w:szCs w:val="24"/>
          <w:lang w:val="en-US" w:eastAsia="zh-CN" w:bidi="ar"/>
        </w:rPr>
        <w:t>800</w:t>
      </w:r>
      <w:r>
        <w:rPr>
          <w:rFonts w:hint="eastAsia" w:ascii="宋体" w:hAnsi="宋体" w:eastAsia="宋体" w:cs="宋体"/>
          <w:bCs/>
          <w:kern w:val="2"/>
          <w:sz w:val="24"/>
          <w:szCs w:val="24"/>
          <w:lang w:val="en-US" w:eastAsia="zh-CN" w:bidi="ar"/>
        </w:rPr>
        <w:t>指数样本中选取消费行业中市值排名前</w:t>
      </w:r>
      <w:r>
        <w:rPr>
          <w:rFonts w:hint="default" w:ascii="Times New Roman" w:hAnsi="Times New Roman" w:eastAsia="宋体" w:cs="Times New Roman"/>
          <w:bCs/>
          <w:kern w:val="2"/>
          <w:sz w:val="24"/>
          <w:szCs w:val="24"/>
          <w:lang w:val="en-US" w:eastAsia="zh-CN" w:bidi="ar"/>
        </w:rPr>
        <w:t>50</w:t>
      </w:r>
      <w:r>
        <w:rPr>
          <w:rFonts w:hint="eastAsia" w:ascii="宋体" w:hAnsi="宋体" w:eastAsia="宋体" w:cs="宋体"/>
          <w:bCs/>
          <w:kern w:val="2"/>
          <w:sz w:val="24"/>
          <w:szCs w:val="24"/>
          <w:lang w:val="en-US" w:eastAsia="zh-CN" w:bidi="ar"/>
        </w:rPr>
        <w:t>的证券作为指数样本，以反映</w:t>
      </w:r>
      <w:r>
        <w:rPr>
          <w:rFonts w:hint="default" w:ascii="Times New Roman" w:hAnsi="Times New Roman" w:eastAsia="宋体" w:cs="Times New Roman"/>
          <w:bCs/>
          <w:kern w:val="2"/>
          <w:sz w:val="24"/>
          <w:szCs w:val="24"/>
          <w:lang w:val="en-US" w:eastAsia="zh-CN" w:bidi="ar"/>
        </w:rPr>
        <w:t>A</w:t>
      </w:r>
      <w:r>
        <w:rPr>
          <w:rFonts w:hint="eastAsia" w:ascii="宋体" w:hAnsi="宋体" w:eastAsia="宋体" w:cs="宋体"/>
          <w:bCs/>
          <w:kern w:val="2"/>
          <w:sz w:val="24"/>
          <w:szCs w:val="24"/>
          <w:lang w:val="en-US" w:eastAsia="zh-CN" w:bidi="ar"/>
        </w:rPr>
        <w:t>股范围内消费主题类上市公司证券的整体表现，适合作为本基金</w:t>
      </w:r>
      <w:r>
        <w:rPr>
          <w:rFonts w:hint="default" w:ascii="Times New Roman" w:hAnsi="Times New Roman" w:eastAsia="宋体" w:cs="Times New Roman"/>
          <w:bCs/>
          <w:kern w:val="2"/>
          <w:sz w:val="24"/>
          <w:szCs w:val="24"/>
          <w:lang w:val="en-US" w:eastAsia="zh-CN" w:bidi="ar"/>
        </w:rPr>
        <w:t>A</w:t>
      </w:r>
      <w:r>
        <w:rPr>
          <w:rFonts w:hint="eastAsia" w:ascii="宋体" w:hAnsi="宋体" w:eastAsia="宋体" w:cs="宋体"/>
          <w:bCs/>
          <w:kern w:val="2"/>
          <w:sz w:val="24"/>
          <w:szCs w:val="24"/>
          <w:lang w:val="en-US" w:eastAsia="zh-CN" w:bidi="ar"/>
        </w:rPr>
        <w:t>股股票部分的业绩比较基准要素。</w:t>
      </w:r>
    </w:p>
    <w:p w14:paraId="40B7EC8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中证港股通消费主题指数（人民币）从港股通范围内选取流动性较好、市值较大的</w:t>
      </w:r>
      <w:r>
        <w:rPr>
          <w:rFonts w:hint="default" w:ascii="Times New Roman" w:hAnsi="Times New Roman" w:eastAsia="宋体" w:cs="Times New Roman"/>
          <w:bCs/>
          <w:kern w:val="2"/>
          <w:sz w:val="24"/>
          <w:szCs w:val="24"/>
          <w:lang w:val="en-US" w:eastAsia="zh-CN" w:bidi="ar"/>
        </w:rPr>
        <w:t>50</w:t>
      </w:r>
      <w:r>
        <w:rPr>
          <w:rFonts w:hint="eastAsia" w:ascii="宋体" w:hAnsi="宋体" w:eastAsia="宋体" w:cs="宋体"/>
          <w:bCs/>
          <w:kern w:val="2"/>
          <w:sz w:val="24"/>
          <w:szCs w:val="24"/>
          <w:lang w:val="en-US" w:eastAsia="zh-CN" w:bidi="ar"/>
        </w:rPr>
        <w:t>只消费主题相关证券作为指数样本，以反映港股通内消费主题类上市公司证券的整体表现，适合作为本基金港股通股票部分的业绩比较基准要素。</w:t>
      </w:r>
    </w:p>
    <w:p w14:paraId="435A389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基于基金投资目标、投资范围和投资策略，本基金的债券资产采用全市场策略，主要通过类属配置与券种选择进行投资管理。综合考虑基准指数与产品定位和投资风格的匹配度，同时兼顾考虑基准指数的表征性、认可度，以及基准指数券种、久期、信用等级分布特征等，选取中债</w:t>
      </w:r>
      <w:r>
        <w:rPr>
          <w:rFonts w:hint="default" w:ascii="Times New Roman" w:hAnsi="Times New Roman" w:eastAsia="宋体" w:cs="Times New Roman"/>
          <w:bCs/>
          <w:kern w:val="2"/>
          <w:sz w:val="24"/>
          <w:szCs w:val="24"/>
          <w:lang w:val="en-US" w:eastAsia="zh-CN" w:bidi="ar"/>
        </w:rPr>
        <w:t>-</w:t>
      </w:r>
      <w:r>
        <w:rPr>
          <w:rFonts w:hint="eastAsia" w:ascii="宋体" w:hAnsi="宋体" w:eastAsia="宋体" w:cs="宋体"/>
          <w:bCs/>
          <w:kern w:val="2"/>
          <w:sz w:val="24"/>
          <w:szCs w:val="24"/>
          <w:lang w:val="en-US" w:eastAsia="zh-CN" w:bidi="ar"/>
        </w:rPr>
        <w:t>综合全价（总值）指数作为债券部分的业绩比较基准要素。</w:t>
      </w:r>
    </w:p>
    <w:p w14:paraId="79F93F6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中债</w:t>
      </w:r>
      <w:r>
        <w:rPr>
          <w:rFonts w:hint="default" w:ascii="Times New Roman" w:hAnsi="Times New Roman" w:eastAsia="宋体" w:cs="Times New Roman"/>
          <w:bCs/>
          <w:kern w:val="2"/>
          <w:sz w:val="24"/>
          <w:szCs w:val="24"/>
          <w:lang w:val="en-US" w:eastAsia="zh-CN" w:bidi="ar"/>
        </w:rPr>
        <w:t>-</w:t>
      </w:r>
      <w:r>
        <w:rPr>
          <w:rFonts w:hint="eastAsia" w:ascii="宋体" w:hAnsi="宋体" w:eastAsia="宋体" w:cs="宋体"/>
          <w:bCs/>
          <w:kern w:val="2"/>
          <w:sz w:val="24"/>
          <w:szCs w:val="24"/>
          <w:lang w:val="en-US" w:eastAsia="zh-CN" w:bidi="ar"/>
        </w:rPr>
        <w:t>综合全价（总值）指数其样本债券涵盖的范围全面，具有广泛的市场代表性，涵盖主要交易市场（银行间市场、交易所市场等）、不同发行主体（政府、企业等）和期限（长期、中期、短期等），反映境内人民币债券市场整体表现，适合作为本基金债券部分的业绩比较基准要素。</w:t>
      </w:r>
    </w:p>
    <w:p w14:paraId="5EFF673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综上，本基金选取的业绩比较基准与基金投资目标、投资范围、投资策略、投资比例限制相匹配。</w:t>
      </w:r>
    </w:p>
    <w:p w14:paraId="6FF0751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、业绩比较基准要素的基本信息</w:t>
      </w:r>
    </w:p>
    <w:p w14:paraId="54E1152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中证内地消费主题指数由中证指数有限公司编制发布，指数代码为</w:t>
      </w:r>
      <w:r>
        <w:rPr>
          <w:rFonts w:hint="default" w:ascii="Times New Roman" w:hAnsi="Times New Roman" w:eastAsia="宋体" w:cs="Times New Roman"/>
          <w:bCs/>
          <w:kern w:val="2"/>
          <w:sz w:val="24"/>
          <w:szCs w:val="24"/>
          <w:lang w:val="en-US" w:eastAsia="zh-CN" w:bidi="ar"/>
        </w:rPr>
        <w:t>000942</w:t>
      </w:r>
      <w:r>
        <w:rPr>
          <w:rFonts w:hint="eastAsia" w:ascii="宋体" w:hAnsi="宋体" w:eastAsia="宋体" w:cs="宋体"/>
          <w:bCs/>
          <w:kern w:val="2"/>
          <w:sz w:val="24"/>
          <w:szCs w:val="24"/>
          <w:lang w:val="en-US" w:eastAsia="zh-CN" w:bidi="ar"/>
        </w:rPr>
        <w:t>，指数具体信息详见中证指数有限公司网站，网址：</w:t>
      </w:r>
      <w:r>
        <w:rPr>
          <w:rFonts w:hint="default" w:ascii="Times New Roman" w:hAnsi="Times New Roman" w:eastAsia="宋体" w:cs="Times New Roman"/>
          <w:bCs/>
          <w:kern w:val="2"/>
          <w:sz w:val="24"/>
          <w:szCs w:val="24"/>
          <w:lang w:val="en-US" w:eastAsia="zh-CN" w:bidi="ar"/>
        </w:rPr>
        <w:t>www.csindex.com.cn</w:t>
      </w:r>
      <w:r>
        <w:rPr>
          <w:rFonts w:hint="eastAsia" w:ascii="宋体" w:hAnsi="宋体" w:eastAsia="宋体" w:cs="宋体"/>
          <w:bCs/>
          <w:kern w:val="2"/>
          <w:sz w:val="24"/>
          <w:szCs w:val="24"/>
          <w:lang w:val="en-US" w:eastAsia="zh-CN" w:bidi="ar"/>
        </w:rPr>
        <w:t>。</w:t>
      </w:r>
    </w:p>
    <w:p w14:paraId="63295D7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中证港股通消费主题指数（人民币）由中证指数有限公司编制发布，指数代码为</w:t>
      </w:r>
      <w:r>
        <w:rPr>
          <w:rFonts w:hint="default" w:ascii="Times New Roman" w:hAnsi="Times New Roman" w:eastAsia="宋体" w:cs="Times New Roman"/>
          <w:bCs/>
          <w:kern w:val="2"/>
          <w:sz w:val="24"/>
          <w:szCs w:val="24"/>
          <w:lang w:val="en-US" w:eastAsia="zh-CN" w:bidi="ar"/>
        </w:rPr>
        <w:t>931455</w:t>
      </w:r>
      <w:r>
        <w:rPr>
          <w:rFonts w:hint="eastAsia" w:ascii="宋体" w:hAnsi="宋体" w:eastAsia="宋体" w:cs="宋体"/>
          <w:bCs/>
          <w:kern w:val="2"/>
          <w:sz w:val="24"/>
          <w:szCs w:val="24"/>
          <w:lang w:val="en-US" w:eastAsia="zh-CN" w:bidi="ar"/>
        </w:rPr>
        <w:t>，指数具体信息详见中证指数有限公司网站，网址：</w:t>
      </w:r>
      <w:r>
        <w:rPr>
          <w:rFonts w:hint="default" w:ascii="Times New Roman" w:hAnsi="Times New Roman" w:eastAsia="宋体" w:cs="Times New Roman"/>
          <w:bCs/>
          <w:kern w:val="2"/>
          <w:sz w:val="24"/>
          <w:szCs w:val="24"/>
          <w:lang w:val="en-US" w:eastAsia="zh-CN" w:bidi="ar"/>
        </w:rPr>
        <w:t>www.csindex.com.cn</w:t>
      </w:r>
      <w:r>
        <w:rPr>
          <w:rFonts w:hint="eastAsia" w:ascii="宋体" w:hAnsi="宋体" w:eastAsia="宋体" w:cs="宋体"/>
          <w:bCs/>
          <w:kern w:val="2"/>
          <w:sz w:val="24"/>
          <w:szCs w:val="24"/>
          <w:lang w:val="en-US" w:eastAsia="zh-CN" w:bidi="ar"/>
        </w:rPr>
        <w:t>。</w:t>
      </w:r>
    </w:p>
    <w:p w14:paraId="18CAF5C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中债</w:t>
      </w:r>
      <w:r>
        <w:rPr>
          <w:rFonts w:hint="default" w:ascii="Times New Roman" w:hAnsi="Times New Roman" w:eastAsia="宋体" w:cs="Times New Roman"/>
          <w:bCs/>
          <w:kern w:val="2"/>
          <w:sz w:val="24"/>
          <w:szCs w:val="24"/>
          <w:lang w:val="en-US" w:eastAsia="zh-CN" w:bidi="ar"/>
        </w:rPr>
        <w:t>-</w:t>
      </w:r>
      <w:r>
        <w:rPr>
          <w:rFonts w:hint="eastAsia" w:ascii="宋体" w:hAnsi="宋体" w:eastAsia="宋体" w:cs="宋体"/>
          <w:bCs/>
          <w:kern w:val="2"/>
          <w:sz w:val="24"/>
          <w:szCs w:val="24"/>
          <w:lang w:val="en-US" w:eastAsia="zh-CN" w:bidi="ar"/>
        </w:rPr>
        <w:t>综合全价（总值）指数由中债金融估值中心有限公司编制发布，指数代码为</w:t>
      </w:r>
      <w:r>
        <w:rPr>
          <w:rFonts w:hint="default" w:ascii="Times New Roman" w:hAnsi="Times New Roman" w:eastAsia="宋体" w:cs="Times New Roman"/>
          <w:bCs/>
          <w:kern w:val="2"/>
          <w:sz w:val="24"/>
          <w:szCs w:val="24"/>
          <w:lang w:val="en-US" w:eastAsia="zh-CN" w:bidi="ar"/>
        </w:rPr>
        <w:t>CBA00203</w:t>
      </w:r>
      <w:r>
        <w:rPr>
          <w:rFonts w:hint="eastAsia" w:ascii="宋体" w:hAnsi="宋体" w:eastAsia="宋体" w:cs="宋体"/>
          <w:bCs/>
          <w:kern w:val="2"/>
          <w:sz w:val="24"/>
          <w:szCs w:val="24"/>
          <w:lang w:val="en-US" w:eastAsia="zh-CN" w:bidi="ar"/>
        </w:rPr>
        <w:t>，指数具体信息详见中国债券信息网，网址：</w:t>
      </w:r>
      <w:r>
        <w:rPr>
          <w:rFonts w:hint="default" w:ascii="Times New Roman" w:hAnsi="Times New Roman" w:eastAsia="宋体" w:cs="Times New Roman"/>
          <w:bCs/>
          <w:kern w:val="2"/>
          <w:sz w:val="24"/>
          <w:szCs w:val="24"/>
          <w:lang w:val="en-US" w:eastAsia="zh-CN" w:bidi="ar"/>
        </w:rPr>
        <w:t>www.chinabond.com.cn</w:t>
      </w:r>
      <w:r>
        <w:rPr>
          <w:rFonts w:hint="eastAsia" w:ascii="宋体" w:hAnsi="宋体" w:eastAsia="宋体" w:cs="宋体"/>
          <w:bCs/>
          <w:kern w:val="2"/>
          <w:sz w:val="24"/>
          <w:szCs w:val="24"/>
          <w:lang w:val="en-US" w:eastAsia="zh-CN" w:bidi="ar"/>
        </w:rPr>
        <w:t>。</w:t>
      </w:r>
    </w:p>
    <w:p w14:paraId="46FE08F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、业绩比较基准的计算方法</w:t>
      </w:r>
    </w:p>
    <w:p w14:paraId="1C68235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本基金业绩比较基准收益率的计算方法以每日收益率为基础，以时间加权为计算原则。本基金先分别计算业绩比较基准中中证内地消费主题指数、中证港股通消费主题指数（人民币）、中债</w:t>
      </w:r>
      <w:r>
        <w:rPr>
          <w:rFonts w:hint="default" w:ascii="Times New Roman" w:hAnsi="Times New Roman" w:eastAsia="宋体" w:cs="Times New Roman"/>
          <w:bCs/>
          <w:kern w:val="2"/>
          <w:sz w:val="24"/>
          <w:szCs w:val="24"/>
          <w:lang w:val="en-US" w:eastAsia="zh-CN" w:bidi="ar"/>
        </w:rPr>
        <w:t>-</w:t>
      </w:r>
      <w:r>
        <w:rPr>
          <w:rFonts w:hint="eastAsia" w:ascii="宋体" w:hAnsi="宋体" w:eastAsia="宋体" w:cs="宋体"/>
          <w:bCs/>
          <w:kern w:val="2"/>
          <w:sz w:val="24"/>
          <w:szCs w:val="24"/>
          <w:lang w:val="en-US" w:eastAsia="zh-CN" w:bidi="ar"/>
        </w:rPr>
        <w:t>综合全价（总值）指数的每日收益率，再按照预设权重比例计算当日组合要素基准的日收益率，并连乘每日收益率。</w:t>
      </w:r>
    </w:p>
    <w:p w14:paraId="283D228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、管理投资偏离业绩比较基准的定性或定量方法</w:t>
      </w:r>
    </w:p>
    <w:p w14:paraId="60E2AB2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本基金管理人对基金实际投资与业绩比较基准的偏离情况进行动态跟踪与监测评估，监测指标主要包括超额收益、信息比率、跟踪误差、股票配置偏离度、基准覆盖率等，以更好管理基金实际投资与业绩比较基准的偏离情况，保持主要配置消费主题的上市公司，从而力争在控制风险的基础上追求超越业绩比较基准的投资回报。</w:t>
      </w:r>
    </w:p>
    <w:p w14:paraId="7A152AF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本基金为主动管理型基金，其业绩比较基准是表征产品风格、衡量产品业绩、约束投资行为的参考标准，并非本基金的跟踪标的，也不构成对产品收益的承诺。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0CF4BF5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、未来可能变更业绩比较基准的情况和程序</w:t>
      </w:r>
    </w:p>
    <w:p w14:paraId="315CFE2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4AA6DD2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227FE9F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）调整业绩比较基准的要素权重、更换相同或相近特征的要素等，使新业绩比较基准代表性更强，且符合相关法律法规规定的；</w:t>
      </w:r>
    </w:p>
    <w:p w14:paraId="0FE7E4E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）中国证监会认可的其他情形。</w:t>
      </w:r>
    </w:p>
    <w:p w14:paraId="2DB0839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业绩比较基准变更涉及以下情形的，基金管理人应当按照规定履行变更注册、召开基金份额持有人大会等程序，法律法规、中国证监会另有规定的除外：</w:t>
      </w:r>
    </w:p>
    <w:p w14:paraId="39EE802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）基金投资目标、投资范围、投资策略、投资比例等拟进行重大调整，并变更业绩比较基准的；</w:t>
      </w:r>
    </w:p>
    <w:p w14:paraId="150686E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）其他对基金份额持有人利益产生重大实质性影响的情形。</w:t>
      </w:r>
    </w:p>
    <w:p w14:paraId="6DAEE01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（六）风险收益特征</w:t>
      </w:r>
    </w:p>
    <w:p w14:paraId="0DEF5F2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本基金是一只混合型基金，其预期风险和预期收益理论上高于债券型基金和货币市场基金，低于股票型基金。</w:t>
      </w:r>
    </w:p>
    <w:p w14:paraId="2AE1B24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本基金可投资港股通标的股票，会面临港股通机制下因投资环境、投资标的、市场制度以及交易规则等差异带来的特有风险。</w:t>
      </w:r>
    </w:p>
    <w:p w14:paraId="574154B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（七）基金管理人代表基金行使股东或债权人权利的处理原则及方法</w:t>
      </w:r>
    </w:p>
    <w:p w14:paraId="4800CFA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、基金管理人按照国家有关规定代表基金独立行使股东或债权人权利，保护基金份额持有人的利益；</w:t>
      </w:r>
    </w:p>
    <w:p w14:paraId="3E73427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、不谋求对上市公司的控股；</w:t>
      </w:r>
    </w:p>
    <w:p w14:paraId="3CB32A3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、有利于基金财产的安全与增值；</w:t>
      </w:r>
    </w:p>
    <w:p w14:paraId="4CEAB4DA">
      <w:pPr>
        <w:keepNext w:val="0"/>
        <w:keepLines w:val="0"/>
        <w:widowControl w:val="0"/>
        <w:suppressLineNumbers w:val="0"/>
        <w:spacing w:before="0" w:beforeAutospacing="0" w:after="0" w:afterAutospacing="0" w:line="360" w:lineRule="auto"/>
        <w:ind w:left="0" w:right="0" w:firstLine="480" w:firstLineChars="200"/>
        <w:jc w:val="both"/>
        <w:outlineLvl w:val="2"/>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、不通过关联交易为自身、雇员、授权代理人或任何存在利害关系的第三人牟取任何不当利益。</w:t>
      </w:r>
    </w:p>
    <w:p w14:paraId="58206780">
      <w:pPr>
        <w:keepNext w:val="0"/>
        <w:keepLines w:val="0"/>
        <w:widowControl w:val="0"/>
        <w:suppressLineNumbers w:val="0"/>
        <w:spacing w:before="0" w:beforeAutospacing="0" w:after="0" w:afterAutospacing="0" w:line="360" w:lineRule="auto"/>
        <w:ind w:left="0" w:right="0" w:firstLine="480" w:firstLineChars="200"/>
        <w:jc w:val="both"/>
        <w:outlineLvl w:val="2"/>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（八）侧袋机制的实施和投资运作安排</w:t>
      </w:r>
    </w:p>
    <w:p w14:paraId="7D663E3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24085F3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侧袋机制实施期间，本部分约定的投资组合比例、投资策略、组合限制、业绩比较基准、风险收益特征等约定仅适用于主袋账户。</w:t>
      </w:r>
    </w:p>
    <w:p w14:paraId="5928C86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侧袋账户的实施条件、实施程序、运作安排、投资安排、特定资产的处置变现和支付等对投资者权益有重大影响的事项详见招募说明书的规定。</w:t>
      </w:r>
    </w:p>
    <w:p w14:paraId="014800CF">
      <w:pPr>
        <w:keepNext w:val="0"/>
        <w:keepLines w:val="0"/>
        <w:widowControl w:val="0"/>
        <w:suppressLineNumbers w:val="0"/>
        <w:spacing w:before="0" w:beforeAutospacing="0" w:after="0" w:afterAutospacing="0" w:line="360" w:lineRule="auto"/>
        <w:ind w:left="0" w:right="0" w:firstLine="482" w:firstLineChars="200"/>
        <w:jc w:val="both"/>
        <w:outlineLvl w:val="1"/>
        <w:rPr>
          <w:rFonts w:hint="default" w:ascii="Times New Roman" w:hAnsi="Times New Roman" w:cs="Times New Roman"/>
          <w:b/>
          <w:bCs/>
          <w:kern w:val="2"/>
          <w:sz w:val="24"/>
          <w:szCs w:val="24"/>
        </w:rPr>
      </w:pPr>
      <w:r>
        <w:rPr>
          <w:rFonts w:hint="eastAsia" w:ascii="宋体" w:hAnsi="宋体" w:eastAsia="宋体" w:cs="宋体"/>
          <w:b/>
          <w:bCs/>
          <w:kern w:val="2"/>
          <w:sz w:val="24"/>
          <w:szCs w:val="24"/>
          <w:lang w:val="en-US" w:eastAsia="zh-CN" w:bidi="ar"/>
        </w:rPr>
        <w:t>六、基金资产净值的计算方法和公告方式</w:t>
      </w:r>
    </w:p>
    <w:p w14:paraId="171B6353">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（一）估值方法</w:t>
      </w:r>
    </w:p>
    <w:p w14:paraId="27073E0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交易所上市的有价证券（包括股票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9DAF5C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、处于未上市期间的有价证券应区分如下情况处理：</w:t>
      </w:r>
    </w:p>
    <w:p w14:paraId="71425E8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）送股、转增股、配股和公开增发的新股，按估值日在证券交易所挂牌的同一股票的估值方法估值；该日无交易的，以最近一日的市价（收盘价）估值；</w:t>
      </w:r>
    </w:p>
    <w:p w14:paraId="2767DF5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）首次公开发行未上市的股票和债券，采用估值技术确定公允价值；</w:t>
      </w:r>
    </w:p>
    <w:p w14:paraId="174C82A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17B2FB4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、对于已上市或已挂牌转让的不含权固定收益品种（另有规定的除外），选取第三方估值基准服务机构提供的相应品种当日的估值全价进行估值。</w:t>
      </w:r>
    </w:p>
    <w:p w14:paraId="2110D27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、对于已上市或已挂牌转让的含权固定收益品种（另有规定的除外），选取第三方估值基准服务机构提供的相应品种当日的唯一估值全价或推荐估值全价进行估值。</w:t>
      </w:r>
    </w:p>
    <w:p w14:paraId="1748E5F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33C888A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70AD2A0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、对于未上市或未挂牌转让且不存在活跃市场的固定收益品种，采用在当前情况下适用并且有足够可利用数据和其他信息支持的估值技术确定其公允价值。</w:t>
      </w:r>
    </w:p>
    <w:p w14:paraId="4E10ED7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、本基金投资股指期货合约，一般以估值当日结算价进行估值，估值当日无结算价的，且最近交易日后经济环境未发生重大变化的，采用最近交易日结算价估值。</w:t>
      </w:r>
    </w:p>
    <w:p w14:paraId="5A0BF9D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8</w:t>
      </w:r>
      <w:r>
        <w:rPr>
          <w:rFonts w:hint="eastAsia" w:ascii="宋体" w:hAnsi="宋体" w:eastAsia="宋体" w:cs="宋体"/>
          <w:bCs/>
          <w:kern w:val="2"/>
          <w:sz w:val="24"/>
          <w:szCs w:val="24"/>
          <w:lang w:val="en-US" w:eastAsia="zh-CN" w:bidi="ar"/>
        </w:rPr>
        <w:t>、同一证券同时在两个或两个以上市场交易的，按证券所处的市场分别估值。</w:t>
      </w:r>
    </w:p>
    <w:p w14:paraId="056EA30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9</w:t>
      </w:r>
      <w:r>
        <w:rPr>
          <w:rFonts w:hint="eastAsia" w:ascii="宋体" w:hAnsi="宋体" w:eastAsia="宋体" w:cs="宋体"/>
          <w:bCs/>
          <w:kern w:val="2"/>
          <w:sz w:val="24"/>
          <w:szCs w:val="24"/>
          <w:lang w:val="en-US" w:eastAsia="zh-CN" w:bidi="ar"/>
        </w:rPr>
        <w:t>、估值计算中涉及港币对人民币汇率的，将依据下列信息提供机构所提供的汇率为基准：当日中国人民银行或其授权机构公布的人民币与港币的中间价。</w:t>
      </w:r>
    </w:p>
    <w:p w14:paraId="7CA5BB0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10</w:t>
      </w:r>
      <w:r>
        <w:rPr>
          <w:rFonts w:hint="eastAsia" w:ascii="宋体" w:hAnsi="宋体" w:eastAsia="宋体" w:cs="宋体"/>
          <w:bCs/>
          <w:kern w:val="2"/>
          <w:sz w:val="24"/>
          <w:szCs w:val="24"/>
          <w:lang w:val="en-US" w:eastAsia="zh-CN" w:bidi="ar"/>
        </w:rPr>
        <w:t>、对于因税收规定调整或其他原因导致本基金实际交纳税金与估算的应交税金有差异的，本基金将在相关税金调整日或实际支付日进行相应的会计处理。</w:t>
      </w:r>
    </w:p>
    <w:p w14:paraId="001D2AE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11</w:t>
      </w:r>
      <w:r>
        <w:rPr>
          <w:rFonts w:hint="eastAsia" w:ascii="宋体" w:hAnsi="宋体" w:eastAsia="宋体" w:cs="宋体"/>
          <w:bCs/>
          <w:kern w:val="2"/>
          <w:sz w:val="24"/>
          <w:szCs w:val="24"/>
          <w:lang w:val="en-US" w:eastAsia="zh-CN" w:bidi="ar"/>
        </w:rPr>
        <w:t>、本基金投资存托凭证的估值核算依照境内上市交易的股票执行。</w:t>
      </w:r>
    </w:p>
    <w:p w14:paraId="544D8F8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12</w:t>
      </w:r>
      <w:r>
        <w:rPr>
          <w:rFonts w:hint="eastAsia" w:ascii="宋体" w:hAnsi="宋体" w:eastAsia="宋体" w:cs="宋体"/>
          <w:bCs/>
          <w:kern w:val="2"/>
          <w:sz w:val="24"/>
          <w:szCs w:val="24"/>
          <w:lang w:val="en-US" w:eastAsia="zh-CN" w:bidi="ar"/>
        </w:rPr>
        <w:t>、如有确凿证据表明按上述方法进行估值不能客观反映其公允价值的，基金管理人可根据具体情况与基金托管人商定后，按最能反映公允价值的价格估值。</w:t>
      </w:r>
    </w:p>
    <w:p w14:paraId="4061071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13</w:t>
      </w:r>
      <w:r>
        <w:rPr>
          <w:rFonts w:hint="eastAsia" w:ascii="宋体" w:hAnsi="宋体" w:eastAsia="宋体" w:cs="宋体"/>
          <w:bCs/>
          <w:kern w:val="2"/>
          <w:sz w:val="24"/>
          <w:szCs w:val="24"/>
          <w:lang w:val="en-US" w:eastAsia="zh-CN" w:bidi="ar"/>
        </w:rPr>
        <w:t>、当发生大额申购或赎回情形时，基金管理人可以采用摆动定价机制，以确保基金估值的公平性。</w:t>
      </w:r>
    </w:p>
    <w:p w14:paraId="04ADFAF0">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14</w:t>
      </w:r>
      <w:r>
        <w:rPr>
          <w:rFonts w:hint="eastAsia" w:ascii="宋体" w:hAnsi="宋体" w:eastAsia="宋体" w:cs="宋体"/>
          <w:bCs/>
          <w:kern w:val="2"/>
          <w:sz w:val="24"/>
          <w:szCs w:val="24"/>
          <w:lang w:val="en-US" w:eastAsia="zh-CN" w:bidi="ar"/>
        </w:rPr>
        <w:t>、相关法律法规以及监管部门有强制规定的，从其规定。如有新增事项，按国家最新规定估值。</w:t>
      </w:r>
    </w:p>
    <w:p w14:paraId="76D62926">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sz w:val="24"/>
          <w:szCs w:val="24"/>
        </w:rPr>
      </w:pPr>
      <w:r>
        <w:rPr>
          <w:rFonts w:hint="eastAsia" w:ascii="宋体" w:hAnsi="宋体" w:eastAsia="宋体" w:cs="宋体"/>
          <w:bCs/>
          <w:kern w:val="2"/>
          <w:sz w:val="24"/>
          <w:szCs w:val="24"/>
          <w:lang w:val="en-US" w:eastAsia="zh-CN" w:bidi="ar"/>
        </w:rPr>
        <w:t>如基金管理人或基金托管人发现基金估值违反基金合同订明的估值方法、程序及相关法律法规的规定或者未能充分维护基金份额持有人利益时，应立即通知对方，共同查明原因，双方协商解决。</w:t>
      </w:r>
    </w:p>
    <w:p w14:paraId="50EB6AD3">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26AEAE02">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（二）估值程序</w:t>
      </w:r>
    </w:p>
    <w:p w14:paraId="229B279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、各类基金份额的基金份额净值是按照每个工作日闭市后，该类基金份额的基金资产净值除以当日该类基金份额的余额数量计算，均精确到</w:t>
      </w:r>
      <w:r>
        <w:rPr>
          <w:rFonts w:hint="default" w:ascii="Times New Roman" w:hAnsi="Times New Roman" w:eastAsia="宋体" w:cs="Times New Roman"/>
          <w:bCs/>
          <w:kern w:val="2"/>
          <w:sz w:val="24"/>
          <w:szCs w:val="24"/>
          <w:lang w:val="en-US" w:eastAsia="zh-CN" w:bidi="ar"/>
        </w:rPr>
        <w:t>0.0001</w:t>
      </w:r>
      <w:r>
        <w:rPr>
          <w:rFonts w:hint="eastAsia" w:ascii="宋体" w:hAnsi="宋体" w:eastAsia="宋体" w:cs="宋体"/>
          <w:bCs/>
          <w:kern w:val="2"/>
          <w:sz w:val="24"/>
          <w:szCs w:val="24"/>
          <w:lang w:val="en-US" w:eastAsia="zh-CN" w:bidi="ar"/>
        </w:rPr>
        <w:t>元，小数点后第</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位四舍五入，由此产生的误差计入基金财产。基金管理人可以设立大额赎回情形下的净值精度应急调整机制，具体可参见相关公告。国家另有规定的，从其规定。</w:t>
      </w:r>
    </w:p>
    <w:p w14:paraId="0D98A30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基金管理人于每个工作日计算各类基金份额的基金资产净值及基金份额净值，经基金托管人复核，并按规定公告。如遇特殊情况，经履行适当程序，可以适当延迟计算或公告。</w:t>
      </w:r>
    </w:p>
    <w:p w14:paraId="75145553">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基金管理人应每个工作日对基金资产估值，但基金管理人根据法律法规或本基金合同的规定暂停估值时除外。基金管理人每个工作日对基金资产估值后，将基金资产净值、各类基金份额净值结果发送基金托管人，经基金托管人复核无误后，由基金管理人依据基金合同和相关法律法规的规定对外公布。</w:t>
      </w:r>
    </w:p>
    <w:p w14:paraId="126CA2BD">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（三）暂停估值的情形</w:t>
      </w:r>
    </w:p>
    <w:p w14:paraId="09D2CA80">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、基金投资所涉及的证券、期货交易市场遇法定节假日或因其他原因暂停营业时；</w:t>
      </w:r>
    </w:p>
    <w:p w14:paraId="73027E2D">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、因不可抗力致使基金管理人、基金托管人无法准确评估基金资产价值时；</w:t>
      </w:r>
    </w:p>
    <w:p w14:paraId="1A9F3D2A">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、当特定资产占前一估值日基金资产净值</w:t>
      </w:r>
      <w:r>
        <w:rPr>
          <w:rFonts w:hint="default" w:ascii="Times New Roman" w:hAnsi="Times New Roman" w:eastAsia="宋体" w:cs="Times New Roman"/>
          <w:bCs/>
          <w:kern w:val="2"/>
          <w:sz w:val="24"/>
          <w:szCs w:val="24"/>
          <w:lang w:val="en-US" w:eastAsia="zh-CN" w:bidi="ar"/>
        </w:rPr>
        <w:t>50%</w:t>
      </w:r>
      <w:r>
        <w:rPr>
          <w:rFonts w:hint="eastAsia" w:ascii="宋体" w:hAnsi="宋体" w:eastAsia="宋体" w:cs="宋体"/>
          <w:bCs/>
          <w:kern w:val="2"/>
          <w:sz w:val="24"/>
          <w:szCs w:val="24"/>
          <w:lang w:val="en-US" w:eastAsia="zh-CN" w:bidi="ar"/>
        </w:rPr>
        <w:t>以上的，经与基金托管人协商确认后，基金管理人应当暂停估值；</w:t>
      </w:r>
    </w:p>
    <w:p w14:paraId="0F4E82ED">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、法律法规、中国证监会和基金合同认定的其它情形。</w:t>
      </w:r>
    </w:p>
    <w:p w14:paraId="7ACB1F75">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（四）基金资产净值、基金份额净值的公告方式</w:t>
      </w:r>
    </w:p>
    <w:p w14:paraId="3343C71F">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《基金合同》生效后，在开始办理基金份额申购或者赎回前，基金管理人应当至少每周在规定网站分别披露一次</w:t>
      </w:r>
      <w:r>
        <w:rPr>
          <w:rFonts w:hint="default" w:ascii="Times New Roman" w:hAnsi="Times New Roman" w:eastAsia="宋体" w:cs="Times New Roman"/>
          <w:bCs/>
          <w:kern w:val="2"/>
          <w:sz w:val="24"/>
          <w:szCs w:val="24"/>
          <w:lang w:val="en-US" w:eastAsia="zh-CN" w:bidi="ar"/>
        </w:rPr>
        <w:t>A</w:t>
      </w:r>
      <w:r>
        <w:rPr>
          <w:rFonts w:hint="eastAsia" w:ascii="宋体" w:hAnsi="宋体" w:eastAsia="宋体" w:cs="宋体"/>
          <w:bCs/>
          <w:kern w:val="2"/>
          <w:sz w:val="24"/>
          <w:szCs w:val="24"/>
          <w:lang w:val="en-US" w:eastAsia="zh-CN" w:bidi="ar"/>
        </w:rPr>
        <w:t>类基金份额和</w:t>
      </w: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类基金份额所对应的基金份额净值和基金份额累计净值。</w:t>
      </w:r>
    </w:p>
    <w:p w14:paraId="42022E4F">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在开始办理基金份额申购或者赎回后，基金管理人应当在不晚于每个开放日的次日，通过规定网站、基金销售机构网站或者营业网点分别披露开放日的</w:t>
      </w:r>
      <w:r>
        <w:rPr>
          <w:rFonts w:hint="default" w:ascii="Times New Roman" w:hAnsi="Times New Roman" w:eastAsia="宋体" w:cs="Times New Roman"/>
          <w:kern w:val="2"/>
          <w:sz w:val="24"/>
          <w:szCs w:val="24"/>
          <w:lang w:val="en-US" w:eastAsia="zh-CN" w:bidi="ar"/>
        </w:rPr>
        <w:t>A</w:t>
      </w:r>
      <w:r>
        <w:rPr>
          <w:rFonts w:hint="eastAsia" w:ascii="宋体" w:hAnsi="宋体" w:eastAsia="宋体" w:cs="宋体"/>
          <w:kern w:val="2"/>
          <w:sz w:val="24"/>
          <w:szCs w:val="24"/>
          <w:lang w:val="en-US" w:eastAsia="zh-CN" w:bidi="ar"/>
        </w:rPr>
        <w:t>类基金份额和</w:t>
      </w:r>
      <w:r>
        <w:rPr>
          <w:rFonts w:hint="default" w:ascii="Times New Roman" w:hAnsi="Times New Roman" w:eastAsia="宋体" w:cs="Times New Roman"/>
          <w:kern w:val="2"/>
          <w:sz w:val="24"/>
          <w:szCs w:val="24"/>
          <w:lang w:val="en-US" w:eastAsia="zh-CN" w:bidi="ar"/>
        </w:rPr>
        <w:t>C</w:t>
      </w:r>
      <w:r>
        <w:rPr>
          <w:rFonts w:hint="eastAsia" w:ascii="宋体" w:hAnsi="宋体" w:eastAsia="宋体" w:cs="宋体"/>
          <w:kern w:val="2"/>
          <w:sz w:val="24"/>
          <w:szCs w:val="24"/>
          <w:lang w:val="en-US" w:eastAsia="zh-CN" w:bidi="ar"/>
        </w:rPr>
        <w:t>类基金份额所对应的</w:t>
      </w:r>
      <w:r>
        <w:rPr>
          <w:rFonts w:hint="eastAsia" w:ascii="宋体" w:hAnsi="宋体" w:eastAsia="宋体" w:cs="宋体"/>
          <w:bCs/>
          <w:kern w:val="2"/>
          <w:sz w:val="24"/>
          <w:szCs w:val="24"/>
          <w:lang w:val="en-US" w:eastAsia="zh-CN" w:bidi="ar"/>
        </w:rPr>
        <w:t>基金份额净值和基金份额累计净值。</w:t>
      </w:r>
    </w:p>
    <w:p w14:paraId="1C94D76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基金管理人应当在不晚于半年度和年度最后一日的次日，在规定网站披露半年度和年度最后一日</w:t>
      </w:r>
      <w:r>
        <w:rPr>
          <w:rFonts w:hint="default" w:ascii="Times New Roman" w:hAnsi="Times New Roman" w:eastAsia="宋体" w:cs="Times New Roman"/>
          <w:bCs/>
          <w:kern w:val="2"/>
          <w:sz w:val="24"/>
          <w:szCs w:val="24"/>
          <w:lang w:val="en-US" w:eastAsia="zh-CN" w:bidi="ar"/>
        </w:rPr>
        <w:t>A</w:t>
      </w:r>
      <w:r>
        <w:rPr>
          <w:rFonts w:hint="eastAsia" w:ascii="宋体" w:hAnsi="宋体" w:eastAsia="宋体" w:cs="宋体"/>
          <w:bCs/>
          <w:kern w:val="2"/>
          <w:sz w:val="24"/>
          <w:szCs w:val="24"/>
          <w:lang w:val="en-US" w:eastAsia="zh-CN" w:bidi="ar"/>
        </w:rPr>
        <w:t>类基金份额和</w:t>
      </w: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类基金份额所对应的基金份额净值和基金份额累计净值。</w:t>
      </w:r>
    </w:p>
    <w:p w14:paraId="4321CDD9">
      <w:pPr>
        <w:keepNext w:val="0"/>
        <w:keepLines w:val="0"/>
        <w:widowControl w:val="0"/>
        <w:suppressLineNumbers w:val="0"/>
        <w:spacing w:before="0" w:beforeAutospacing="0" w:after="0" w:afterAutospacing="0" w:line="360" w:lineRule="auto"/>
        <w:ind w:left="0" w:right="0" w:firstLine="482" w:firstLineChars="200"/>
        <w:jc w:val="both"/>
        <w:outlineLvl w:val="1"/>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七、基金合同变更、解除和终止的事由、程序以及基金财产清算方式</w:t>
      </w:r>
    </w:p>
    <w:p w14:paraId="0E4DFA3C">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（一）《基金合同》的变更</w:t>
      </w:r>
    </w:p>
    <w:p w14:paraId="1CC21B38">
      <w:pPr>
        <w:keepNext w:val="0"/>
        <w:keepLines w:val="0"/>
        <w:widowControl w:val="0"/>
        <w:suppressLineNumbers w:val="0"/>
        <w:autoSpaceDE w:val="0"/>
        <w:autoSpaceDN w:val="0"/>
        <w:adjustRightInd w:val="0"/>
        <w:spacing w:before="0" w:beforeAutospacing="0" w:after="0" w:afterAutospacing="0" w:line="360" w:lineRule="auto"/>
        <w:ind w:left="0" w:right="0" w:firstLine="720" w:firstLineChars="300"/>
        <w:jc w:val="left"/>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按规定报中国证监会备案。</w:t>
      </w:r>
    </w:p>
    <w:p w14:paraId="4745E0EF">
      <w:pPr>
        <w:keepNext w:val="0"/>
        <w:keepLines w:val="0"/>
        <w:widowControl w:val="0"/>
        <w:suppressLineNumbers w:val="0"/>
        <w:autoSpaceDE w:val="0"/>
        <w:autoSpaceDN w:val="0"/>
        <w:adjustRightInd w:val="0"/>
        <w:spacing w:before="0" w:beforeAutospacing="0" w:after="0" w:afterAutospacing="0" w:line="360" w:lineRule="auto"/>
        <w:ind w:left="0" w:right="0" w:firstLine="720" w:firstLineChars="300"/>
        <w:jc w:val="left"/>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、关于《基金合同》变更的基金份额持有人大会决议自生效后方可执行，自决议生效后依照《信息披露办法》的规定在规定媒介公告。</w:t>
      </w:r>
    </w:p>
    <w:p w14:paraId="1C85804E">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（二）《基金合同》的终止事由</w:t>
      </w:r>
    </w:p>
    <w:p w14:paraId="637ACA27">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有下列情形之一的，经履行相关程序后，《基金合同》应当终止：</w:t>
      </w:r>
    </w:p>
    <w:p w14:paraId="137532BE">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、基金份额持有人大会决定终止的；</w:t>
      </w:r>
    </w:p>
    <w:p w14:paraId="0BED5313">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、基金管理人、基金托管人职责终止，在</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个月内没有新基金管理人、新基金托管人承接的；</w:t>
      </w:r>
    </w:p>
    <w:p w14:paraId="20427DB6">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、《基金合同》生效之日起三年后的对应日，若基金资产净值低于</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亿元，基金合同自动终止，且不得通过召开基金份额持有人大会的方式延续《基金合同》期限。若届时有效的法律法规或中国证监会规定发生变化，上述终止规定被取消、更改或补充，则本基金可以参照届时有效的法律法规或中国证监会规定执行；</w:t>
      </w:r>
    </w:p>
    <w:p w14:paraId="6438284A">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、《基金合同》约定的其他情形；</w:t>
      </w:r>
    </w:p>
    <w:p w14:paraId="716AB8F1">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、相关法律法规和中国证监会规定的其他情况。</w:t>
      </w:r>
    </w:p>
    <w:p w14:paraId="4AF3EF40">
      <w:pPr>
        <w:keepNext w:val="0"/>
        <w:keepLines w:val="0"/>
        <w:widowControl w:val="0"/>
        <w:suppressLineNumbers w:val="0"/>
        <w:spacing w:before="0" w:beforeAutospacing="0" w:after="0" w:afterAutospacing="0" w:line="360" w:lineRule="auto"/>
        <w:ind w:left="0" w:right="0" w:firstLine="480" w:firstLineChars="200"/>
        <w:jc w:val="both"/>
        <w:outlineLvl w:val="2"/>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（三）基金财产的清算</w:t>
      </w:r>
    </w:p>
    <w:p w14:paraId="4A715873">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、基金财产清算小组：自出现《基金合同》终止事由之日起</w:t>
      </w:r>
      <w:r>
        <w:rPr>
          <w:rFonts w:hint="default" w:ascii="Times New Roman" w:hAnsi="Times New Roman" w:eastAsia="宋体" w:cs="Times New Roman"/>
          <w:bCs/>
          <w:kern w:val="2"/>
          <w:sz w:val="24"/>
          <w:szCs w:val="24"/>
          <w:lang w:val="en-US" w:eastAsia="zh-CN" w:bidi="ar"/>
        </w:rPr>
        <w:t>30</w:t>
      </w:r>
      <w:r>
        <w:rPr>
          <w:rFonts w:hint="eastAsia" w:ascii="宋体" w:hAnsi="宋体" w:eastAsia="宋体" w:cs="宋体"/>
          <w:bCs/>
          <w:kern w:val="2"/>
          <w:sz w:val="24"/>
          <w:szCs w:val="24"/>
          <w:lang w:val="en-US" w:eastAsia="zh-CN" w:bidi="ar"/>
        </w:rPr>
        <w:t>个工作日内成立基金财产清算小组，基金管理人组织基金财产清算小组并在中国证监会的监督下进行基金清算。</w:t>
      </w:r>
    </w:p>
    <w:p w14:paraId="7B2885A0">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7F1F43E3">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、基金财产清算小组职责：基金财产清算小组负责基金财产的保管、清理、估价、变现和分配。基金财产清算小组可以依法进行必要的民事活动。</w:t>
      </w:r>
    </w:p>
    <w:p w14:paraId="7F4C5005">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、基金财产清算程序：</w:t>
      </w:r>
    </w:p>
    <w:p w14:paraId="5BB975AD">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）《基金合同》终止情形出现时，由基金财产清算小组统一接管基金财产；</w:t>
      </w:r>
    </w:p>
    <w:p w14:paraId="1E020DCE">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）对基金财产和债权债务进行清理和确认；</w:t>
      </w:r>
    </w:p>
    <w:p w14:paraId="5FE3F3F1">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3</w:t>
      </w:r>
      <w:r>
        <w:rPr>
          <w:rFonts w:hint="eastAsia" w:ascii="宋体" w:hAnsi="宋体" w:eastAsia="宋体" w:cs="宋体"/>
          <w:bCs/>
          <w:kern w:val="2"/>
          <w:sz w:val="24"/>
          <w:szCs w:val="24"/>
          <w:lang w:val="en-US" w:eastAsia="zh-CN" w:bidi="ar"/>
        </w:rPr>
        <w:t>）对基金财产进行估值和变现；</w:t>
      </w:r>
    </w:p>
    <w:p w14:paraId="4F841126">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4</w:t>
      </w:r>
      <w:r>
        <w:rPr>
          <w:rFonts w:hint="eastAsia" w:ascii="宋体" w:hAnsi="宋体" w:eastAsia="宋体" w:cs="宋体"/>
          <w:bCs/>
          <w:kern w:val="2"/>
          <w:sz w:val="24"/>
          <w:szCs w:val="24"/>
          <w:lang w:val="en-US" w:eastAsia="zh-CN" w:bidi="ar"/>
        </w:rPr>
        <w:t>）制作清算报告；</w:t>
      </w:r>
    </w:p>
    <w:p w14:paraId="73F3BDB4">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）聘请符合《中华人民共和国证券法》规定的会计师事务所对清算报告进行外部审计，聘请律师事务所对清算报告出具法律意见书；</w:t>
      </w:r>
    </w:p>
    <w:p w14:paraId="3D3CD980">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）将清算报告报中国证监会备案并公告；</w:t>
      </w:r>
    </w:p>
    <w:p w14:paraId="0521384D">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w:t>
      </w:r>
      <w:r>
        <w:rPr>
          <w:rFonts w:hint="default" w:ascii="Times New Roman" w:hAnsi="Times New Roman" w:eastAsia="宋体" w:cs="Times New Roman"/>
          <w:bCs/>
          <w:kern w:val="2"/>
          <w:sz w:val="24"/>
          <w:szCs w:val="24"/>
          <w:lang w:val="en-US" w:eastAsia="zh-CN" w:bidi="ar"/>
        </w:rPr>
        <w:t>7</w:t>
      </w:r>
      <w:r>
        <w:rPr>
          <w:rFonts w:hint="eastAsia" w:ascii="宋体" w:hAnsi="宋体" w:eastAsia="宋体" w:cs="宋体"/>
          <w:bCs/>
          <w:kern w:val="2"/>
          <w:sz w:val="24"/>
          <w:szCs w:val="24"/>
          <w:lang w:val="en-US" w:eastAsia="zh-CN" w:bidi="ar"/>
        </w:rPr>
        <w:t>）对基金剩余财产进行分配。</w:t>
      </w:r>
    </w:p>
    <w:p w14:paraId="26E632B9">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、基金财产清算的期限为</w:t>
      </w:r>
      <w:r>
        <w:rPr>
          <w:rFonts w:hint="default" w:ascii="Times New Roman" w:hAnsi="Times New Roman" w:eastAsia="宋体" w:cs="Times New Roman"/>
          <w:bCs/>
          <w:kern w:val="2"/>
          <w:sz w:val="24"/>
          <w:szCs w:val="24"/>
          <w:lang w:val="en-US" w:eastAsia="zh-CN" w:bidi="ar"/>
        </w:rPr>
        <w:t>6</w:t>
      </w:r>
      <w:r>
        <w:rPr>
          <w:rFonts w:hint="eastAsia" w:ascii="宋体" w:hAnsi="宋体" w:eastAsia="宋体" w:cs="宋体"/>
          <w:bCs/>
          <w:kern w:val="2"/>
          <w:sz w:val="24"/>
          <w:szCs w:val="24"/>
          <w:lang w:val="en-US" w:eastAsia="zh-CN" w:bidi="ar"/>
        </w:rPr>
        <w:t>个月，但因本基金所持证券的流动性受到限制而不能及时变现的，清算期限相应顺延。</w:t>
      </w:r>
    </w:p>
    <w:p w14:paraId="06805D4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（四）清算费用</w:t>
      </w:r>
    </w:p>
    <w:p w14:paraId="013C7BE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清算费用是指基金财产清算小组在进行基金财产清算过程中发生的所有合理费用，清算费用由基金财产清算小组优先从基金财产中支付。</w:t>
      </w:r>
    </w:p>
    <w:p w14:paraId="4C39295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（五）基金财产清算剩余资产的分配</w:t>
      </w:r>
    </w:p>
    <w:p w14:paraId="2B8F8CE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依据基金财产清算的分配方案，将基金财产清算后的全部剩余资产扣除基金财产清算费用、交纳所欠税款并清偿基金债务后，按基金份额持有人持有的基金份额比例进行分配。</w:t>
      </w:r>
    </w:p>
    <w:p w14:paraId="0C87A72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其中，对于投资人通过直销机构认购</w:t>
      </w:r>
      <w:r>
        <w:rPr>
          <w:rFonts w:hint="default" w:ascii="Times New Roman" w:hAnsi="Times New Roman" w:eastAsia="宋体" w:cs="Times New Roman"/>
          <w:bCs/>
          <w:kern w:val="2"/>
          <w:sz w:val="24"/>
          <w:szCs w:val="24"/>
          <w:lang w:val="en-US" w:eastAsia="zh-CN" w:bidi="ar"/>
        </w:rPr>
        <w:t>/</w:t>
      </w:r>
      <w:r>
        <w:rPr>
          <w:rFonts w:hint="eastAsia" w:ascii="宋体" w:hAnsi="宋体" w:eastAsia="宋体" w:cs="宋体"/>
          <w:bCs/>
          <w:kern w:val="2"/>
          <w:sz w:val="24"/>
          <w:szCs w:val="24"/>
          <w:lang w:val="en-US" w:eastAsia="zh-CN" w:bidi="ar"/>
        </w:rPr>
        <w:t>申购的</w:t>
      </w: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类基金份额所计提的销售服务费，或者通过其他销售机构认购</w:t>
      </w:r>
      <w:r>
        <w:rPr>
          <w:rFonts w:hint="default" w:ascii="Times New Roman" w:hAnsi="Times New Roman" w:eastAsia="宋体" w:cs="Times New Roman"/>
          <w:bCs/>
          <w:kern w:val="2"/>
          <w:sz w:val="24"/>
          <w:szCs w:val="24"/>
          <w:lang w:val="en-US" w:eastAsia="zh-CN" w:bidi="ar"/>
        </w:rPr>
        <w:t>/</w:t>
      </w:r>
      <w:r>
        <w:rPr>
          <w:rFonts w:hint="eastAsia" w:ascii="宋体" w:hAnsi="宋体" w:eastAsia="宋体" w:cs="宋体"/>
          <w:bCs/>
          <w:kern w:val="2"/>
          <w:sz w:val="24"/>
          <w:szCs w:val="24"/>
          <w:lang w:val="en-US" w:eastAsia="zh-CN" w:bidi="ar"/>
        </w:rPr>
        <w:t>申购的</w:t>
      </w:r>
      <w:r>
        <w:rPr>
          <w:rFonts w:hint="default" w:ascii="Times New Roman" w:hAnsi="Times New Roman" w:eastAsia="宋体" w:cs="Times New Roman"/>
          <w:bCs/>
          <w:kern w:val="2"/>
          <w:sz w:val="24"/>
          <w:szCs w:val="24"/>
          <w:lang w:val="en-US" w:eastAsia="zh-CN" w:bidi="ar"/>
        </w:rPr>
        <w:t>C</w:t>
      </w:r>
      <w:r>
        <w:rPr>
          <w:rFonts w:hint="eastAsia" w:ascii="宋体" w:hAnsi="宋体" w:eastAsia="宋体" w:cs="宋体"/>
          <w:bCs/>
          <w:kern w:val="2"/>
          <w:sz w:val="24"/>
          <w:szCs w:val="24"/>
          <w:lang w:val="en-US" w:eastAsia="zh-CN" w:bidi="ar"/>
        </w:rPr>
        <w:t>类基金份额持续持有超过一年后所计提的销售服务费，将在基金合同终止时随剩余资产分配款项一并返还给投资人。</w:t>
      </w:r>
    </w:p>
    <w:p w14:paraId="27FFC0F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（六）基金财产清算的公告</w:t>
      </w:r>
    </w:p>
    <w:p w14:paraId="6D187B7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hint="default" w:ascii="Times New Roman" w:hAnsi="Times New Roman" w:eastAsia="宋体" w:cs="Times New Roman"/>
          <w:bCs/>
          <w:kern w:val="2"/>
          <w:sz w:val="24"/>
          <w:szCs w:val="24"/>
          <w:lang w:val="en-US" w:eastAsia="zh-CN" w:bidi="ar"/>
        </w:rPr>
        <w:t>5</w:t>
      </w:r>
      <w:r>
        <w:rPr>
          <w:rFonts w:hint="eastAsia" w:ascii="宋体" w:hAnsi="宋体" w:eastAsia="宋体" w:cs="宋体"/>
          <w:bCs/>
          <w:kern w:val="2"/>
          <w:sz w:val="24"/>
          <w:szCs w:val="24"/>
          <w:lang w:val="en-US" w:eastAsia="zh-CN" w:bidi="ar"/>
        </w:rPr>
        <w:t>个工作日内由基金财产清算小组进行公告，基金财产清算小组应当将清算报告登载在规定网站上，并将清算报告提示性公告登载在规定报刊上。</w:t>
      </w:r>
    </w:p>
    <w:p w14:paraId="6C5837F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（七）基金财产清算账册及文件的保存</w:t>
      </w:r>
    </w:p>
    <w:p w14:paraId="1F969A5B">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基金财产清算账册及有关文件由基金托管人保存不低于法律法规规定的最低期限。</w:t>
      </w:r>
    </w:p>
    <w:p w14:paraId="60E8E673">
      <w:pPr>
        <w:pStyle w:val="18"/>
        <w:keepNext w:val="0"/>
        <w:keepLines w:val="0"/>
        <w:widowControl w:val="0"/>
        <w:suppressLineNumbers w:val="0"/>
        <w:spacing w:before="0" w:beforeAutospacing="1" w:after="78" w:afterLines="0" w:afterAutospacing="0" w:line="360" w:lineRule="auto"/>
        <w:ind w:left="0" w:right="0" w:firstLine="482" w:firstLineChars="200"/>
        <w:jc w:val="both"/>
        <w:outlineLvl w:val="1"/>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八、争议解决方式</w:t>
      </w:r>
    </w:p>
    <w:p w14:paraId="0B6E2BF5">
      <w:pPr>
        <w:keepNext w:val="0"/>
        <w:keepLines w:val="0"/>
        <w:widowControl w:val="0"/>
        <w:suppressLineNumbers w:val="0"/>
        <w:spacing w:before="0" w:beforeAutospacing="0" w:after="0" w:afterAutospacing="0" w:line="360" w:lineRule="auto"/>
        <w:ind w:left="0" w:right="0" w:firstLine="482" w:firstLineChars="200"/>
        <w:jc w:val="both"/>
        <w:rPr>
          <w:rFonts w:hint="default" w:ascii="Times New Roman" w:hAnsi="Times New Roman" w:cs="Times New Roman"/>
          <w:b/>
          <w:bCs w:val="0"/>
          <w:kern w:val="2"/>
          <w:sz w:val="24"/>
          <w:szCs w:val="24"/>
        </w:rPr>
      </w:pPr>
      <w:r>
        <w:rPr>
          <w:rFonts w:hint="eastAsia" w:ascii="宋体" w:hAnsi="宋体" w:eastAsia="宋体" w:cs="宋体"/>
          <w:b/>
          <w:bCs w:val="0"/>
          <w:kern w:val="2"/>
          <w:sz w:val="24"/>
          <w:szCs w:val="24"/>
          <w:lang w:val="en-US" w:eastAsia="zh-CN" w:bidi="ar"/>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由败诉方承担。</w:t>
      </w:r>
    </w:p>
    <w:p w14:paraId="720A06F5">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kern w:val="2"/>
          <w:sz w:val="24"/>
          <w:szCs w:val="24"/>
        </w:rPr>
      </w:pPr>
      <w:r>
        <w:rPr>
          <w:rFonts w:hint="eastAsia" w:ascii="宋体" w:hAnsi="宋体" w:eastAsia="宋体" w:cs="宋体"/>
          <w:bCs/>
          <w:kern w:val="2"/>
          <w:sz w:val="24"/>
          <w:szCs w:val="24"/>
          <w:lang w:val="en-US" w:eastAsia="zh-CN" w:bidi="ar"/>
        </w:rPr>
        <w:t>争议处理期间，基金合同当事人应恪守各自的职责，继续忠实、勤勉、尽责地履行基金合同规定的义务，维护基金份额持有人的合法权益。</w:t>
      </w:r>
    </w:p>
    <w:p w14:paraId="438D8679">
      <w:pPr>
        <w:pStyle w:val="18"/>
        <w:keepNext w:val="0"/>
        <w:keepLines w:val="0"/>
        <w:widowControl w:val="0"/>
        <w:suppressLineNumbers w:val="0"/>
        <w:spacing w:before="0" w:beforeAutospacing="1" w:after="78" w:afterLines="0" w:afterAutospacing="0" w:line="360" w:lineRule="auto"/>
        <w:ind w:left="0" w:right="0" w:firstLine="480" w:firstLineChars="200"/>
        <w:jc w:val="both"/>
        <w:outlineLvl w:val="1"/>
        <w:rPr>
          <w:rFonts w:hint="eastAsia" w:ascii="宋体" w:hAnsi="宋体" w:eastAsia="宋体" w:cs="宋体"/>
          <w:b/>
          <w:bCs w:val="0"/>
          <w:kern w:val="2"/>
          <w:sz w:val="24"/>
          <w:szCs w:val="24"/>
        </w:rPr>
      </w:pPr>
      <w:r>
        <w:rPr>
          <w:rFonts w:hint="eastAsia" w:ascii="宋体" w:hAnsi="宋体" w:eastAsia="宋体" w:cs="宋体"/>
          <w:bCs/>
          <w:kern w:val="2"/>
          <w:sz w:val="24"/>
          <w:szCs w:val="24"/>
          <w:lang w:val="en-US" w:eastAsia="zh-CN" w:bidi="ar"/>
        </w:rPr>
        <w:t>《基金合同》受中国法律（为本基金合同之目的，不含港澳台地区法律）管辖并从其解释。</w:t>
      </w:r>
    </w:p>
    <w:p w14:paraId="65982FBC">
      <w:pPr>
        <w:pStyle w:val="18"/>
        <w:keepNext w:val="0"/>
        <w:keepLines w:val="0"/>
        <w:widowControl w:val="0"/>
        <w:suppressLineNumbers w:val="0"/>
        <w:spacing w:before="0" w:beforeAutospacing="1" w:after="78" w:afterLines="0" w:afterAutospacing="0" w:line="360" w:lineRule="auto"/>
        <w:ind w:left="0" w:right="0" w:firstLine="482" w:firstLineChars="200"/>
        <w:jc w:val="both"/>
        <w:outlineLvl w:val="1"/>
        <w:rPr>
          <w:rFonts w:hint="eastAsia" w:ascii="宋体" w:hAnsi="宋体" w:eastAsia="宋体" w:cs="宋体"/>
          <w:kern w:val="2"/>
          <w:sz w:val="24"/>
          <w:szCs w:val="24"/>
        </w:rPr>
      </w:pPr>
      <w:r>
        <w:rPr>
          <w:rFonts w:hint="eastAsia" w:ascii="宋体" w:hAnsi="宋体" w:eastAsia="宋体" w:cs="宋体"/>
          <w:b/>
          <w:bCs w:val="0"/>
          <w:kern w:val="2"/>
          <w:sz w:val="24"/>
          <w:szCs w:val="24"/>
          <w:lang w:val="en-US" w:eastAsia="zh-CN" w:bidi="ar"/>
        </w:rPr>
        <w:t>九、基金合同存放地和投资者取得基金合同的方式</w:t>
      </w:r>
    </w:p>
    <w:p w14:paraId="671F3159">
      <w:pPr>
        <w:widowControl w:val="0"/>
        <w:spacing w:before="0" w:beforeAutospacing="0" w:after="0" w:afterAutospacing="0" w:line="360" w:lineRule="auto"/>
        <w:ind w:firstLine="480" w:firstLineChars="20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《基金合同》正本一式三份，除上报有关监管机构一份外，基金管理人、基金托管人各持有一份，每份具有同等的法律效力。</w:t>
      </w:r>
    </w:p>
    <w:p w14:paraId="114E21E0">
      <w:pPr>
        <w:widowControl w:val="0"/>
        <w:spacing w:before="0" w:beforeAutospacing="0" w:after="0" w:afterAutospacing="0" w:line="360" w:lineRule="auto"/>
        <w:ind w:firstLine="480" w:firstLineChars="200"/>
        <w:jc w:val="both"/>
        <w:rPr>
          <w:rFonts w:hint="eastAsia" w:ascii="宋体" w:hAnsi="宋体" w:eastAsia="宋体" w:cs="宋体"/>
          <w:bCs/>
          <w:kern w:val="2"/>
          <w:sz w:val="24"/>
          <w:szCs w:val="24"/>
          <w:lang w:bidi="ar"/>
        </w:rPr>
      </w:pPr>
      <w:r>
        <w:rPr>
          <w:rFonts w:hint="eastAsia" w:ascii="宋体" w:hAnsi="宋体" w:eastAsia="宋体" w:cs="宋体"/>
          <w:bCs/>
          <w:kern w:val="2"/>
          <w:sz w:val="24"/>
          <w:szCs w:val="24"/>
          <w:lang w:val="en-US" w:eastAsia="zh-CN" w:bidi="ar"/>
        </w:rPr>
        <w:t>《基金合同》可印制成册，供投资者在基金管理人、基金托管人、销售机构的办公场所和营业场所查阅，但应以《基金合同》正本为准。</w:t>
      </w:r>
    </w:p>
    <w:p w14:paraId="775C9A65">
      <w:pPr>
        <w:spacing w:line="360" w:lineRule="auto"/>
        <w:ind w:firstLine="420" w:firstLineChars="200"/>
        <w:rPr>
          <w:rFonts w:asciiTheme="minorEastAsia" w:hAnsiTheme="minorEastAsia" w:eastAsiaTheme="minorEastAsia"/>
        </w:rPr>
      </w:pP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6001407"/>
      <w:docPartObj>
        <w:docPartGallery w:val="autotext"/>
      </w:docPartObj>
    </w:sdtPr>
    <w:sdtContent>
      <w:p w14:paraId="490DCBB1">
        <w:pPr>
          <w:pStyle w:val="13"/>
          <w:jc w:val="center"/>
        </w:pPr>
        <w:r>
          <w:fldChar w:fldCharType="begin"/>
        </w:r>
        <w:r>
          <w:instrText xml:space="preserve">PAGE   \* MERGEFORMAT</w:instrText>
        </w:r>
        <w:r>
          <w:fldChar w:fldCharType="separate"/>
        </w:r>
        <w:r>
          <w:rPr>
            <w:lang w:val="zh-CN"/>
          </w:rPr>
          <w:t>20</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C3D62">
    <w:pPr>
      <w:pStyle w:val="14"/>
      <w:pBdr>
        <w:bottom w:val="thickThinLargeGap" w:color="auto" w:sz="24" w:space="2"/>
      </w:pBdr>
      <w:tabs>
        <w:tab w:val="right" w:pos="8280"/>
      </w:tabs>
      <w:wordWrap w:val="0"/>
      <w:adjustRightInd w:val="0"/>
      <w:jc w:val="right"/>
    </w:pPr>
    <w:r>
      <w:rPr>
        <w:rFonts w:hint="eastAsia"/>
        <w:szCs w:val="18"/>
      </w:rPr>
      <w:t>交银施罗德</w:t>
    </w:r>
    <w:r>
      <w:rPr>
        <w:rFonts w:hint="eastAsia"/>
        <w:szCs w:val="18"/>
        <w:lang w:val="en-US" w:eastAsia="zh-CN"/>
      </w:rPr>
      <w:t>消费研选混合型发起式证券投资基金</w:t>
    </w:r>
    <w:r>
      <w:rPr>
        <w:rFonts w:hint="eastAsia"/>
        <w:szCs w:val="18"/>
      </w:rPr>
      <w:t>基金合同摘要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638CA3"/>
    <w:multiLevelType w:val="multilevel"/>
    <w:tmpl w:val="DA638CA3"/>
    <w:lvl w:ilvl="0" w:tentative="0">
      <w:start w:val="1"/>
      <w:numFmt w:val="bullet"/>
      <w:lvlText w:val=""/>
      <w:lvlJc w:val="left"/>
      <w:pPr>
        <w:tabs>
          <w:tab w:val="left" w:pos="420"/>
        </w:tabs>
        <w:ind w:left="840" w:hanging="420"/>
      </w:pPr>
      <w:rPr>
        <w:rFonts w:hint="default" w:ascii="Wingdings" w:hAnsi="Wingdings" w:cs="Wingdings"/>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13B718D4"/>
    <w:multiLevelType w:val="multilevel"/>
    <w:tmpl w:val="13B718D4"/>
    <w:lvl w:ilvl="0" w:tentative="0">
      <w:start w:val="1"/>
      <w:numFmt w:val="decimal"/>
      <w:pStyle w:val="49"/>
      <w:lvlText w:val="（%1）"/>
      <w:lvlJc w:val="center"/>
      <w:pPr>
        <w:tabs>
          <w:tab w:val="left" w:pos="648"/>
        </w:tabs>
        <w:ind w:left="0" w:firstLine="28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BE"/>
    <w:rsid w:val="0000096F"/>
    <w:rsid w:val="00000E2D"/>
    <w:rsid w:val="000010A1"/>
    <w:rsid w:val="000016DB"/>
    <w:rsid w:val="00001B54"/>
    <w:rsid w:val="000021AE"/>
    <w:rsid w:val="000037F6"/>
    <w:rsid w:val="00005C72"/>
    <w:rsid w:val="0000655B"/>
    <w:rsid w:val="00010C28"/>
    <w:rsid w:val="0001299E"/>
    <w:rsid w:val="0001346D"/>
    <w:rsid w:val="000139C9"/>
    <w:rsid w:val="00013C96"/>
    <w:rsid w:val="00013F2E"/>
    <w:rsid w:val="00017B39"/>
    <w:rsid w:val="000212FA"/>
    <w:rsid w:val="000215F6"/>
    <w:rsid w:val="000219B9"/>
    <w:rsid w:val="00021B46"/>
    <w:rsid w:val="00021EA7"/>
    <w:rsid w:val="0002212D"/>
    <w:rsid w:val="000221EA"/>
    <w:rsid w:val="00023D39"/>
    <w:rsid w:val="00024C9C"/>
    <w:rsid w:val="00024E17"/>
    <w:rsid w:val="00025ECC"/>
    <w:rsid w:val="0002622E"/>
    <w:rsid w:val="000269E2"/>
    <w:rsid w:val="0002745F"/>
    <w:rsid w:val="00030188"/>
    <w:rsid w:val="000311BD"/>
    <w:rsid w:val="00035932"/>
    <w:rsid w:val="0003639C"/>
    <w:rsid w:val="00037321"/>
    <w:rsid w:val="000373B5"/>
    <w:rsid w:val="00040297"/>
    <w:rsid w:val="00040A7C"/>
    <w:rsid w:val="00040BC4"/>
    <w:rsid w:val="0004163B"/>
    <w:rsid w:val="00041C1E"/>
    <w:rsid w:val="00041E5F"/>
    <w:rsid w:val="00042967"/>
    <w:rsid w:val="00042A3B"/>
    <w:rsid w:val="00043580"/>
    <w:rsid w:val="00043A57"/>
    <w:rsid w:val="00044B25"/>
    <w:rsid w:val="00047561"/>
    <w:rsid w:val="000500BD"/>
    <w:rsid w:val="00053AD3"/>
    <w:rsid w:val="00056205"/>
    <w:rsid w:val="000570CE"/>
    <w:rsid w:val="00062295"/>
    <w:rsid w:val="000624D8"/>
    <w:rsid w:val="0006276F"/>
    <w:rsid w:val="00062AD0"/>
    <w:rsid w:val="0006356A"/>
    <w:rsid w:val="00063730"/>
    <w:rsid w:val="00064D95"/>
    <w:rsid w:val="00065E71"/>
    <w:rsid w:val="0006661F"/>
    <w:rsid w:val="00070C20"/>
    <w:rsid w:val="000719AC"/>
    <w:rsid w:val="00074AE2"/>
    <w:rsid w:val="000809D2"/>
    <w:rsid w:val="00080F61"/>
    <w:rsid w:val="00082458"/>
    <w:rsid w:val="000824F9"/>
    <w:rsid w:val="00083A96"/>
    <w:rsid w:val="00084656"/>
    <w:rsid w:val="00085208"/>
    <w:rsid w:val="000854C2"/>
    <w:rsid w:val="00090EA5"/>
    <w:rsid w:val="00091945"/>
    <w:rsid w:val="00091D13"/>
    <w:rsid w:val="000925A3"/>
    <w:rsid w:val="000928CF"/>
    <w:rsid w:val="000964FA"/>
    <w:rsid w:val="00096C03"/>
    <w:rsid w:val="00096E4F"/>
    <w:rsid w:val="0009756E"/>
    <w:rsid w:val="000A2786"/>
    <w:rsid w:val="000A47B4"/>
    <w:rsid w:val="000A4DE5"/>
    <w:rsid w:val="000A54BB"/>
    <w:rsid w:val="000A631F"/>
    <w:rsid w:val="000A6CE3"/>
    <w:rsid w:val="000A6D51"/>
    <w:rsid w:val="000A7140"/>
    <w:rsid w:val="000A73E4"/>
    <w:rsid w:val="000A7EF0"/>
    <w:rsid w:val="000B212A"/>
    <w:rsid w:val="000B42F7"/>
    <w:rsid w:val="000B4BA5"/>
    <w:rsid w:val="000B63A7"/>
    <w:rsid w:val="000B6B5E"/>
    <w:rsid w:val="000B7185"/>
    <w:rsid w:val="000C00AB"/>
    <w:rsid w:val="000C175B"/>
    <w:rsid w:val="000C2206"/>
    <w:rsid w:val="000C27EA"/>
    <w:rsid w:val="000C34DF"/>
    <w:rsid w:val="000C3A20"/>
    <w:rsid w:val="000C418E"/>
    <w:rsid w:val="000C661E"/>
    <w:rsid w:val="000C66E8"/>
    <w:rsid w:val="000D339A"/>
    <w:rsid w:val="000D3970"/>
    <w:rsid w:val="000D3F1E"/>
    <w:rsid w:val="000D6435"/>
    <w:rsid w:val="000D6BA4"/>
    <w:rsid w:val="000D76B5"/>
    <w:rsid w:val="000D777A"/>
    <w:rsid w:val="000D795E"/>
    <w:rsid w:val="000D7E28"/>
    <w:rsid w:val="000E030E"/>
    <w:rsid w:val="000E04A7"/>
    <w:rsid w:val="000E07F2"/>
    <w:rsid w:val="000E0858"/>
    <w:rsid w:val="000E1A92"/>
    <w:rsid w:val="000E26B7"/>
    <w:rsid w:val="000E2877"/>
    <w:rsid w:val="000E354A"/>
    <w:rsid w:val="000E4AAB"/>
    <w:rsid w:val="000E7730"/>
    <w:rsid w:val="000F02C2"/>
    <w:rsid w:val="000F0FA1"/>
    <w:rsid w:val="000F12CB"/>
    <w:rsid w:val="000F203B"/>
    <w:rsid w:val="000F3BDB"/>
    <w:rsid w:val="000F4B42"/>
    <w:rsid w:val="000F4D28"/>
    <w:rsid w:val="000F68BB"/>
    <w:rsid w:val="000F6AB9"/>
    <w:rsid w:val="000F6B62"/>
    <w:rsid w:val="000F7291"/>
    <w:rsid w:val="00100AEB"/>
    <w:rsid w:val="00101A40"/>
    <w:rsid w:val="00102050"/>
    <w:rsid w:val="0010267F"/>
    <w:rsid w:val="00104095"/>
    <w:rsid w:val="00104C3D"/>
    <w:rsid w:val="00106F39"/>
    <w:rsid w:val="00107464"/>
    <w:rsid w:val="001107DF"/>
    <w:rsid w:val="00112B70"/>
    <w:rsid w:val="00112D0E"/>
    <w:rsid w:val="001139E9"/>
    <w:rsid w:val="001148C0"/>
    <w:rsid w:val="0011499A"/>
    <w:rsid w:val="001177D6"/>
    <w:rsid w:val="001205C9"/>
    <w:rsid w:val="00120993"/>
    <w:rsid w:val="00121E55"/>
    <w:rsid w:val="001231D3"/>
    <w:rsid w:val="00123756"/>
    <w:rsid w:val="00124A82"/>
    <w:rsid w:val="001256AF"/>
    <w:rsid w:val="0012591F"/>
    <w:rsid w:val="001274F5"/>
    <w:rsid w:val="0012791E"/>
    <w:rsid w:val="00127D88"/>
    <w:rsid w:val="00130448"/>
    <w:rsid w:val="00130AE3"/>
    <w:rsid w:val="00130AF4"/>
    <w:rsid w:val="00130D1C"/>
    <w:rsid w:val="001311D3"/>
    <w:rsid w:val="0013197C"/>
    <w:rsid w:val="00131A08"/>
    <w:rsid w:val="001327CB"/>
    <w:rsid w:val="0013308C"/>
    <w:rsid w:val="00133CA1"/>
    <w:rsid w:val="00135FDF"/>
    <w:rsid w:val="00140179"/>
    <w:rsid w:val="0014024A"/>
    <w:rsid w:val="00140BDE"/>
    <w:rsid w:val="00141F55"/>
    <w:rsid w:val="00142B2F"/>
    <w:rsid w:val="00144AA8"/>
    <w:rsid w:val="00144B4D"/>
    <w:rsid w:val="00146683"/>
    <w:rsid w:val="00146D15"/>
    <w:rsid w:val="001474E6"/>
    <w:rsid w:val="00147C2C"/>
    <w:rsid w:val="00147DFE"/>
    <w:rsid w:val="001522E3"/>
    <w:rsid w:val="001526E2"/>
    <w:rsid w:val="00152BD9"/>
    <w:rsid w:val="00152CD8"/>
    <w:rsid w:val="00154239"/>
    <w:rsid w:val="00155DD1"/>
    <w:rsid w:val="00156198"/>
    <w:rsid w:val="001568BC"/>
    <w:rsid w:val="00156A4C"/>
    <w:rsid w:val="00157FD8"/>
    <w:rsid w:val="001613DC"/>
    <w:rsid w:val="00161A54"/>
    <w:rsid w:val="001634B6"/>
    <w:rsid w:val="00164D09"/>
    <w:rsid w:val="001650B6"/>
    <w:rsid w:val="001661B7"/>
    <w:rsid w:val="0016625E"/>
    <w:rsid w:val="0016715A"/>
    <w:rsid w:val="001712F2"/>
    <w:rsid w:val="00171A56"/>
    <w:rsid w:val="00171AC4"/>
    <w:rsid w:val="001728C0"/>
    <w:rsid w:val="00172A27"/>
    <w:rsid w:val="001740B0"/>
    <w:rsid w:val="001742DC"/>
    <w:rsid w:val="001744B4"/>
    <w:rsid w:val="00176DF1"/>
    <w:rsid w:val="00180120"/>
    <w:rsid w:val="00181444"/>
    <w:rsid w:val="0018508F"/>
    <w:rsid w:val="0018561B"/>
    <w:rsid w:val="00187BFC"/>
    <w:rsid w:val="00187CE7"/>
    <w:rsid w:val="0019063C"/>
    <w:rsid w:val="00191A92"/>
    <w:rsid w:val="00192085"/>
    <w:rsid w:val="0019221F"/>
    <w:rsid w:val="001923FA"/>
    <w:rsid w:val="00194D89"/>
    <w:rsid w:val="001961B7"/>
    <w:rsid w:val="00196F03"/>
    <w:rsid w:val="0019746D"/>
    <w:rsid w:val="001A0E74"/>
    <w:rsid w:val="001A0F8C"/>
    <w:rsid w:val="001A1003"/>
    <w:rsid w:val="001A1649"/>
    <w:rsid w:val="001A4175"/>
    <w:rsid w:val="001A5BC4"/>
    <w:rsid w:val="001A62E3"/>
    <w:rsid w:val="001B1697"/>
    <w:rsid w:val="001B1A11"/>
    <w:rsid w:val="001B1D6E"/>
    <w:rsid w:val="001B24B3"/>
    <w:rsid w:val="001B46D7"/>
    <w:rsid w:val="001B520F"/>
    <w:rsid w:val="001B6D31"/>
    <w:rsid w:val="001B719B"/>
    <w:rsid w:val="001B7A80"/>
    <w:rsid w:val="001C216E"/>
    <w:rsid w:val="001C4830"/>
    <w:rsid w:val="001C5E61"/>
    <w:rsid w:val="001D2A5D"/>
    <w:rsid w:val="001D3590"/>
    <w:rsid w:val="001D4D27"/>
    <w:rsid w:val="001D4D37"/>
    <w:rsid w:val="001D585F"/>
    <w:rsid w:val="001D5FA2"/>
    <w:rsid w:val="001D76EB"/>
    <w:rsid w:val="001E051B"/>
    <w:rsid w:val="001E1691"/>
    <w:rsid w:val="001E1ADD"/>
    <w:rsid w:val="001E1C14"/>
    <w:rsid w:val="001E317D"/>
    <w:rsid w:val="001E350D"/>
    <w:rsid w:val="001E3F26"/>
    <w:rsid w:val="001E4054"/>
    <w:rsid w:val="001E4B83"/>
    <w:rsid w:val="001E6B66"/>
    <w:rsid w:val="001F0EA5"/>
    <w:rsid w:val="001F283C"/>
    <w:rsid w:val="001F3DDE"/>
    <w:rsid w:val="001F3FB9"/>
    <w:rsid w:val="001F420F"/>
    <w:rsid w:val="001F636F"/>
    <w:rsid w:val="001F7365"/>
    <w:rsid w:val="002008B4"/>
    <w:rsid w:val="00200BB6"/>
    <w:rsid w:val="00200C9E"/>
    <w:rsid w:val="0020125D"/>
    <w:rsid w:val="0020259E"/>
    <w:rsid w:val="00202E7F"/>
    <w:rsid w:val="002040FE"/>
    <w:rsid w:val="0020457E"/>
    <w:rsid w:val="00204A98"/>
    <w:rsid w:val="002052A7"/>
    <w:rsid w:val="00207183"/>
    <w:rsid w:val="0021103E"/>
    <w:rsid w:val="002118E2"/>
    <w:rsid w:val="00211914"/>
    <w:rsid w:val="00211C68"/>
    <w:rsid w:val="002122FF"/>
    <w:rsid w:val="002132FB"/>
    <w:rsid w:val="00214292"/>
    <w:rsid w:val="00215005"/>
    <w:rsid w:val="00215B98"/>
    <w:rsid w:val="002168BA"/>
    <w:rsid w:val="00216E7A"/>
    <w:rsid w:val="002176F5"/>
    <w:rsid w:val="00217EEE"/>
    <w:rsid w:val="00221546"/>
    <w:rsid w:val="0022414F"/>
    <w:rsid w:val="002245A7"/>
    <w:rsid w:val="00224AD4"/>
    <w:rsid w:val="002258AA"/>
    <w:rsid w:val="00225DDF"/>
    <w:rsid w:val="00226F88"/>
    <w:rsid w:val="002270CA"/>
    <w:rsid w:val="00227487"/>
    <w:rsid w:val="00230074"/>
    <w:rsid w:val="00232C0F"/>
    <w:rsid w:val="0023349A"/>
    <w:rsid w:val="002343CA"/>
    <w:rsid w:val="00234F7F"/>
    <w:rsid w:val="002370C5"/>
    <w:rsid w:val="00237B55"/>
    <w:rsid w:val="002413DC"/>
    <w:rsid w:val="0024253B"/>
    <w:rsid w:val="002432A3"/>
    <w:rsid w:val="002443D4"/>
    <w:rsid w:val="00245612"/>
    <w:rsid w:val="00247A40"/>
    <w:rsid w:val="00247D4E"/>
    <w:rsid w:val="00247D9D"/>
    <w:rsid w:val="002505B1"/>
    <w:rsid w:val="0025087A"/>
    <w:rsid w:val="00251F23"/>
    <w:rsid w:val="00254B25"/>
    <w:rsid w:val="00256426"/>
    <w:rsid w:val="00256E5E"/>
    <w:rsid w:val="002620E8"/>
    <w:rsid w:val="002623BC"/>
    <w:rsid w:val="00264527"/>
    <w:rsid w:val="00267773"/>
    <w:rsid w:val="00267DC3"/>
    <w:rsid w:val="00270C91"/>
    <w:rsid w:val="002714BF"/>
    <w:rsid w:val="00271CFE"/>
    <w:rsid w:val="0027495C"/>
    <w:rsid w:val="00277C8B"/>
    <w:rsid w:val="00277E37"/>
    <w:rsid w:val="00280A97"/>
    <w:rsid w:val="00280E3D"/>
    <w:rsid w:val="00280F33"/>
    <w:rsid w:val="002820B3"/>
    <w:rsid w:val="00286B5A"/>
    <w:rsid w:val="00287DA7"/>
    <w:rsid w:val="00291DDF"/>
    <w:rsid w:val="00292909"/>
    <w:rsid w:val="00292EF8"/>
    <w:rsid w:val="00293A8B"/>
    <w:rsid w:val="00293AC8"/>
    <w:rsid w:val="002940CC"/>
    <w:rsid w:val="00294832"/>
    <w:rsid w:val="002954B3"/>
    <w:rsid w:val="0029616B"/>
    <w:rsid w:val="002963C6"/>
    <w:rsid w:val="00297CDE"/>
    <w:rsid w:val="002A03E8"/>
    <w:rsid w:val="002A0B85"/>
    <w:rsid w:val="002A0E2C"/>
    <w:rsid w:val="002A17ED"/>
    <w:rsid w:val="002A375A"/>
    <w:rsid w:val="002A4CB7"/>
    <w:rsid w:val="002A51DB"/>
    <w:rsid w:val="002A5EC2"/>
    <w:rsid w:val="002A6197"/>
    <w:rsid w:val="002A7CAB"/>
    <w:rsid w:val="002B1792"/>
    <w:rsid w:val="002B3DC1"/>
    <w:rsid w:val="002B42E0"/>
    <w:rsid w:val="002B57DB"/>
    <w:rsid w:val="002B7414"/>
    <w:rsid w:val="002B7E98"/>
    <w:rsid w:val="002C0C98"/>
    <w:rsid w:val="002C1AE3"/>
    <w:rsid w:val="002C1C6A"/>
    <w:rsid w:val="002C3710"/>
    <w:rsid w:val="002C43DB"/>
    <w:rsid w:val="002C5099"/>
    <w:rsid w:val="002C62A8"/>
    <w:rsid w:val="002C674B"/>
    <w:rsid w:val="002C7235"/>
    <w:rsid w:val="002C7980"/>
    <w:rsid w:val="002C7BA0"/>
    <w:rsid w:val="002D0EF2"/>
    <w:rsid w:val="002D2179"/>
    <w:rsid w:val="002D2D5D"/>
    <w:rsid w:val="002D2ECA"/>
    <w:rsid w:val="002D3A73"/>
    <w:rsid w:val="002D3F95"/>
    <w:rsid w:val="002D4CD5"/>
    <w:rsid w:val="002D612E"/>
    <w:rsid w:val="002E0DAA"/>
    <w:rsid w:val="002E0DF1"/>
    <w:rsid w:val="002E1C25"/>
    <w:rsid w:val="002E20F0"/>
    <w:rsid w:val="002E54A4"/>
    <w:rsid w:val="002E565C"/>
    <w:rsid w:val="002E5861"/>
    <w:rsid w:val="002E5C4D"/>
    <w:rsid w:val="002E5FCE"/>
    <w:rsid w:val="002E63FF"/>
    <w:rsid w:val="002F018A"/>
    <w:rsid w:val="002F07DC"/>
    <w:rsid w:val="002F2442"/>
    <w:rsid w:val="002F40C6"/>
    <w:rsid w:val="002F4977"/>
    <w:rsid w:val="003001A3"/>
    <w:rsid w:val="0030040A"/>
    <w:rsid w:val="00300788"/>
    <w:rsid w:val="00301D76"/>
    <w:rsid w:val="003020E2"/>
    <w:rsid w:val="00304178"/>
    <w:rsid w:val="003043DF"/>
    <w:rsid w:val="003055EC"/>
    <w:rsid w:val="00305813"/>
    <w:rsid w:val="00306114"/>
    <w:rsid w:val="00306183"/>
    <w:rsid w:val="00306FD2"/>
    <w:rsid w:val="003109D4"/>
    <w:rsid w:val="00312812"/>
    <w:rsid w:val="003136A7"/>
    <w:rsid w:val="00313A09"/>
    <w:rsid w:val="00313F4F"/>
    <w:rsid w:val="003141C5"/>
    <w:rsid w:val="003143FB"/>
    <w:rsid w:val="003157E4"/>
    <w:rsid w:val="00315AA9"/>
    <w:rsid w:val="00315E5A"/>
    <w:rsid w:val="00316AD1"/>
    <w:rsid w:val="00320223"/>
    <w:rsid w:val="0032117A"/>
    <w:rsid w:val="00322193"/>
    <w:rsid w:val="0032258C"/>
    <w:rsid w:val="00322DFF"/>
    <w:rsid w:val="00323486"/>
    <w:rsid w:val="003235D1"/>
    <w:rsid w:val="00324512"/>
    <w:rsid w:val="003252BA"/>
    <w:rsid w:val="00325523"/>
    <w:rsid w:val="00326BC0"/>
    <w:rsid w:val="0032770D"/>
    <w:rsid w:val="00330509"/>
    <w:rsid w:val="003309E2"/>
    <w:rsid w:val="0033116C"/>
    <w:rsid w:val="003318F4"/>
    <w:rsid w:val="00333812"/>
    <w:rsid w:val="003339CF"/>
    <w:rsid w:val="003340A4"/>
    <w:rsid w:val="00334DAA"/>
    <w:rsid w:val="003351A4"/>
    <w:rsid w:val="00335A2C"/>
    <w:rsid w:val="0033616F"/>
    <w:rsid w:val="00341BC2"/>
    <w:rsid w:val="00342251"/>
    <w:rsid w:val="00342AE3"/>
    <w:rsid w:val="003447B5"/>
    <w:rsid w:val="003448F2"/>
    <w:rsid w:val="00344B64"/>
    <w:rsid w:val="00346D71"/>
    <w:rsid w:val="003478ED"/>
    <w:rsid w:val="00350F26"/>
    <w:rsid w:val="0035242B"/>
    <w:rsid w:val="0035393A"/>
    <w:rsid w:val="00354AF5"/>
    <w:rsid w:val="00357070"/>
    <w:rsid w:val="00360A0D"/>
    <w:rsid w:val="00360C8E"/>
    <w:rsid w:val="003612A9"/>
    <w:rsid w:val="00361367"/>
    <w:rsid w:val="003631C3"/>
    <w:rsid w:val="00364354"/>
    <w:rsid w:val="00364E33"/>
    <w:rsid w:val="00370449"/>
    <w:rsid w:val="00371130"/>
    <w:rsid w:val="00371491"/>
    <w:rsid w:val="00371618"/>
    <w:rsid w:val="00371F08"/>
    <w:rsid w:val="003732FC"/>
    <w:rsid w:val="0037393C"/>
    <w:rsid w:val="00374BEA"/>
    <w:rsid w:val="0037614F"/>
    <w:rsid w:val="003762DD"/>
    <w:rsid w:val="003779F5"/>
    <w:rsid w:val="00377E15"/>
    <w:rsid w:val="00377FAA"/>
    <w:rsid w:val="00381A7D"/>
    <w:rsid w:val="00383BA0"/>
    <w:rsid w:val="00384105"/>
    <w:rsid w:val="0038486E"/>
    <w:rsid w:val="00384A6E"/>
    <w:rsid w:val="00386B3E"/>
    <w:rsid w:val="00387272"/>
    <w:rsid w:val="003913B7"/>
    <w:rsid w:val="0039435F"/>
    <w:rsid w:val="003949B3"/>
    <w:rsid w:val="00394EE1"/>
    <w:rsid w:val="00396981"/>
    <w:rsid w:val="00397B72"/>
    <w:rsid w:val="00397FE5"/>
    <w:rsid w:val="003A18E5"/>
    <w:rsid w:val="003A21C2"/>
    <w:rsid w:val="003A4A80"/>
    <w:rsid w:val="003A67DA"/>
    <w:rsid w:val="003A7CD8"/>
    <w:rsid w:val="003B0856"/>
    <w:rsid w:val="003B1DEE"/>
    <w:rsid w:val="003B218E"/>
    <w:rsid w:val="003B3922"/>
    <w:rsid w:val="003B4C26"/>
    <w:rsid w:val="003B724A"/>
    <w:rsid w:val="003B7DF9"/>
    <w:rsid w:val="003B7FCE"/>
    <w:rsid w:val="003C0FFD"/>
    <w:rsid w:val="003C22C8"/>
    <w:rsid w:val="003C2D70"/>
    <w:rsid w:val="003C3F2A"/>
    <w:rsid w:val="003C401E"/>
    <w:rsid w:val="003C45FC"/>
    <w:rsid w:val="003C4B92"/>
    <w:rsid w:val="003C5729"/>
    <w:rsid w:val="003D0674"/>
    <w:rsid w:val="003D167F"/>
    <w:rsid w:val="003D18BF"/>
    <w:rsid w:val="003D1951"/>
    <w:rsid w:val="003D19EA"/>
    <w:rsid w:val="003D2F6A"/>
    <w:rsid w:val="003D319B"/>
    <w:rsid w:val="003D46ED"/>
    <w:rsid w:val="003D48CB"/>
    <w:rsid w:val="003D5C71"/>
    <w:rsid w:val="003D75C5"/>
    <w:rsid w:val="003D7BE1"/>
    <w:rsid w:val="003E085F"/>
    <w:rsid w:val="003E20A1"/>
    <w:rsid w:val="003E20D3"/>
    <w:rsid w:val="003E2109"/>
    <w:rsid w:val="003E3506"/>
    <w:rsid w:val="003E4FE0"/>
    <w:rsid w:val="003E5107"/>
    <w:rsid w:val="003E5530"/>
    <w:rsid w:val="003E562A"/>
    <w:rsid w:val="003F13E5"/>
    <w:rsid w:val="003F1B9D"/>
    <w:rsid w:val="003F2C3D"/>
    <w:rsid w:val="003F3181"/>
    <w:rsid w:val="003F3767"/>
    <w:rsid w:val="003F447C"/>
    <w:rsid w:val="003F4C5D"/>
    <w:rsid w:val="003F5338"/>
    <w:rsid w:val="003F7601"/>
    <w:rsid w:val="003F7C3C"/>
    <w:rsid w:val="0040086F"/>
    <w:rsid w:val="004008BE"/>
    <w:rsid w:val="00401EEB"/>
    <w:rsid w:val="004032BB"/>
    <w:rsid w:val="0040528F"/>
    <w:rsid w:val="00405B67"/>
    <w:rsid w:val="00405F13"/>
    <w:rsid w:val="0040630E"/>
    <w:rsid w:val="00406B51"/>
    <w:rsid w:val="00407A57"/>
    <w:rsid w:val="00410A32"/>
    <w:rsid w:val="00410C1F"/>
    <w:rsid w:val="00411307"/>
    <w:rsid w:val="00413399"/>
    <w:rsid w:val="00415305"/>
    <w:rsid w:val="00416BF3"/>
    <w:rsid w:val="0041745A"/>
    <w:rsid w:val="00417F7F"/>
    <w:rsid w:val="00422A7A"/>
    <w:rsid w:val="00425BA0"/>
    <w:rsid w:val="00425EBE"/>
    <w:rsid w:val="00426BC5"/>
    <w:rsid w:val="00427244"/>
    <w:rsid w:val="00431DDA"/>
    <w:rsid w:val="0043403D"/>
    <w:rsid w:val="004340A0"/>
    <w:rsid w:val="00434845"/>
    <w:rsid w:val="00435923"/>
    <w:rsid w:val="00435B21"/>
    <w:rsid w:val="00435D26"/>
    <w:rsid w:val="00435D35"/>
    <w:rsid w:val="00436DE8"/>
    <w:rsid w:val="00436F42"/>
    <w:rsid w:val="004408B4"/>
    <w:rsid w:val="00442ED4"/>
    <w:rsid w:val="00443C5B"/>
    <w:rsid w:val="00445A43"/>
    <w:rsid w:val="0044617C"/>
    <w:rsid w:val="004461C2"/>
    <w:rsid w:val="00451715"/>
    <w:rsid w:val="00452B58"/>
    <w:rsid w:val="00452C8D"/>
    <w:rsid w:val="00452EA1"/>
    <w:rsid w:val="00453ECA"/>
    <w:rsid w:val="004543ED"/>
    <w:rsid w:val="00455C7E"/>
    <w:rsid w:val="004562EC"/>
    <w:rsid w:val="00457CC8"/>
    <w:rsid w:val="00460055"/>
    <w:rsid w:val="00461034"/>
    <w:rsid w:val="004614E5"/>
    <w:rsid w:val="00463373"/>
    <w:rsid w:val="00463400"/>
    <w:rsid w:val="00466113"/>
    <w:rsid w:val="0046624B"/>
    <w:rsid w:val="00470201"/>
    <w:rsid w:val="00470551"/>
    <w:rsid w:val="00470615"/>
    <w:rsid w:val="004707D3"/>
    <w:rsid w:val="0047139C"/>
    <w:rsid w:val="004714FA"/>
    <w:rsid w:val="00471C3C"/>
    <w:rsid w:val="00473833"/>
    <w:rsid w:val="00473DDC"/>
    <w:rsid w:val="004745CD"/>
    <w:rsid w:val="00476645"/>
    <w:rsid w:val="00476A5F"/>
    <w:rsid w:val="00477952"/>
    <w:rsid w:val="00477A2C"/>
    <w:rsid w:val="0048040D"/>
    <w:rsid w:val="004806C7"/>
    <w:rsid w:val="00480F22"/>
    <w:rsid w:val="00482794"/>
    <w:rsid w:val="0048480E"/>
    <w:rsid w:val="00484F87"/>
    <w:rsid w:val="004850B4"/>
    <w:rsid w:val="00486A5C"/>
    <w:rsid w:val="00487690"/>
    <w:rsid w:val="00491B29"/>
    <w:rsid w:val="00491C0A"/>
    <w:rsid w:val="00491FC1"/>
    <w:rsid w:val="004933D2"/>
    <w:rsid w:val="004945DC"/>
    <w:rsid w:val="004946DF"/>
    <w:rsid w:val="00495DCB"/>
    <w:rsid w:val="00496263"/>
    <w:rsid w:val="00497A82"/>
    <w:rsid w:val="00497D50"/>
    <w:rsid w:val="004A077C"/>
    <w:rsid w:val="004A2874"/>
    <w:rsid w:val="004A3408"/>
    <w:rsid w:val="004A4E0A"/>
    <w:rsid w:val="004A526B"/>
    <w:rsid w:val="004A6964"/>
    <w:rsid w:val="004A736D"/>
    <w:rsid w:val="004A73FC"/>
    <w:rsid w:val="004B0120"/>
    <w:rsid w:val="004B0E37"/>
    <w:rsid w:val="004B20C1"/>
    <w:rsid w:val="004B56E3"/>
    <w:rsid w:val="004B62CB"/>
    <w:rsid w:val="004B62F6"/>
    <w:rsid w:val="004B6D53"/>
    <w:rsid w:val="004C0631"/>
    <w:rsid w:val="004C2148"/>
    <w:rsid w:val="004C3B9C"/>
    <w:rsid w:val="004C4B55"/>
    <w:rsid w:val="004C63C4"/>
    <w:rsid w:val="004C7402"/>
    <w:rsid w:val="004D0EE9"/>
    <w:rsid w:val="004D1679"/>
    <w:rsid w:val="004D1993"/>
    <w:rsid w:val="004D2794"/>
    <w:rsid w:val="004D3B06"/>
    <w:rsid w:val="004D3BB8"/>
    <w:rsid w:val="004D4C4E"/>
    <w:rsid w:val="004D5048"/>
    <w:rsid w:val="004D50FF"/>
    <w:rsid w:val="004E2507"/>
    <w:rsid w:val="004E5BEF"/>
    <w:rsid w:val="004F32BF"/>
    <w:rsid w:val="004F3D00"/>
    <w:rsid w:val="004F531F"/>
    <w:rsid w:val="004F5A2E"/>
    <w:rsid w:val="004F6C50"/>
    <w:rsid w:val="004F7A11"/>
    <w:rsid w:val="00501B46"/>
    <w:rsid w:val="00502561"/>
    <w:rsid w:val="00502F66"/>
    <w:rsid w:val="00503E90"/>
    <w:rsid w:val="00503F67"/>
    <w:rsid w:val="00506E4D"/>
    <w:rsid w:val="00506F6B"/>
    <w:rsid w:val="00507054"/>
    <w:rsid w:val="005133C8"/>
    <w:rsid w:val="00513813"/>
    <w:rsid w:val="00514139"/>
    <w:rsid w:val="00515DD6"/>
    <w:rsid w:val="0051643B"/>
    <w:rsid w:val="00517222"/>
    <w:rsid w:val="00517D2A"/>
    <w:rsid w:val="005230D6"/>
    <w:rsid w:val="005230FB"/>
    <w:rsid w:val="005233C9"/>
    <w:rsid w:val="00523412"/>
    <w:rsid w:val="00523C6C"/>
    <w:rsid w:val="0052408B"/>
    <w:rsid w:val="0052457B"/>
    <w:rsid w:val="00524B72"/>
    <w:rsid w:val="00525053"/>
    <w:rsid w:val="00526D18"/>
    <w:rsid w:val="00526E9B"/>
    <w:rsid w:val="00527ED6"/>
    <w:rsid w:val="00531D44"/>
    <w:rsid w:val="005324DF"/>
    <w:rsid w:val="005327A8"/>
    <w:rsid w:val="005333B2"/>
    <w:rsid w:val="005346D5"/>
    <w:rsid w:val="00534986"/>
    <w:rsid w:val="00537B88"/>
    <w:rsid w:val="00537FBB"/>
    <w:rsid w:val="00540546"/>
    <w:rsid w:val="00540BEE"/>
    <w:rsid w:val="00543D93"/>
    <w:rsid w:val="00544D8F"/>
    <w:rsid w:val="00545B2B"/>
    <w:rsid w:val="0054686E"/>
    <w:rsid w:val="005475DD"/>
    <w:rsid w:val="0055078D"/>
    <w:rsid w:val="0055227E"/>
    <w:rsid w:val="00553DCC"/>
    <w:rsid w:val="005548D9"/>
    <w:rsid w:val="00554B8E"/>
    <w:rsid w:val="00555AC5"/>
    <w:rsid w:val="00555E4A"/>
    <w:rsid w:val="005563B6"/>
    <w:rsid w:val="00556FCD"/>
    <w:rsid w:val="00557B72"/>
    <w:rsid w:val="00560833"/>
    <w:rsid w:val="00561944"/>
    <w:rsid w:val="00562339"/>
    <w:rsid w:val="0056275C"/>
    <w:rsid w:val="00562B20"/>
    <w:rsid w:val="00563A39"/>
    <w:rsid w:val="005641D9"/>
    <w:rsid w:val="00565BD3"/>
    <w:rsid w:val="00565D21"/>
    <w:rsid w:val="0057086F"/>
    <w:rsid w:val="00570F73"/>
    <w:rsid w:val="00571035"/>
    <w:rsid w:val="00571A2B"/>
    <w:rsid w:val="005747A7"/>
    <w:rsid w:val="0057562A"/>
    <w:rsid w:val="00575C6A"/>
    <w:rsid w:val="0057680D"/>
    <w:rsid w:val="00580374"/>
    <w:rsid w:val="0058045B"/>
    <w:rsid w:val="005818B5"/>
    <w:rsid w:val="00581949"/>
    <w:rsid w:val="00581B64"/>
    <w:rsid w:val="0058244E"/>
    <w:rsid w:val="005837DE"/>
    <w:rsid w:val="0058568C"/>
    <w:rsid w:val="005862EF"/>
    <w:rsid w:val="0059017D"/>
    <w:rsid w:val="00591072"/>
    <w:rsid w:val="0059145E"/>
    <w:rsid w:val="00592898"/>
    <w:rsid w:val="00592C5C"/>
    <w:rsid w:val="00592FA1"/>
    <w:rsid w:val="00593C90"/>
    <w:rsid w:val="00595401"/>
    <w:rsid w:val="00595743"/>
    <w:rsid w:val="005959DC"/>
    <w:rsid w:val="005A2C29"/>
    <w:rsid w:val="005A347C"/>
    <w:rsid w:val="005A4030"/>
    <w:rsid w:val="005A5EEC"/>
    <w:rsid w:val="005A5FB3"/>
    <w:rsid w:val="005A5FF7"/>
    <w:rsid w:val="005A6660"/>
    <w:rsid w:val="005A68DE"/>
    <w:rsid w:val="005A6C62"/>
    <w:rsid w:val="005B00FA"/>
    <w:rsid w:val="005B05D7"/>
    <w:rsid w:val="005B1E23"/>
    <w:rsid w:val="005B1E97"/>
    <w:rsid w:val="005B2ED7"/>
    <w:rsid w:val="005B3A63"/>
    <w:rsid w:val="005B4CBD"/>
    <w:rsid w:val="005B5978"/>
    <w:rsid w:val="005C1B6E"/>
    <w:rsid w:val="005C2424"/>
    <w:rsid w:val="005C2D2D"/>
    <w:rsid w:val="005C3575"/>
    <w:rsid w:val="005C3D45"/>
    <w:rsid w:val="005C41BA"/>
    <w:rsid w:val="005C4979"/>
    <w:rsid w:val="005C4FAF"/>
    <w:rsid w:val="005C518A"/>
    <w:rsid w:val="005C5E3D"/>
    <w:rsid w:val="005C616E"/>
    <w:rsid w:val="005C644B"/>
    <w:rsid w:val="005C6DF7"/>
    <w:rsid w:val="005C7DF8"/>
    <w:rsid w:val="005D08F5"/>
    <w:rsid w:val="005D1A16"/>
    <w:rsid w:val="005D294C"/>
    <w:rsid w:val="005D53E2"/>
    <w:rsid w:val="005D5F74"/>
    <w:rsid w:val="005D611F"/>
    <w:rsid w:val="005E46CF"/>
    <w:rsid w:val="005E4888"/>
    <w:rsid w:val="005E4CA9"/>
    <w:rsid w:val="005E4DB6"/>
    <w:rsid w:val="005E5315"/>
    <w:rsid w:val="005E5D19"/>
    <w:rsid w:val="005E66E8"/>
    <w:rsid w:val="005E6DD0"/>
    <w:rsid w:val="005E6E4F"/>
    <w:rsid w:val="005E7FB5"/>
    <w:rsid w:val="005F0389"/>
    <w:rsid w:val="005F0DCC"/>
    <w:rsid w:val="005F1EF9"/>
    <w:rsid w:val="005F2667"/>
    <w:rsid w:val="005F3991"/>
    <w:rsid w:val="005F3FA2"/>
    <w:rsid w:val="005F4341"/>
    <w:rsid w:val="005F4F5C"/>
    <w:rsid w:val="005F6E9E"/>
    <w:rsid w:val="005F7394"/>
    <w:rsid w:val="005F7FD5"/>
    <w:rsid w:val="006013C9"/>
    <w:rsid w:val="0060215E"/>
    <w:rsid w:val="00602363"/>
    <w:rsid w:val="00602C4F"/>
    <w:rsid w:val="00603625"/>
    <w:rsid w:val="00604619"/>
    <w:rsid w:val="00605853"/>
    <w:rsid w:val="00606251"/>
    <w:rsid w:val="00606AC2"/>
    <w:rsid w:val="00607ACA"/>
    <w:rsid w:val="0061036C"/>
    <w:rsid w:val="00610548"/>
    <w:rsid w:val="00612799"/>
    <w:rsid w:val="00615DB3"/>
    <w:rsid w:val="00617EEB"/>
    <w:rsid w:val="006218B6"/>
    <w:rsid w:val="00621FA2"/>
    <w:rsid w:val="00623595"/>
    <w:rsid w:val="00623DDB"/>
    <w:rsid w:val="0062429F"/>
    <w:rsid w:val="006253DB"/>
    <w:rsid w:val="006255DD"/>
    <w:rsid w:val="0062580D"/>
    <w:rsid w:val="00625E20"/>
    <w:rsid w:val="00627810"/>
    <w:rsid w:val="00630659"/>
    <w:rsid w:val="00630E12"/>
    <w:rsid w:val="00633141"/>
    <w:rsid w:val="00633297"/>
    <w:rsid w:val="006337F0"/>
    <w:rsid w:val="00634B31"/>
    <w:rsid w:val="00635D51"/>
    <w:rsid w:val="0063654E"/>
    <w:rsid w:val="00636C53"/>
    <w:rsid w:val="00636E2D"/>
    <w:rsid w:val="00637332"/>
    <w:rsid w:val="006377B0"/>
    <w:rsid w:val="006379A6"/>
    <w:rsid w:val="00640E7F"/>
    <w:rsid w:val="00640F00"/>
    <w:rsid w:val="00641517"/>
    <w:rsid w:val="00641882"/>
    <w:rsid w:val="00642B0E"/>
    <w:rsid w:val="00642BA8"/>
    <w:rsid w:val="006449E3"/>
    <w:rsid w:val="00644CAC"/>
    <w:rsid w:val="0064547C"/>
    <w:rsid w:val="0064598B"/>
    <w:rsid w:val="006464BE"/>
    <w:rsid w:val="00646DCD"/>
    <w:rsid w:val="00650E8B"/>
    <w:rsid w:val="00651AFA"/>
    <w:rsid w:val="00651D1E"/>
    <w:rsid w:val="006525DC"/>
    <w:rsid w:val="006529F9"/>
    <w:rsid w:val="00653143"/>
    <w:rsid w:val="0065321E"/>
    <w:rsid w:val="00653FC5"/>
    <w:rsid w:val="00654E45"/>
    <w:rsid w:val="00655864"/>
    <w:rsid w:val="006560F4"/>
    <w:rsid w:val="006564A2"/>
    <w:rsid w:val="00657824"/>
    <w:rsid w:val="00657D63"/>
    <w:rsid w:val="0066162A"/>
    <w:rsid w:val="00662A23"/>
    <w:rsid w:val="006635C4"/>
    <w:rsid w:val="006641EF"/>
    <w:rsid w:val="00665117"/>
    <w:rsid w:val="006654AC"/>
    <w:rsid w:val="00665B75"/>
    <w:rsid w:val="00665D2F"/>
    <w:rsid w:val="00666CBF"/>
    <w:rsid w:val="00667077"/>
    <w:rsid w:val="006675FF"/>
    <w:rsid w:val="006703B1"/>
    <w:rsid w:val="00670459"/>
    <w:rsid w:val="006710F7"/>
    <w:rsid w:val="0067179B"/>
    <w:rsid w:val="00671A12"/>
    <w:rsid w:val="0067308E"/>
    <w:rsid w:val="00673192"/>
    <w:rsid w:val="00673573"/>
    <w:rsid w:val="00675DB7"/>
    <w:rsid w:val="00676316"/>
    <w:rsid w:val="00676803"/>
    <w:rsid w:val="00681147"/>
    <w:rsid w:val="006817DF"/>
    <w:rsid w:val="006821CC"/>
    <w:rsid w:val="00682E44"/>
    <w:rsid w:val="00683969"/>
    <w:rsid w:val="00684379"/>
    <w:rsid w:val="00684F6B"/>
    <w:rsid w:val="0068529A"/>
    <w:rsid w:val="006869FE"/>
    <w:rsid w:val="00692F53"/>
    <w:rsid w:val="006935BD"/>
    <w:rsid w:val="00693F35"/>
    <w:rsid w:val="00694C24"/>
    <w:rsid w:val="006961AD"/>
    <w:rsid w:val="0069626A"/>
    <w:rsid w:val="00696DB3"/>
    <w:rsid w:val="006979BF"/>
    <w:rsid w:val="00697F15"/>
    <w:rsid w:val="006A00B9"/>
    <w:rsid w:val="006A0346"/>
    <w:rsid w:val="006A0AB6"/>
    <w:rsid w:val="006A0D1A"/>
    <w:rsid w:val="006A2A1E"/>
    <w:rsid w:val="006A31AD"/>
    <w:rsid w:val="006A3798"/>
    <w:rsid w:val="006A3E0E"/>
    <w:rsid w:val="006A421B"/>
    <w:rsid w:val="006A695E"/>
    <w:rsid w:val="006B4947"/>
    <w:rsid w:val="006B4E4E"/>
    <w:rsid w:val="006B4E88"/>
    <w:rsid w:val="006B57DD"/>
    <w:rsid w:val="006C0EE3"/>
    <w:rsid w:val="006C16BF"/>
    <w:rsid w:val="006C2131"/>
    <w:rsid w:val="006C2700"/>
    <w:rsid w:val="006C6819"/>
    <w:rsid w:val="006C7406"/>
    <w:rsid w:val="006C7758"/>
    <w:rsid w:val="006D0A7F"/>
    <w:rsid w:val="006D11DA"/>
    <w:rsid w:val="006D1568"/>
    <w:rsid w:val="006D303A"/>
    <w:rsid w:val="006D4928"/>
    <w:rsid w:val="006D5435"/>
    <w:rsid w:val="006D5C71"/>
    <w:rsid w:val="006D5DC1"/>
    <w:rsid w:val="006D6CD3"/>
    <w:rsid w:val="006D6F6A"/>
    <w:rsid w:val="006D747F"/>
    <w:rsid w:val="006D7910"/>
    <w:rsid w:val="006E0BC6"/>
    <w:rsid w:val="006E5830"/>
    <w:rsid w:val="006E5F6E"/>
    <w:rsid w:val="006E6641"/>
    <w:rsid w:val="006F0ED0"/>
    <w:rsid w:val="006F1427"/>
    <w:rsid w:val="006F1CF4"/>
    <w:rsid w:val="006F2707"/>
    <w:rsid w:val="006F3AFA"/>
    <w:rsid w:val="006F505C"/>
    <w:rsid w:val="006F6901"/>
    <w:rsid w:val="006F699B"/>
    <w:rsid w:val="006F7D79"/>
    <w:rsid w:val="0070444A"/>
    <w:rsid w:val="007053B0"/>
    <w:rsid w:val="0070559F"/>
    <w:rsid w:val="007073BE"/>
    <w:rsid w:val="00707421"/>
    <w:rsid w:val="0070778A"/>
    <w:rsid w:val="00710133"/>
    <w:rsid w:val="0071031D"/>
    <w:rsid w:val="00710A49"/>
    <w:rsid w:val="00710D47"/>
    <w:rsid w:val="00714E17"/>
    <w:rsid w:val="00721106"/>
    <w:rsid w:val="00721220"/>
    <w:rsid w:val="007214CC"/>
    <w:rsid w:val="00722691"/>
    <w:rsid w:val="007253E0"/>
    <w:rsid w:val="00725638"/>
    <w:rsid w:val="00725D37"/>
    <w:rsid w:val="00725F6C"/>
    <w:rsid w:val="00726819"/>
    <w:rsid w:val="00727594"/>
    <w:rsid w:val="00727D3D"/>
    <w:rsid w:val="00730961"/>
    <w:rsid w:val="00730FBF"/>
    <w:rsid w:val="007313BA"/>
    <w:rsid w:val="0073300A"/>
    <w:rsid w:val="00734AAA"/>
    <w:rsid w:val="00735DB7"/>
    <w:rsid w:val="007369C3"/>
    <w:rsid w:val="00736B9B"/>
    <w:rsid w:val="00740A0F"/>
    <w:rsid w:val="00741340"/>
    <w:rsid w:val="00741C83"/>
    <w:rsid w:val="00742438"/>
    <w:rsid w:val="00742910"/>
    <w:rsid w:val="007429BC"/>
    <w:rsid w:val="0074358E"/>
    <w:rsid w:val="00744731"/>
    <w:rsid w:val="00745642"/>
    <w:rsid w:val="00754BD2"/>
    <w:rsid w:val="0075582B"/>
    <w:rsid w:val="00755B02"/>
    <w:rsid w:val="00755F43"/>
    <w:rsid w:val="007568E5"/>
    <w:rsid w:val="00763933"/>
    <w:rsid w:val="00763A30"/>
    <w:rsid w:val="00764BB7"/>
    <w:rsid w:val="00766977"/>
    <w:rsid w:val="007701DB"/>
    <w:rsid w:val="00770306"/>
    <w:rsid w:val="0077172A"/>
    <w:rsid w:val="0077188A"/>
    <w:rsid w:val="00771C45"/>
    <w:rsid w:val="007746EF"/>
    <w:rsid w:val="00774AF1"/>
    <w:rsid w:val="00774C22"/>
    <w:rsid w:val="00774CB5"/>
    <w:rsid w:val="0077560D"/>
    <w:rsid w:val="00775742"/>
    <w:rsid w:val="00777031"/>
    <w:rsid w:val="007776E6"/>
    <w:rsid w:val="00781250"/>
    <w:rsid w:val="00781F31"/>
    <w:rsid w:val="0078244E"/>
    <w:rsid w:val="00783320"/>
    <w:rsid w:val="007833F9"/>
    <w:rsid w:val="0078566B"/>
    <w:rsid w:val="00792E20"/>
    <w:rsid w:val="00792FA9"/>
    <w:rsid w:val="00793A71"/>
    <w:rsid w:val="00793DCF"/>
    <w:rsid w:val="007946B9"/>
    <w:rsid w:val="0079487F"/>
    <w:rsid w:val="00796338"/>
    <w:rsid w:val="00796985"/>
    <w:rsid w:val="007A00A9"/>
    <w:rsid w:val="007A0645"/>
    <w:rsid w:val="007A0CAE"/>
    <w:rsid w:val="007A1BDF"/>
    <w:rsid w:val="007A1F3A"/>
    <w:rsid w:val="007A351E"/>
    <w:rsid w:val="007A39DF"/>
    <w:rsid w:val="007A7329"/>
    <w:rsid w:val="007B105F"/>
    <w:rsid w:val="007B2FBA"/>
    <w:rsid w:val="007B3552"/>
    <w:rsid w:val="007B4ED0"/>
    <w:rsid w:val="007B6995"/>
    <w:rsid w:val="007C024F"/>
    <w:rsid w:val="007C0B84"/>
    <w:rsid w:val="007C198E"/>
    <w:rsid w:val="007C3281"/>
    <w:rsid w:val="007C3488"/>
    <w:rsid w:val="007C3B14"/>
    <w:rsid w:val="007C466E"/>
    <w:rsid w:val="007C4C3F"/>
    <w:rsid w:val="007C6390"/>
    <w:rsid w:val="007D0D98"/>
    <w:rsid w:val="007D14DB"/>
    <w:rsid w:val="007D15A4"/>
    <w:rsid w:val="007D18A8"/>
    <w:rsid w:val="007D31F7"/>
    <w:rsid w:val="007D4206"/>
    <w:rsid w:val="007D47C2"/>
    <w:rsid w:val="007D4E29"/>
    <w:rsid w:val="007E0284"/>
    <w:rsid w:val="007E0F70"/>
    <w:rsid w:val="007E17CF"/>
    <w:rsid w:val="007E1F7D"/>
    <w:rsid w:val="007E3101"/>
    <w:rsid w:val="007E34A2"/>
    <w:rsid w:val="007E4298"/>
    <w:rsid w:val="007E4F2C"/>
    <w:rsid w:val="007E63EE"/>
    <w:rsid w:val="007E73D1"/>
    <w:rsid w:val="007E790D"/>
    <w:rsid w:val="007F1790"/>
    <w:rsid w:val="007F1E2A"/>
    <w:rsid w:val="007F2031"/>
    <w:rsid w:val="007F2056"/>
    <w:rsid w:val="007F3435"/>
    <w:rsid w:val="007F35C6"/>
    <w:rsid w:val="007F3CE3"/>
    <w:rsid w:val="007F5DB4"/>
    <w:rsid w:val="007F62E4"/>
    <w:rsid w:val="007F6962"/>
    <w:rsid w:val="007F7BF4"/>
    <w:rsid w:val="00800CFF"/>
    <w:rsid w:val="00800FB0"/>
    <w:rsid w:val="00801076"/>
    <w:rsid w:val="00801CBA"/>
    <w:rsid w:val="00804644"/>
    <w:rsid w:val="00804B83"/>
    <w:rsid w:val="00805090"/>
    <w:rsid w:val="00805C96"/>
    <w:rsid w:val="00807754"/>
    <w:rsid w:val="008079AE"/>
    <w:rsid w:val="00807F7E"/>
    <w:rsid w:val="008107C0"/>
    <w:rsid w:val="008107D7"/>
    <w:rsid w:val="00812FBB"/>
    <w:rsid w:val="008138E7"/>
    <w:rsid w:val="00816245"/>
    <w:rsid w:val="008167B5"/>
    <w:rsid w:val="0081688F"/>
    <w:rsid w:val="00817782"/>
    <w:rsid w:val="00820783"/>
    <w:rsid w:val="00820FB1"/>
    <w:rsid w:val="0082103D"/>
    <w:rsid w:val="008210C8"/>
    <w:rsid w:val="00822092"/>
    <w:rsid w:val="008220F5"/>
    <w:rsid w:val="00823502"/>
    <w:rsid w:val="00823916"/>
    <w:rsid w:val="0082393D"/>
    <w:rsid w:val="00826561"/>
    <w:rsid w:val="008303A3"/>
    <w:rsid w:val="008317A2"/>
    <w:rsid w:val="00832372"/>
    <w:rsid w:val="00832744"/>
    <w:rsid w:val="00833803"/>
    <w:rsid w:val="00833ADB"/>
    <w:rsid w:val="00835976"/>
    <w:rsid w:val="00836AAF"/>
    <w:rsid w:val="00836CF5"/>
    <w:rsid w:val="008404A2"/>
    <w:rsid w:val="00840A03"/>
    <w:rsid w:val="00841732"/>
    <w:rsid w:val="008420F8"/>
    <w:rsid w:val="00842D8F"/>
    <w:rsid w:val="00843027"/>
    <w:rsid w:val="008436D9"/>
    <w:rsid w:val="00844170"/>
    <w:rsid w:val="00844410"/>
    <w:rsid w:val="00846240"/>
    <w:rsid w:val="00846568"/>
    <w:rsid w:val="0085255F"/>
    <w:rsid w:val="00853511"/>
    <w:rsid w:val="00854EBD"/>
    <w:rsid w:val="00855382"/>
    <w:rsid w:val="00855FF4"/>
    <w:rsid w:val="00856050"/>
    <w:rsid w:val="00857E42"/>
    <w:rsid w:val="00861701"/>
    <w:rsid w:val="008626A7"/>
    <w:rsid w:val="00862800"/>
    <w:rsid w:val="0086471D"/>
    <w:rsid w:val="008655E3"/>
    <w:rsid w:val="008669B8"/>
    <w:rsid w:val="0086719B"/>
    <w:rsid w:val="008672B4"/>
    <w:rsid w:val="008706E7"/>
    <w:rsid w:val="00871156"/>
    <w:rsid w:val="00872400"/>
    <w:rsid w:val="00872BBB"/>
    <w:rsid w:val="0087326B"/>
    <w:rsid w:val="0087452D"/>
    <w:rsid w:val="008749B5"/>
    <w:rsid w:val="00875108"/>
    <w:rsid w:val="00875C87"/>
    <w:rsid w:val="00876F91"/>
    <w:rsid w:val="0087781A"/>
    <w:rsid w:val="008805AC"/>
    <w:rsid w:val="008829A7"/>
    <w:rsid w:val="00885FFC"/>
    <w:rsid w:val="008900D4"/>
    <w:rsid w:val="00891955"/>
    <w:rsid w:val="00892848"/>
    <w:rsid w:val="0089460B"/>
    <w:rsid w:val="00895545"/>
    <w:rsid w:val="0089650D"/>
    <w:rsid w:val="00896D4B"/>
    <w:rsid w:val="008974A2"/>
    <w:rsid w:val="008A00ED"/>
    <w:rsid w:val="008A174A"/>
    <w:rsid w:val="008A1F0F"/>
    <w:rsid w:val="008A281C"/>
    <w:rsid w:val="008A2B1B"/>
    <w:rsid w:val="008A5F8E"/>
    <w:rsid w:val="008B0941"/>
    <w:rsid w:val="008B5A06"/>
    <w:rsid w:val="008B68A2"/>
    <w:rsid w:val="008B6A8B"/>
    <w:rsid w:val="008B7C10"/>
    <w:rsid w:val="008B7CD5"/>
    <w:rsid w:val="008C010F"/>
    <w:rsid w:val="008C17B3"/>
    <w:rsid w:val="008C299A"/>
    <w:rsid w:val="008C3250"/>
    <w:rsid w:val="008C532A"/>
    <w:rsid w:val="008C5AE9"/>
    <w:rsid w:val="008C5FC7"/>
    <w:rsid w:val="008C71F6"/>
    <w:rsid w:val="008C74EA"/>
    <w:rsid w:val="008C7631"/>
    <w:rsid w:val="008C7A49"/>
    <w:rsid w:val="008D0A45"/>
    <w:rsid w:val="008D133B"/>
    <w:rsid w:val="008D3113"/>
    <w:rsid w:val="008D36AD"/>
    <w:rsid w:val="008D6095"/>
    <w:rsid w:val="008D6E2E"/>
    <w:rsid w:val="008D7B86"/>
    <w:rsid w:val="008E049B"/>
    <w:rsid w:val="008E1E33"/>
    <w:rsid w:val="008E1F1E"/>
    <w:rsid w:val="008E2F34"/>
    <w:rsid w:val="008E3369"/>
    <w:rsid w:val="008E4596"/>
    <w:rsid w:val="008E4AB5"/>
    <w:rsid w:val="008E5318"/>
    <w:rsid w:val="008E6650"/>
    <w:rsid w:val="008E7A1F"/>
    <w:rsid w:val="008F16B5"/>
    <w:rsid w:val="008F1B3D"/>
    <w:rsid w:val="008F2E2A"/>
    <w:rsid w:val="008F3F42"/>
    <w:rsid w:val="008F4F7F"/>
    <w:rsid w:val="008F51A3"/>
    <w:rsid w:val="008F6ECE"/>
    <w:rsid w:val="009003CA"/>
    <w:rsid w:val="0090150E"/>
    <w:rsid w:val="00901A39"/>
    <w:rsid w:val="0090464D"/>
    <w:rsid w:val="009047F1"/>
    <w:rsid w:val="00904C88"/>
    <w:rsid w:val="00905B5B"/>
    <w:rsid w:val="009071D2"/>
    <w:rsid w:val="0090766B"/>
    <w:rsid w:val="00907D38"/>
    <w:rsid w:val="00907F12"/>
    <w:rsid w:val="00912D3E"/>
    <w:rsid w:val="00914733"/>
    <w:rsid w:val="00915135"/>
    <w:rsid w:val="009152AB"/>
    <w:rsid w:val="00915DE8"/>
    <w:rsid w:val="00915EE7"/>
    <w:rsid w:val="00915FF5"/>
    <w:rsid w:val="00916450"/>
    <w:rsid w:val="00916FB9"/>
    <w:rsid w:val="00920C1C"/>
    <w:rsid w:val="00925244"/>
    <w:rsid w:val="0092602B"/>
    <w:rsid w:val="00926FB3"/>
    <w:rsid w:val="0093120C"/>
    <w:rsid w:val="009323D1"/>
    <w:rsid w:val="00933DBD"/>
    <w:rsid w:val="00934358"/>
    <w:rsid w:val="00934983"/>
    <w:rsid w:val="00934AAB"/>
    <w:rsid w:val="00935987"/>
    <w:rsid w:val="00935DAD"/>
    <w:rsid w:val="009364B7"/>
    <w:rsid w:val="00936CFC"/>
    <w:rsid w:val="009403F0"/>
    <w:rsid w:val="009407F3"/>
    <w:rsid w:val="00941FA0"/>
    <w:rsid w:val="00943323"/>
    <w:rsid w:val="00943F92"/>
    <w:rsid w:val="00945352"/>
    <w:rsid w:val="00951CC7"/>
    <w:rsid w:val="00953E0D"/>
    <w:rsid w:val="00954A4E"/>
    <w:rsid w:val="0095572F"/>
    <w:rsid w:val="0095601C"/>
    <w:rsid w:val="0095663B"/>
    <w:rsid w:val="009566BC"/>
    <w:rsid w:val="009569EC"/>
    <w:rsid w:val="00956B92"/>
    <w:rsid w:val="00956D9C"/>
    <w:rsid w:val="00957692"/>
    <w:rsid w:val="00957932"/>
    <w:rsid w:val="00960F4B"/>
    <w:rsid w:val="009633DB"/>
    <w:rsid w:val="009638A5"/>
    <w:rsid w:val="00964899"/>
    <w:rsid w:val="00965652"/>
    <w:rsid w:val="00967031"/>
    <w:rsid w:val="00970F4A"/>
    <w:rsid w:val="00975CDF"/>
    <w:rsid w:val="00975FB1"/>
    <w:rsid w:val="00976678"/>
    <w:rsid w:val="009772DB"/>
    <w:rsid w:val="00980F31"/>
    <w:rsid w:val="0098248D"/>
    <w:rsid w:val="00982B06"/>
    <w:rsid w:val="009831E1"/>
    <w:rsid w:val="00984122"/>
    <w:rsid w:val="00984BC1"/>
    <w:rsid w:val="0098545E"/>
    <w:rsid w:val="0098571F"/>
    <w:rsid w:val="00985BD1"/>
    <w:rsid w:val="0099010E"/>
    <w:rsid w:val="00993231"/>
    <w:rsid w:val="009933D3"/>
    <w:rsid w:val="00994C42"/>
    <w:rsid w:val="00995119"/>
    <w:rsid w:val="00995A85"/>
    <w:rsid w:val="00995F8F"/>
    <w:rsid w:val="00996C6C"/>
    <w:rsid w:val="009A1A08"/>
    <w:rsid w:val="009A37D2"/>
    <w:rsid w:val="009A4691"/>
    <w:rsid w:val="009A47DF"/>
    <w:rsid w:val="009A4D2E"/>
    <w:rsid w:val="009A585B"/>
    <w:rsid w:val="009A7A1B"/>
    <w:rsid w:val="009B00A2"/>
    <w:rsid w:val="009B01B0"/>
    <w:rsid w:val="009B0DCD"/>
    <w:rsid w:val="009B1431"/>
    <w:rsid w:val="009B20E4"/>
    <w:rsid w:val="009B24D4"/>
    <w:rsid w:val="009B3672"/>
    <w:rsid w:val="009B4CFD"/>
    <w:rsid w:val="009B555C"/>
    <w:rsid w:val="009B64B1"/>
    <w:rsid w:val="009C0E9E"/>
    <w:rsid w:val="009C1CBF"/>
    <w:rsid w:val="009C38D4"/>
    <w:rsid w:val="009C4800"/>
    <w:rsid w:val="009C4BB9"/>
    <w:rsid w:val="009C5FB1"/>
    <w:rsid w:val="009C6378"/>
    <w:rsid w:val="009C6ECF"/>
    <w:rsid w:val="009C6F87"/>
    <w:rsid w:val="009D4334"/>
    <w:rsid w:val="009D49E2"/>
    <w:rsid w:val="009D4B02"/>
    <w:rsid w:val="009D4BF7"/>
    <w:rsid w:val="009D5484"/>
    <w:rsid w:val="009D6157"/>
    <w:rsid w:val="009D61FD"/>
    <w:rsid w:val="009D63BE"/>
    <w:rsid w:val="009D6FDC"/>
    <w:rsid w:val="009D727B"/>
    <w:rsid w:val="009E13DB"/>
    <w:rsid w:val="009E5D53"/>
    <w:rsid w:val="009E5FE2"/>
    <w:rsid w:val="009E6FEF"/>
    <w:rsid w:val="009F06BD"/>
    <w:rsid w:val="009F14C6"/>
    <w:rsid w:val="009F19EA"/>
    <w:rsid w:val="009F2B36"/>
    <w:rsid w:val="009F491C"/>
    <w:rsid w:val="009F6A84"/>
    <w:rsid w:val="009F6C09"/>
    <w:rsid w:val="00A01E60"/>
    <w:rsid w:val="00A0628D"/>
    <w:rsid w:val="00A07A56"/>
    <w:rsid w:val="00A106AB"/>
    <w:rsid w:val="00A10834"/>
    <w:rsid w:val="00A11739"/>
    <w:rsid w:val="00A121D0"/>
    <w:rsid w:val="00A128F9"/>
    <w:rsid w:val="00A13DA3"/>
    <w:rsid w:val="00A149B6"/>
    <w:rsid w:val="00A158C8"/>
    <w:rsid w:val="00A20287"/>
    <w:rsid w:val="00A2089D"/>
    <w:rsid w:val="00A217D4"/>
    <w:rsid w:val="00A21FC2"/>
    <w:rsid w:val="00A243CA"/>
    <w:rsid w:val="00A2443B"/>
    <w:rsid w:val="00A25766"/>
    <w:rsid w:val="00A26388"/>
    <w:rsid w:val="00A2652A"/>
    <w:rsid w:val="00A26BC8"/>
    <w:rsid w:val="00A27765"/>
    <w:rsid w:val="00A303B2"/>
    <w:rsid w:val="00A30A49"/>
    <w:rsid w:val="00A30F62"/>
    <w:rsid w:val="00A3165A"/>
    <w:rsid w:val="00A31735"/>
    <w:rsid w:val="00A31D76"/>
    <w:rsid w:val="00A32D5C"/>
    <w:rsid w:val="00A334B4"/>
    <w:rsid w:val="00A33B26"/>
    <w:rsid w:val="00A353E6"/>
    <w:rsid w:val="00A36ABD"/>
    <w:rsid w:val="00A36B01"/>
    <w:rsid w:val="00A40422"/>
    <w:rsid w:val="00A435A7"/>
    <w:rsid w:val="00A435EE"/>
    <w:rsid w:val="00A43950"/>
    <w:rsid w:val="00A4433A"/>
    <w:rsid w:val="00A46167"/>
    <w:rsid w:val="00A46582"/>
    <w:rsid w:val="00A46FC4"/>
    <w:rsid w:val="00A47BEC"/>
    <w:rsid w:val="00A50DBB"/>
    <w:rsid w:val="00A5195A"/>
    <w:rsid w:val="00A5367C"/>
    <w:rsid w:val="00A53AA3"/>
    <w:rsid w:val="00A53F10"/>
    <w:rsid w:val="00A540B0"/>
    <w:rsid w:val="00A55E73"/>
    <w:rsid w:val="00A57015"/>
    <w:rsid w:val="00A57DDA"/>
    <w:rsid w:val="00A60217"/>
    <w:rsid w:val="00A61A8E"/>
    <w:rsid w:val="00A622E4"/>
    <w:rsid w:val="00A673F2"/>
    <w:rsid w:val="00A678A1"/>
    <w:rsid w:val="00A70A3A"/>
    <w:rsid w:val="00A70B96"/>
    <w:rsid w:val="00A70C8B"/>
    <w:rsid w:val="00A712BA"/>
    <w:rsid w:val="00A71CD8"/>
    <w:rsid w:val="00A71E4F"/>
    <w:rsid w:val="00A733B6"/>
    <w:rsid w:val="00A73B3C"/>
    <w:rsid w:val="00A74417"/>
    <w:rsid w:val="00A745AC"/>
    <w:rsid w:val="00A74D58"/>
    <w:rsid w:val="00A74EC7"/>
    <w:rsid w:val="00A76535"/>
    <w:rsid w:val="00A76616"/>
    <w:rsid w:val="00A76706"/>
    <w:rsid w:val="00A77808"/>
    <w:rsid w:val="00A77F13"/>
    <w:rsid w:val="00A800E4"/>
    <w:rsid w:val="00A81A87"/>
    <w:rsid w:val="00A83560"/>
    <w:rsid w:val="00A85433"/>
    <w:rsid w:val="00A8572F"/>
    <w:rsid w:val="00A86B78"/>
    <w:rsid w:val="00A9127E"/>
    <w:rsid w:val="00A916DB"/>
    <w:rsid w:val="00A91899"/>
    <w:rsid w:val="00A927A7"/>
    <w:rsid w:val="00A94048"/>
    <w:rsid w:val="00A94188"/>
    <w:rsid w:val="00A94D4C"/>
    <w:rsid w:val="00A9552C"/>
    <w:rsid w:val="00A95C0E"/>
    <w:rsid w:val="00A95F6D"/>
    <w:rsid w:val="00A97A76"/>
    <w:rsid w:val="00AA0EA8"/>
    <w:rsid w:val="00AA1405"/>
    <w:rsid w:val="00AA2178"/>
    <w:rsid w:val="00AA3BB0"/>
    <w:rsid w:val="00AA61C1"/>
    <w:rsid w:val="00AA6C19"/>
    <w:rsid w:val="00AA6DF7"/>
    <w:rsid w:val="00AB0CBB"/>
    <w:rsid w:val="00AB26FC"/>
    <w:rsid w:val="00AB2747"/>
    <w:rsid w:val="00AB2F52"/>
    <w:rsid w:val="00AB3539"/>
    <w:rsid w:val="00AB3C8C"/>
    <w:rsid w:val="00AB4A4F"/>
    <w:rsid w:val="00AB5982"/>
    <w:rsid w:val="00AB5A97"/>
    <w:rsid w:val="00AB6051"/>
    <w:rsid w:val="00AB6944"/>
    <w:rsid w:val="00AC1147"/>
    <w:rsid w:val="00AC1CBE"/>
    <w:rsid w:val="00AC38BD"/>
    <w:rsid w:val="00AC3CC7"/>
    <w:rsid w:val="00AC3ED1"/>
    <w:rsid w:val="00AC3EEE"/>
    <w:rsid w:val="00AC559B"/>
    <w:rsid w:val="00AC59BE"/>
    <w:rsid w:val="00AC7694"/>
    <w:rsid w:val="00AC7C2E"/>
    <w:rsid w:val="00AD0400"/>
    <w:rsid w:val="00AD0BDD"/>
    <w:rsid w:val="00AD0F58"/>
    <w:rsid w:val="00AD2737"/>
    <w:rsid w:val="00AD2973"/>
    <w:rsid w:val="00AD6550"/>
    <w:rsid w:val="00AD6A1E"/>
    <w:rsid w:val="00AD6B11"/>
    <w:rsid w:val="00AD6E10"/>
    <w:rsid w:val="00AD6FAB"/>
    <w:rsid w:val="00AE01D0"/>
    <w:rsid w:val="00AE06AB"/>
    <w:rsid w:val="00AE0C43"/>
    <w:rsid w:val="00AE0C49"/>
    <w:rsid w:val="00AE2054"/>
    <w:rsid w:val="00AE20DB"/>
    <w:rsid w:val="00AE6451"/>
    <w:rsid w:val="00AF076B"/>
    <w:rsid w:val="00AF0BD7"/>
    <w:rsid w:val="00AF2D15"/>
    <w:rsid w:val="00AF3A57"/>
    <w:rsid w:val="00AF581F"/>
    <w:rsid w:val="00B0279E"/>
    <w:rsid w:val="00B028CA"/>
    <w:rsid w:val="00B05B5C"/>
    <w:rsid w:val="00B06105"/>
    <w:rsid w:val="00B131EE"/>
    <w:rsid w:val="00B14A5D"/>
    <w:rsid w:val="00B14B8A"/>
    <w:rsid w:val="00B15003"/>
    <w:rsid w:val="00B154D8"/>
    <w:rsid w:val="00B17138"/>
    <w:rsid w:val="00B17840"/>
    <w:rsid w:val="00B20209"/>
    <w:rsid w:val="00B2328D"/>
    <w:rsid w:val="00B236FA"/>
    <w:rsid w:val="00B23C80"/>
    <w:rsid w:val="00B26228"/>
    <w:rsid w:val="00B31222"/>
    <w:rsid w:val="00B322F9"/>
    <w:rsid w:val="00B330CE"/>
    <w:rsid w:val="00B351AD"/>
    <w:rsid w:val="00B354B8"/>
    <w:rsid w:val="00B357B8"/>
    <w:rsid w:val="00B358D9"/>
    <w:rsid w:val="00B35FF1"/>
    <w:rsid w:val="00B36FA2"/>
    <w:rsid w:val="00B36FED"/>
    <w:rsid w:val="00B37089"/>
    <w:rsid w:val="00B402A5"/>
    <w:rsid w:val="00B40991"/>
    <w:rsid w:val="00B419E7"/>
    <w:rsid w:val="00B4238C"/>
    <w:rsid w:val="00B42516"/>
    <w:rsid w:val="00B42DFC"/>
    <w:rsid w:val="00B457F2"/>
    <w:rsid w:val="00B45914"/>
    <w:rsid w:val="00B464B9"/>
    <w:rsid w:val="00B46521"/>
    <w:rsid w:val="00B469A7"/>
    <w:rsid w:val="00B50507"/>
    <w:rsid w:val="00B510A1"/>
    <w:rsid w:val="00B513C2"/>
    <w:rsid w:val="00B543C8"/>
    <w:rsid w:val="00B559DE"/>
    <w:rsid w:val="00B55C8F"/>
    <w:rsid w:val="00B5627C"/>
    <w:rsid w:val="00B624EA"/>
    <w:rsid w:val="00B6255C"/>
    <w:rsid w:val="00B62F57"/>
    <w:rsid w:val="00B6317F"/>
    <w:rsid w:val="00B63EDC"/>
    <w:rsid w:val="00B6666B"/>
    <w:rsid w:val="00B66A4B"/>
    <w:rsid w:val="00B66BC3"/>
    <w:rsid w:val="00B675F7"/>
    <w:rsid w:val="00B67C0C"/>
    <w:rsid w:val="00B70D96"/>
    <w:rsid w:val="00B7164C"/>
    <w:rsid w:val="00B762E9"/>
    <w:rsid w:val="00B764BA"/>
    <w:rsid w:val="00B77453"/>
    <w:rsid w:val="00B803D3"/>
    <w:rsid w:val="00B825A7"/>
    <w:rsid w:val="00B83246"/>
    <w:rsid w:val="00B836F6"/>
    <w:rsid w:val="00B83CA3"/>
    <w:rsid w:val="00B83E99"/>
    <w:rsid w:val="00B842DC"/>
    <w:rsid w:val="00B86C56"/>
    <w:rsid w:val="00B870EB"/>
    <w:rsid w:val="00B9254B"/>
    <w:rsid w:val="00B931B3"/>
    <w:rsid w:val="00B93F49"/>
    <w:rsid w:val="00B954F0"/>
    <w:rsid w:val="00B95559"/>
    <w:rsid w:val="00B95AAA"/>
    <w:rsid w:val="00B95F50"/>
    <w:rsid w:val="00B9613F"/>
    <w:rsid w:val="00B9638C"/>
    <w:rsid w:val="00B9782B"/>
    <w:rsid w:val="00BA1358"/>
    <w:rsid w:val="00BA1C00"/>
    <w:rsid w:val="00BA3408"/>
    <w:rsid w:val="00BA55C7"/>
    <w:rsid w:val="00BA6095"/>
    <w:rsid w:val="00BA6106"/>
    <w:rsid w:val="00BA6391"/>
    <w:rsid w:val="00BA7868"/>
    <w:rsid w:val="00BB0271"/>
    <w:rsid w:val="00BB41EE"/>
    <w:rsid w:val="00BB5F97"/>
    <w:rsid w:val="00BB6CB8"/>
    <w:rsid w:val="00BC17ED"/>
    <w:rsid w:val="00BC4F21"/>
    <w:rsid w:val="00BD02A6"/>
    <w:rsid w:val="00BD1D4B"/>
    <w:rsid w:val="00BD3F19"/>
    <w:rsid w:val="00BD4002"/>
    <w:rsid w:val="00BD4614"/>
    <w:rsid w:val="00BD4ED9"/>
    <w:rsid w:val="00BD54F3"/>
    <w:rsid w:val="00BD5E85"/>
    <w:rsid w:val="00BD64DA"/>
    <w:rsid w:val="00BD77AF"/>
    <w:rsid w:val="00BE179E"/>
    <w:rsid w:val="00BE1A07"/>
    <w:rsid w:val="00BE1C25"/>
    <w:rsid w:val="00BE2007"/>
    <w:rsid w:val="00BE2193"/>
    <w:rsid w:val="00BE3D00"/>
    <w:rsid w:val="00BE618C"/>
    <w:rsid w:val="00BE6511"/>
    <w:rsid w:val="00BE69F3"/>
    <w:rsid w:val="00BE73F3"/>
    <w:rsid w:val="00BE7BD9"/>
    <w:rsid w:val="00BE7F35"/>
    <w:rsid w:val="00BF0042"/>
    <w:rsid w:val="00BF01E0"/>
    <w:rsid w:val="00BF0C58"/>
    <w:rsid w:val="00BF25CD"/>
    <w:rsid w:val="00BF2940"/>
    <w:rsid w:val="00BF2E79"/>
    <w:rsid w:val="00BF45DF"/>
    <w:rsid w:val="00BF4698"/>
    <w:rsid w:val="00BF4841"/>
    <w:rsid w:val="00BF5249"/>
    <w:rsid w:val="00BF61A1"/>
    <w:rsid w:val="00BF6502"/>
    <w:rsid w:val="00BF7FAC"/>
    <w:rsid w:val="00C020AD"/>
    <w:rsid w:val="00C027DC"/>
    <w:rsid w:val="00C02849"/>
    <w:rsid w:val="00C034C8"/>
    <w:rsid w:val="00C05857"/>
    <w:rsid w:val="00C058C8"/>
    <w:rsid w:val="00C06EB0"/>
    <w:rsid w:val="00C07E17"/>
    <w:rsid w:val="00C10305"/>
    <w:rsid w:val="00C14324"/>
    <w:rsid w:val="00C14BF3"/>
    <w:rsid w:val="00C1514D"/>
    <w:rsid w:val="00C15AEF"/>
    <w:rsid w:val="00C15F22"/>
    <w:rsid w:val="00C161B3"/>
    <w:rsid w:val="00C16689"/>
    <w:rsid w:val="00C17360"/>
    <w:rsid w:val="00C205B2"/>
    <w:rsid w:val="00C21F88"/>
    <w:rsid w:val="00C21FE6"/>
    <w:rsid w:val="00C22A6F"/>
    <w:rsid w:val="00C23B4C"/>
    <w:rsid w:val="00C2483A"/>
    <w:rsid w:val="00C2720E"/>
    <w:rsid w:val="00C30D10"/>
    <w:rsid w:val="00C316D7"/>
    <w:rsid w:val="00C32D5E"/>
    <w:rsid w:val="00C35FA9"/>
    <w:rsid w:val="00C41379"/>
    <w:rsid w:val="00C4277B"/>
    <w:rsid w:val="00C434CF"/>
    <w:rsid w:val="00C439EA"/>
    <w:rsid w:val="00C4644B"/>
    <w:rsid w:val="00C468DA"/>
    <w:rsid w:val="00C46A43"/>
    <w:rsid w:val="00C477BF"/>
    <w:rsid w:val="00C50A4A"/>
    <w:rsid w:val="00C5185A"/>
    <w:rsid w:val="00C51B81"/>
    <w:rsid w:val="00C51BE4"/>
    <w:rsid w:val="00C51C4C"/>
    <w:rsid w:val="00C52559"/>
    <w:rsid w:val="00C53CA2"/>
    <w:rsid w:val="00C56BCB"/>
    <w:rsid w:val="00C56EB6"/>
    <w:rsid w:val="00C57513"/>
    <w:rsid w:val="00C61D84"/>
    <w:rsid w:val="00C625B0"/>
    <w:rsid w:val="00C62B21"/>
    <w:rsid w:val="00C63CD8"/>
    <w:rsid w:val="00C6532D"/>
    <w:rsid w:val="00C658A2"/>
    <w:rsid w:val="00C70A70"/>
    <w:rsid w:val="00C70E34"/>
    <w:rsid w:val="00C7259B"/>
    <w:rsid w:val="00C73584"/>
    <w:rsid w:val="00C739E6"/>
    <w:rsid w:val="00C75154"/>
    <w:rsid w:val="00C75765"/>
    <w:rsid w:val="00C76743"/>
    <w:rsid w:val="00C76ECD"/>
    <w:rsid w:val="00C77AAB"/>
    <w:rsid w:val="00C81B68"/>
    <w:rsid w:val="00C820F8"/>
    <w:rsid w:val="00C82C9E"/>
    <w:rsid w:val="00C83923"/>
    <w:rsid w:val="00C83C86"/>
    <w:rsid w:val="00C84774"/>
    <w:rsid w:val="00C854B5"/>
    <w:rsid w:val="00C85DB4"/>
    <w:rsid w:val="00C8728C"/>
    <w:rsid w:val="00C87297"/>
    <w:rsid w:val="00C87379"/>
    <w:rsid w:val="00C90416"/>
    <w:rsid w:val="00C90482"/>
    <w:rsid w:val="00C90D24"/>
    <w:rsid w:val="00C91E94"/>
    <w:rsid w:val="00C9388A"/>
    <w:rsid w:val="00C945FF"/>
    <w:rsid w:val="00C94AAF"/>
    <w:rsid w:val="00C95A41"/>
    <w:rsid w:val="00C96AE9"/>
    <w:rsid w:val="00CA0862"/>
    <w:rsid w:val="00CA0A65"/>
    <w:rsid w:val="00CA1B35"/>
    <w:rsid w:val="00CA288D"/>
    <w:rsid w:val="00CA3686"/>
    <w:rsid w:val="00CA4256"/>
    <w:rsid w:val="00CA5FEC"/>
    <w:rsid w:val="00CB0317"/>
    <w:rsid w:val="00CB22D6"/>
    <w:rsid w:val="00CB236C"/>
    <w:rsid w:val="00CB30C9"/>
    <w:rsid w:val="00CB4715"/>
    <w:rsid w:val="00CB6109"/>
    <w:rsid w:val="00CC0D9A"/>
    <w:rsid w:val="00CC11BE"/>
    <w:rsid w:val="00CC1BDE"/>
    <w:rsid w:val="00CC1C7A"/>
    <w:rsid w:val="00CC1F20"/>
    <w:rsid w:val="00CC2011"/>
    <w:rsid w:val="00CC2154"/>
    <w:rsid w:val="00CC22D0"/>
    <w:rsid w:val="00CC2F9D"/>
    <w:rsid w:val="00CC6C5B"/>
    <w:rsid w:val="00CC78DC"/>
    <w:rsid w:val="00CC7F56"/>
    <w:rsid w:val="00CC7FC8"/>
    <w:rsid w:val="00CD073D"/>
    <w:rsid w:val="00CD2A8D"/>
    <w:rsid w:val="00CD2E28"/>
    <w:rsid w:val="00CD4103"/>
    <w:rsid w:val="00CD440D"/>
    <w:rsid w:val="00CD4A37"/>
    <w:rsid w:val="00CD5896"/>
    <w:rsid w:val="00CD7B41"/>
    <w:rsid w:val="00CE05F3"/>
    <w:rsid w:val="00CE0DA3"/>
    <w:rsid w:val="00CE1875"/>
    <w:rsid w:val="00CE1CF2"/>
    <w:rsid w:val="00CE3300"/>
    <w:rsid w:val="00CE3C9B"/>
    <w:rsid w:val="00CE3CBB"/>
    <w:rsid w:val="00CE407A"/>
    <w:rsid w:val="00CE4A86"/>
    <w:rsid w:val="00CE530E"/>
    <w:rsid w:val="00CE6548"/>
    <w:rsid w:val="00CE6DD6"/>
    <w:rsid w:val="00CF3909"/>
    <w:rsid w:val="00D03408"/>
    <w:rsid w:val="00D039D2"/>
    <w:rsid w:val="00D06F25"/>
    <w:rsid w:val="00D0763C"/>
    <w:rsid w:val="00D07AD9"/>
    <w:rsid w:val="00D12862"/>
    <w:rsid w:val="00D12C45"/>
    <w:rsid w:val="00D13A71"/>
    <w:rsid w:val="00D151AD"/>
    <w:rsid w:val="00D2022F"/>
    <w:rsid w:val="00D2071F"/>
    <w:rsid w:val="00D21096"/>
    <w:rsid w:val="00D21647"/>
    <w:rsid w:val="00D22262"/>
    <w:rsid w:val="00D2306F"/>
    <w:rsid w:val="00D23364"/>
    <w:rsid w:val="00D24288"/>
    <w:rsid w:val="00D2430F"/>
    <w:rsid w:val="00D24CB8"/>
    <w:rsid w:val="00D25AD3"/>
    <w:rsid w:val="00D26BC0"/>
    <w:rsid w:val="00D27FAF"/>
    <w:rsid w:val="00D30320"/>
    <w:rsid w:val="00D30B96"/>
    <w:rsid w:val="00D336DF"/>
    <w:rsid w:val="00D337E6"/>
    <w:rsid w:val="00D3592B"/>
    <w:rsid w:val="00D35EE6"/>
    <w:rsid w:val="00D37A88"/>
    <w:rsid w:val="00D4048C"/>
    <w:rsid w:val="00D404A9"/>
    <w:rsid w:val="00D404C9"/>
    <w:rsid w:val="00D42491"/>
    <w:rsid w:val="00D42DC9"/>
    <w:rsid w:val="00D437C5"/>
    <w:rsid w:val="00D45737"/>
    <w:rsid w:val="00D473CE"/>
    <w:rsid w:val="00D47456"/>
    <w:rsid w:val="00D508E1"/>
    <w:rsid w:val="00D52520"/>
    <w:rsid w:val="00D52E50"/>
    <w:rsid w:val="00D53003"/>
    <w:rsid w:val="00D53663"/>
    <w:rsid w:val="00D539C9"/>
    <w:rsid w:val="00D54884"/>
    <w:rsid w:val="00D54E6C"/>
    <w:rsid w:val="00D56D17"/>
    <w:rsid w:val="00D577C2"/>
    <w:rsid w:val="00D60739"/>
    <w:rsid w:val="00D60979"/>
    <w:rsid w:val="00D6191F"/>
    <w:rsid w:val="00D6262E"/>
    <w:rsid w:val="00D62E95"/>
    <w:rsid w:val="00D6472B"/>
    <w:rsid w:val="00D64D6F"/>
    <w:rsid w:val="00D67793"/>
    <w:rsid w:val="00D71D2C"/>
    <w:rsid w:val="00D73F3F"/>
    <w:rsid w:val="00D75760"/>
    <w:rsid w:val="00D80464"/>
    <w:rsid w:val="00D80F91"/>
    <w:rsid w:val="00D83F2A"/>
    <w:rsid w:val="00D84304"/>
    <w:rsid w:val="00D847FA"/>
    <w:rsid w:val="00D84AE3"/>
    <w:rsid w:val="00D86CDF"/>
    <w:rsid w:val="00D86DAF"/>
    <w:rsid w:val="00D86DCE"/>
    <w:rsid w:val="00D87121"/>
    <w:rsid w:val="00D90356"/>
    <w:rsid w:val="00D91C9E"/>
    <w:rsid w:val="00D93359"/>
    <w:rsid w:val="00D951D6"/>
    <w:rsid w:val="00D95869"/>
    <w:rsid w:val="00D96ADB"/>
    <w:rsid w:val="00D974B1"/>
    <w:rsid w:val="00D97688"/>
    <w:rsid w:val="00DA00A8"/>
    <w:rsid w:val="00DA0C54"/>
    <w:rsid w:val="00DA1781"/>
    <w:rsid w:val="00DA1922"/>
    <w:rsid w:val="00DA4EB4"/>
    <w:rsid w:val="00DA519B"/>
    <w:rsid w:val="00DA5C33"/>
    <w:rsid w:val="00DA7565"/>
    <w:rsid w:val="00DA7664"/>
    <w:rsid w:val="00DA7915"/>
    <w:rsid w:val="00DB26D0"/>
    <w:rsid w:val="00DB39DD"/>
    <w:rsid w:val="00DB4CDB"/>
    <w:rsid w:val="00DB5247"/>
    <w:rsid w:val="00DB6274"/>
    <w:rsid w:val="00DB6829"/>
    <w:rsid w:val="00DC1360"/>
    <w:rsid w:val="00DC2B83"/>
    <w:rsid w:val="00DC48E4"/>
    <w:rsid w:val="00DC5D83"/>
    <w:rsid w:val="00DD0868"/>
    <w:rsid w:val="00DD09D0"/>
    <w:rsid w:val="00DD0D20"/>
    <w:rsid w:val="00DD22F6"/>
    <w:rsid w:val="00DD28D9"/>
    <w:rsid w:val="00DD3805"/>
    <w:rsid w:val="00DD3BFF"/>
    <w:rsid w:val="00DD5D11"/>
    <w:rsid w:val="00DD5F74"/>
    <w:rsid w:val="00DD77A9"/>
    <w:rsid w:val="00DE0642"/>
    <w:rsid w:val="00DE126C"/>
    <w:rsid w:val="00DE1B19"/>
    <w:rsid w:val="00DE37D9"/>
    <w:rsid w:val="00DE3F0B"/>
    <w:rsid w:val="00DE5168"/>
    <w:rsid w:val="00DE56CE"/>
    <w:rsid w:val="00DE73D8"/>
    <w:rsid w:val="00DF01C3"/>
    <w:rsid w:val="00DF0F3B"/>
    <w:rsid w:val="00DF1510"/>
    <w:rsid w:val="00DF33A6"/>
    <w:rsid w:val="00DF4D4D"/>
    <w:rsid w:val="00DF572D"/>
    <w:rsid w:val="00DF586A"/>
    <w:rsid w:val="00DF597A"/>
    <w:rsid w:val="00DF59DB"/>
    <w:rsid w:val="00DF5D6D"/>
    <w:rsid w:val="00DF5E5F"/>
    <w:rsid w:val="00DF754B"/>
    <w:rsid w:val="00E0209A"/>
    <w:rsid w:val="00E02694"/>
    <w:rsid w:val="00E026FC"/>
    <w:rsid w:val="00E02795"/>
    <w:rsid w:val="00E04893"/>
    <w:rsid w:val="00E048BE"/>
    <w:rsid w:val="00E051B9"/>
    <w:rsid w:val="00E05485"/>
    <w:rsid w:val="00E069B9"/>
    <w:rsid w:val="00E10392"/>
    <w:rsid w:val="00E10D9D"/>
    <w:rsid w:val="00E1278B"/>
    <w:rsid w:val="00E13237"/>
    <w:rsid w:val="00E133B0"/>
    <w:rsid w:val="00E13AC0"/>
    <w:rsid w:val="00E14DB1"/>
    <w:rsid w:val="00E15428"/>
    <w:rsid w:val="00E158D4"/>
    <w:rsid w:val="00E15BD0"/>
    <w:rsid w:val="00E17E2C"/>
    <w:rsid w:val="00E21730"/>
    <w:rsid w:val="00E22478"/>
    <w:rsid w:val="00E2251A"/>
    <w:rsid w:val="00E23949"/>
    <w:rsid w:val="00E2596E"/>
    <w:rsid w:val="00E26D0A"/>
    <w:rsid w:val="00E2774F"/>
    <w:rsid w:val="00E27FE3"/>
    <w:rsid w:val="00E3112A"/>
    <w:rsid w:val="00E31B68"/>
    <w:rsid w:val="00E31D54"/>
    <w:rsid w:val="00E32F5F"/>
    <w:rsid w:val="00E3445D"/>
    <w:rsid w:val="00E35EF4"/>
    <w:rsid w:val="00E408E0"/>
    <w:rsid w:val="00E43111"/>
    <w:rsid w:val="00E43144"/>
    <w:rsid w:val="00E440EA"/>
    <w:rsid w:val="00E44A01"/>
    <w:rsid w:val="00E45152"/>
    <w:rsid w:val="00E466C3"/>
    <w:rsid w:val="00E470EE"/>
    <w:rsid w:val="00E4727D"/>
    <w:rsid w:val="00E474A5"/>
    <w:rsid w:val="00E47A3F"/>
    <w:rsid w:val="00E50FCD"/>
    <w:rsid w:val="00E521AC"/>
    <w:rsid w:val="00E53368"/>
    <w:rsid w:val="00E54277"/>
    <w:rsid w:val="00E604D9"/>
    <w:rsid w:val="00E6087C"/>
    <w:rsid w:val="00E61A98"/>
    <w:rsid w:val="00E6277C"/>
    <w:rsid w:val="00E62EF0"/>
    <w:rsid w:val="00E64E34"/>
    <w:rsid w:val="00E67229"/>
    <w:rsid w:val="00E711BE"/>
    <w:rsid w:val="00E71AD8"/>
    <w:rsid w:val="00E72101"/>
    <w:rsid w:val="00E72808"/>
    <w:rsid w:val="00E72B2A"/>
    <w:rsid w:val="00E73EC2"/>
    <w:rsid w:val="00E7422F"/>
    <w:rsid w:val="00E744B1"/>
    <w:rsid w:val="00E74760"/>
    <w:rsid w:val="00E74BA1"/>
    <w:rsid w:val="00E74BF2"/>
    <w:rsid w:val="00E77196"/>
    <w:rsid w:val="00E7740B"/>
    <w:rsid w:val="00E80149"/>
    <w:rsid w:val="00E812EB"/>
    <w:rsid w:val="00E81DD5"/>
    <w:rsid w:val="00E85009"/>
    <w:rsid w:val="00E8674B"/>
    <w:rsid w:val="00E8681F"/>
    <w:rsid w:val="00E870B8"/>
    <w:rsid w:val="00E90A62"/>
    <w:rsid w:val="00E9384C"/>
    <w:rsid w:val="00E93C4F"/>
    <w:rsid w:val="00E9673D"/>
    <w:rsid w:val="00EA10F6"/>
    <w:rsid w:val="00EA11B4"/>
    <w:rsid w:val="00EA1CD7"/>
    <w:rsid w:val="00EA30E1"/>
    <w:rsid w:val="00EA31F1"/>
    <w:rsid w:val="00EA40CC"/>
    <w:rsid w:val="00EA47AA"/>
    <w:rsid w:val="00EA7E04"/>
    <w:rsid w:val="00EB02AB"/>
    <w:rsid w:val="00EB2B1C"/>
    <w:rsid w:val="00EB2B80"/>
    <w:rsid w:val="00EB36AB"/>
    <w:rsid w:val="00EB3A54"/>
    <w:rsid w:val="00EB41C3"/>
    <w:rsid w:val="00EB4DDC"/>
    <w:rsid w:val="00EB5FDA"/>
    <w:rsid w:val="00EB632A"/>
    <w:rsid w:val="00EB7153"/>
    <w:rsid w:val="00EB7F32"/>
    <w:rsid w:val="00EC0B21"/>
    <w:rsid w:val="00EC0D05"/>
    <w:rsid w:val="00EC15DD"/>
    <w:rsid w:val="00EC20EE"/>
    <w:rsid w:val="00EC37BB"/>
    <w:rsid w:val="00ED17F4"/>
    <w:rsid w:val="00ED1857"/>
    <w:rsid w:val="00ED46E2"/>
    <w:rsid w:val="00ED64C8"/>
    <w:rsid w:val="00ED6F10"/>
    <w:rsid w:val="00EE0270"/>
    <w:rsid w:val="00EE3A19"/>
    <w:rsid w:val="00EE490F"/>
    <w:rsid w:val="00EE49B8"/>
    <w:rsid w:val="00EE6316"/>
    <w:rsid w:val="00EE6638"/>
    <w:rsid w:val="00EE735B"/>
    <w:rsid w:val="00EF0000"/>
    <w:rsid w:val="00EF4402"/>
    <w:rsid w:val="00EF4434"/>
    <w:rsid w:val="00EF5EA7"/>
    <w:rsid w:val="00EF6303"/>
    <w:rsid w:val="00EF7134"/>
    <w:rsid w:val="00EF7FD8"/>
    <w:rsid w:val="00F00D37"/>
    <w:rsid w:val="00F01DF4"/>
    <w:rsid w:val="00F0223A"/>
    <w:rsid w:val="00F030B2"/>
    <w:rsid w:val="00F030DD"/>
    <w:rsid w:val="00F035E8"/>
    <w:rsid w:val="00F05C15"/>
    <w:rsid w:val="00F05CEE"/>
    <w:rsid w:val="00F05EDF"/>
    <w:rsid w:val="00F0649B"/>
    <w:rsid w:val="00F064BF"/>
    <w:rsid w:val="00F1072E"/>
    <w:rsid w:val="00F11416"/>
    <w:rsid w:val="00F11DCC"/>
    <w:rsid w:val="00F13D5A"/>
    <w:rsid w:val="00F14E4E"/>
    <w:rsid w:val="00F14FCB"/>
    <w:rsid w:val="00F15150"/>
    <w:rsid w:val="00F15E99"/>
    <w:rsid w:val="00F167BC"/>
    <w:rsid w:val="00F16815"/>
    <w:rsid w:val="00F17068"/>
    <w:rsid w:val="00F20ECF"/>
    <w:rsid w:val="00F2267E"/>
    <w:rsid w:val="00F228DE"/>
    <w:rsid w:val="00F23222"/>
    <w:rsid w:val="00F238E0"/>
    <w:rsid w:val="00F23C7E"/>
    <w:rsid w:val="00F24AA3"/>
    <w:rsid w:val="00F24BE0"/>
    <w:rsid w:val="00F2592C"/>
    <w:rsid w:val="00F27A95"/>
    <w:rsid w:val="00F27E00"/>
    <w:rsid w:val="00F27EFD"/>
    <w:rsid w:val="00F31849"/>
    <w:rsid w:val="00F31D35"/>
    <w:rsid w:val="00F33F0A"/>
    <w:rsid w:val="00F3428F"/>
    <w:rsid w:val="00F3511C"/>
    <w:rsid w:val="00F3659C"/>
    <w:rsid w:val="00F365F3"/>
    <w:rsid w:val="00F36E6E"/>
    <w:rsid w:val="00F37243"/>
    <w:rsid w:val="00F37667"/>
    <w:rsid w:val="00F37833"/>
    <w:rsid w:val="00F4064A"/>
    <w:rsid w:val="00F42564"/>
    <w:rsid w:val="00F4499E"/>
    <w:rsid w:val="00F45246"/>
    <w:rsid w:val="00F46139"/>
    <w:rsid w:val="00F46453"/>
    <w:rsid w:val="00F46998"/>
    <w:rsid w:val="00F51252"/>
    <w:rsid w:val="00F5129F"/>
    <w:rsid w:val="00F51944"/>
    <w:rsid w:val="00F51D8A"/>
    <w:rsid w:val="00F51FB0"/>
    <w:rsid w:val="00F52363"/>
    <w:rsid w:val="00F52817"/>
    <w:rsid w:val="00F52D01"/>
    <w:rsid w:val="00F54098"/>
    <w:rsid w:val="00F559B0"/>
    <w:rsid w:val="00F57264"/>
    <w:rsid w:val="00F5788D"/>
    <w:rsid w:val="00F60C31"/>
    <w:rsid w:val="00F61655"/>
    <w:rsid w:val="00F61E91"/>
    <w:rsid w:val="00F6391B"/>
    <w:rsid w:val="00F63979"/>
    <w:rsid w:val="00F63AEC"/>
    <w:rsid w:val="00F64ABA"/>
    <w:rsid w:val="00F65518"/>
    <w:rsid w:val="00F664FE"/>
    <w:rsid w:val="00F665E0"/>
    <w:rsid w:val="00F70186"/>
    <w:rsid w:val="00F715F7"/>
    <w:rsid w:val="00F7211E"/>
    <w:rsid w:val="00F7270C"/>
    <w:rsid w:val="00F75CA3"/>
    <w:rsid w:val="00F76482"/>
    <w:rsid w:val="00F774A4"/>
    <w:rsid w:val="00F77FC8"/>
    <w:rsid w:val="00F81EA2"/>
    <w:rsid w:val="00F821BA"/>
    <w:rsid w:val="00F824C6"/>
    <w:rsid w:val="00F87DCE"/>
    <w:rsid w:val="00F9135B"/>
    <w:rsid w:val="00F916B7"/>
    <w:rsid w:val="00F926F0"/>
    <w:rsid w:val="00F93D03"/>
    <w:rsid w:val="00F93E75"/>
    <w:rsid w:val="00F94B20"/>
    <w:rsid w:val="00F94DF5"/>
    <w:rsid w:val="00F95B1D"/>
    <w:rsid w:val="00F95BED"/>
    <w:rsid w:val="00F96228"/>
    <w:rsid w:val="00F97156"/>
    <w:rsid w:val="00FA02FB"/>
    <w:rsid w:val="00FA05AB"/>
    <w:rsid w:val="00FA1D44"/>
    <w:rsid w:val="00FA2084"/>
    <w:rsid w:val="00FA232A"/>
    <w:rsid w:val="00FA3674"/>
    <w:rsid w:val="00FA4EAC"/>
    <w:rsid w:val="00FA5295"/>
    <w:rsid w:val="00FA5465"/>
    <w:rsid w:val="00FA57AE"/>
    <w:rsid w:val="00FA6668"/>
    <w:rsid w:val="00FB02D8"/>
    <w:rsid w:val="00FB0D06"/>
    <w:rsid w:val="00FB1DE4"/>
    <w:rsid w:val="00FB2CF9"/>
    <w:rsid w:val="00FB5FA5"/>
    <w:rsid w:val="00FB659E"/>
    <w:rsid w:val="00FB6621"/>
    <w:rsid w:val="00FB7836"/>
    <w:rsid w:val="00FB7AF5"/>
    <w:rsid w:val="00FB7D2E"/>
    <w:rsid w:val="00FC0178"/>
    <w:rsid w:val="00FC0273"/>
    <w:rsid w:val="00FC0A19"/>
    <w:rsid w:val="00FC0F74"/>
    <w:rsid w:val="00FC18AB"/>
    <w:rsid w:val="00FC18F0"/>
    <w:rsid w:val="00FC3BBA"/>
    <w:rsid w:val="00FC4269"/>
    <w:rsid w:val="00FC4A69"/>
    <w:rsid w:val="00FC51A2"/>
    <w:rsid w:val="00FC56A4"/>
    <w:rsid w:val="00FC587E"/>
    <w:rsid w:val="00FC61C3"/>
    <w:rsid w:val="00FC72F4"/>
    <w:rsid w:val="00FC743E"/>
    <w:rsid w:val="00FC7A98"/>
    <w:rsid w:val="00FD069E"/>
    <w:rsid w:val="00FD0B12"/>
    <w:rsid w:val="00FD1713"/>
    <w:rsid w:val="00FD3572"/>
    <w:rsid w:val="00FD4EF7"/>
    <w:rsid w:val="00FD544D"/>
    <w:rsid w:val="00FD66B5"/>
    <w:rsid w:val="00FE0348"/>
    <w:rsid w:val="00FE216E"/>
    <w:rsid w:val="00FE266E"/>
    <w:rsid w:val="00FE4B39"/>
    <w:rsid w:val="00FE654E"/>
    <w:rsid w:val="00FF08AE"/>
    <w:rsid w:val="00FF1ACC"/>
    <w:rsid w:val="00FF1B35"/>
    <w:rsid w:val="00FF2623"/>
    <w:rsid w:val="00FF38A8"/>
    <w:rsid w:val="00FF3C7F"/>
    <w:rsid w:val="00FF4F29"/>
    <w:rsid w:val="00FF5D58"/>
    <w:rsid w:val="00FF6FA3"/>
    <w:rsid w:val="027A4AA0"/>
    <w:rsid w:val="0BA36386"/>
    <w:rsid w:val="1F814BEC"/>
    <w:rsid w:val="30AE0031"/>
    <w:rsid w:val="328174CB"/>
    <w:rsid w:val="356B0FB6"/>
    <w:rsid w:val="37295FAC"/>
    <w:rsid w:val="3DFA6794"/>
    <w:rsid w:val="3EDB168A"/>
    <w:rsid w:val="4817779C"/>
    <w:rsid w:val="4CDC7AE6"/>
    <w:rsid w:val="54952386"/>
    <w:rsid w:val="614302E0"/>
    <w:rsid w:val="61AA23D9"/>
    <w:rsid w:val="65131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qFormat/>
    <w:uiPriority w:val="0"/>
    <w:pPr>
      <w:shd w:val="clear" w:color="auto" w:fill="000080"/>
    </w:pPr>
  </w:style>
  <w:style w:type="paragraph" w:styleId="7">
    <w:name w:val="annotation text"/>
    <w:basedOn w:val="1"/>
    <w:link w:val="50"/>
    <w:qFormat/>
    <w:uiPriority w:val="0"/>
    <w:pPr>
      <w:jc w:val="left"/>
    </w:pPr>
  </w:style>
  <w:style w:type="paragraph" w:styleId="8">
    <w:name w:val="Body Text"/>
    <w:basedOn w:val="1"/>
    <w:link w:val="28"/>
    <w:qFormat/>
    <w:uiPriority w:val="0"/>
    <w:pPr>
      <w:autoSpaceDE w:val="0"/>
      <w:autoSpaceDN w:val="0"/>
      <w:adjustRightInd w:val="0"/>
      <w:spacing w:line="360" w:lineRule="auto"/>
      <w:jc w:val="left"/>
    </w:pPr>
    <w:rPr>
      <w:rFonts w:ascii="宋体"/>
      <w:kern w:val="0"/>
      <w:sz w:val="20"/>
    </w:rPr>
  </w:style>
  <w:style w:type="paragraph" w:styleId="9">
    <w:name w:val="toc 3"/>
    <w:basedOn w:val="1"/>
    <w:next w:val="1"/>
    <w:qFormat/>
    <w:uiPriority w:val="0"/>
    <w:pPr>
      <w:ind w:left="840" w:leftChars="400"/>
    </w:pPr>
  </w:style>
  <w:style w:type="paragraph" w:styleId="10">
    <w:name w:val="Plain Text"/>
    <w:basedOn w:val="1"/>
    <w:link w:val="51"/>
    <w:qFormat/>
    <w:uiPriority w:val="99"/>
    <w:pPr>
      <w:adjustRightInd w:val="0"/>
      <w:spacing w:line="312" w:lineRule="atLeast"/>
      <w:textAlignment w:val="baseline"/>
    </w:pPr>
    <w:rPr>
      <w:rFonts w:ascii="宋体" w:hAnsi="Courier New"/>
      <w:kern w:val="0"/>
    </w:rPr>
  </w:style>
  <w:style w:type="paragraph" w:styleId="11">
    <w:name w:val="Body Text Indent 2"/>
    <w:basedOn w:val="1"/>
    <w:qFormat/>
    <w:uiPriority w:val="0"/>
    <w:pPr>
      <w:spacing w:line="360" w:lineRule="auto"/>
      <w:ind w:firstLine="425"/>
    </w:pPr>
    <w:rPr>
      <w:rFonts w:ascii="仿宋_GB2312" w:eastAsia="仿宋_GB2312"/>
      <w:sz w:val="28"/>
    </w:rPr>
  </w:style>
  <w:style w:type="paragraph" w:styleId="12">
    <w:name w:val="Balloon Text"/>
    <w:basedOn w:val="1"/>
    <w:qFormat/>
    <w:uiPriority w:val="0"/>
    <w:rPr>
      <w:sz w:val="18"/>
    </w:rPr>
  </w:style>
  <w:style w:type="paragraph" w:styleId="13">
    <w:name w:val="footer"/>
    <w:basedOn w:val="1"/>
    <w:link w:val="47"/>
    <w:qFormat/>
    <w:uiPriority w:val="99"/>
    <w:pPr>
      <w:tabs>
        <w:tab w:val="center" w:pos="4153"/>
        <w:tab w:val="right" w:pos="8306"/>
      </w:tabs>
      <w:snapToGrid w:val="0"/>
      <w:jc w:val="left"/>
    </w:pPr>
    <w:rPr>
      <w:sz w:val="18"/>
    </w:rPr>
  </w:style>
  <w:style w:type="paragraph" w:styleId="14">
    <w:name w:val="header"/>
    <w:basedOn w:val="1"/>
    <w:link w:val="3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0"/>
    <w:pPr>
      <w:tabs>
        <w:tab w:val="right" w:leader="dot" w:pos="8296"/>
      </w:tabs>
      <w:spacing w:line="360" w:lineRule="auto"/>
    </w:pPr>
  </w:style>
  <w:style w:type="paragraph" w:styleId="16">
    <w:name w:val="footnote text"/>
    <w:basedOn w:val="1"/>
    <w:qFormat/>
    <w:uiPriority w:val="0"/>
    <w:pPr>
      <w:snapToGrid w:val="0"/>
      <w:jc w:val="left"/>
    </w:pPr>
    <w:rPr>
      <w:sz w:val="18"/>
    </w:rPr>
  </w:style>
  <w:style w:type="paragraph" w:styleId="17">
    <w:name w:val="Body Text Indent 3"/>
    <w:basedOn w:val="1"/>
    <w:qFormat/>
    <w:uiPriority w:val="0"/>
    <w:pPr>
      <w:autoSpaceDE w:val="0"/>
      <w:autoSpaceDN w:val="0"/>
      <w:adjustRightInd w:val="0"/>
      <w:spacing w:line="360" w:lineRule="auto"/>
      <w:ind w:left="420" w:firstLine="435"/>
    </w:pPr>
    <w:rPr>
      <w:color w:val="0000FF"/>
    </w:rPr>
  </w:style>
  <w:style w:type="paragraph" w:styleId="18">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styleId="19">
    <w:name w:val="Title"/>
    <w:basedOn w:val="1"/>
    <w:next w:val="1"/>
    <w:link w:val="30"/>
    <w:qFormat/>
    <w:uiPriority w:val="0"/>
    <w:pPr>
      <w:spacing w:before="240" w:after="60"/>
      <w:jc w:val="center"/>
      <w:outlineLvl w:val="0"/>
    </w:pPr>
    <w:rPr>
      <w:rFonts w:ascii="Cambria" w:hAnsi="Cambria"/>
      <w:b/>
      <w:sz w:val="32"/>
    </w:rPr>
  </w:style>
  <w:style w:type="paragraph" w:styleId="20">
    <w:name w:val="annotation subject"/>
    <w:basedOn w:val="7"/>
    <w:next w:val="7"/>
    <w:link w:val="74"/>
    <w:qFormat/>
    <w:uiPriority w:val="99"/>
    <w:rPr>
      <w:b/>
    </w:rPr>
  </w:style>
  <w:style w:type="paragraph" w:styleId="21">
    <w:name w:val="Body Text First Indent"/>
    <w:basedOn w:val="8"/>
    <w:link w:val="48"/>
    <w:semiHidden/>
    <w:unhideWhenUsed/>
    <w:qFormat/>
    <w:uiPriority w:val="99"/>
    <w:pPr>
      <w:autoSpaceDE/>
      <w:autoSpaceDN/>
      <w:adjustRightInd/>
      <w:spacing w:after="120" w:line="240" w:lineRule="auto"/>
      <w:ind w:firstLine="420" w:firstLineChars="100"/>
      <w:jc w:val="both"/>
    </w:pPr>
    <w:rPr>
      <w:kern w:val="2"/>
      <w:sz w:val="21"/>
    </w:rPr>
  </w:style>
  <w:style w:type="character" w:styleId="24">
    <w:name w:val="page number"/>
    <w:basedOn w:val="23"/>
    <w:qFormat/>
    <w:uiPriority w:val="0"/>
  </w:style>
  <w:style w:type="character" w:styleId="25">
    <w:name w:val="Hyperlink"/>
    <w:qFormat/>
    <w:uiPriority w:val="0"/>
    <w:rPr>
      <w:color w:val="0000FF"/>
      <w:u w:val="single"/>
    </w:rPr>
  </w:style>
  <w:style w:type="character" w:styleId="26">
    <w:name w:val="annotation reference"/>
    <w:qFormat/>
    <w:uiPriority w:val="99"/>
    <w:rPr>
      <w:sz w:val="21"/>
    </w:rPr>
  </w:style>
  <w:style w:type="character" w:styleId="27">
    <w:name w:val="footnote reference"/>
    <w:qFormat/>
    <w:uiPriority w:val="0"/>
    <w:rPr>
      <w:vertAlign w:val="superscript"/>
    </w:rPr>
  </w:style>
  <w:style w:type="character" w:customStyle="1" w:styleId="28">
    <w:name w:val="正文文本 Char"/>
    <w:link w:val="8"/>
    <w:qFormat/>
    <w:uiPriority w:val="0"/>
    <w:rPr>
      <w:rFonts w:ascii="宋体"/>
      <w:kern w:val="0"/>
    </w:rPr>
  </w:style>
  <w:style w:type="character" w:customStyle="1" w:styleId="29">
    <w:name w:val="unnamed11"/>
    <w:qFormat/>
    <w:uiPriority w:val="0"/>
    <w:rPr>
      <w:rFonts w:hint="eastAsia" w:ascii="宋体" w:hAnsi="宋体" w:eastAsia="宋体"/>
      <w:sz w:val="18"/>
    </w:rPr>
  </w:style>
  <w:style w:type="character" w:customStyle="1" w:styleId="30">
    <w:name w:val="标题 Char"/>
    <w:link w:val="19"/>
    <w:qFormat/>
    <w:uiPriority w:val="0"/>
    <w:rPr>
      <w:rFonts w:ascii="Cambria" w:hAnsi="Cambria"/>
      <w:b/>
      <w:kern w:val="2"/>
      <w:sz w:val="32"/>
    </w:rPr>
  </w:style>
  <w:style w:type="character" w:customStyle="1" w:styleId="31">
    <w:name w:val="页眉 Char1"/>
    <w:link w:val="14"/>
    <w:qFormat/>
    <w:uiPriority w:val="0"/>
    <w:rPr>
      <w:rFonts w:eastAsia="宋体"/>
      <w:kern w:val="2"/>
      <w:sz w:val="18"/>
      <w:lang w:val="en-US" w:eastAsia="zh-CN"/>
    </w:rPr>
  </w:style>
  <w:style w:type="character" w:customStyle="1" w:styleId="32">
    <w:name w:val="read"/>
    <w:basedOn w:val="23"/>
    <w:qFormat/>
    <w:uiPriority w:val="0"/>
  </w:style>
  <w:style w:type="paragraph" w:customStyle="1" w:styleId="33">
    <w:name w:val="Char Char"/>
    <w:basedOn w:val="1"/>
    <w:qFormat/>
    <w:uiPriority w:val="0"/>
  </w:style>
  <w:style w:type="paragraph" w:customStyle="1" w:styleId="3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5">
    <w:name w:val="unnamed1"/>
    <w:basedOn w:val="1"/>
    <w:qFormat/>
    <w:uiPriority w:val="0"/>
    <w:pPr>
      <w:spacing w:before="60" w:after="60"/>
      <w:ind w:left="15" w:right="15"/>
    </w:pPr>
    <w:rPr>
      <w:rFonts w:hint="eastAsia" w:ascii="宋体" w:hAnsi="宋体"/>
      <w:color w:val="000000"/>
      <w:sz w:val="18"/>
      <w:szCs w:val="18"/>
    </w:rPr>
  </w:style>
  <w:style w:type="paragraph" w:customStyle="1" w:styleId="36">
    <w:name w:val="List_bullet"/>
    <w:basedOn w:val="1"/>
    <w:qFormat/>
    <w:uiPriority w:val="0"/>
    <w:pPr>
      <w:widowControl/>
      <w:tabs>
        <w:tab w:val="left" w:pos="360"/>
      </w:tabs>
      <w:ind w:left="360" w:hanging="360"/>
      <w:jc w:val="left"/>
    </w:pPr>
    <w:rPr>
      <w:kern w:val="0"/>
      <w:sz w:val="24"/>
    </w:rPr>
  </w:style>
  <w:style w:type="paragraph" w:customStyle="1" w:styleId="37">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
    <w:name w:val="正文正文"/>
    <w:basedOn w:val="1"/>
    <w:qFormat/>
    <w:uiPriority w:val="0"/>
    <w:pPr>
      <w:spacing w:afterLines="25" w:line="360" w:lineRule="auto"/>
      <w:ind w:firstLine="200" w:firstLineChars="200"/>
    </w:pPr>
    <w:rPr>
      <w:sz w:val="24"/>
    </w:rPr>
  </w:style>
  <w:style w:type="paragraph" w:customStyle="1" w:styleId="39">
    <w:name w:val="Char"/>
    <w:basedOn w:val="1"/>
    <w:qFormat/>
    <w:uiPriority w:val="0"/>
  </w:style>
  <w:style w:type="paragraph" w:customStyle="1" w:styleId="40">
    <w:name w:val="Char1"/>
    <w:basedOn w:val="1"/>
    <w:qFormat/>
    <w:uiPriority w:val="0"/>
  </w:style>
  <w:style w:type="paragraph" w:customStyle="1" w:styleId="41">
    <w:name w:val="Char Char Char"/>
    <w:basedOn w:val="1"/>
    <w:qFormat/>
    <w:uiPriority w:val="0"/>
  </w:style>
  <w:style w:type="paragraph" w:customStyle="1" w:styleId="42">
    <w:name w:val="InfoBlue"/>
    <w:basedOn w:val="1"/>
    <w:next w:val="8"/>
    <w:qFormat/>
    <w:uiPriority w:val="0"/>
    <w:pPr>
      <w:tabs>
        <w:tab w:val="left" w:pos="420"/>
      </w:tabs>
      <w:spacing w:after="120" w:line="240" w:lineRule="atLeast"/>
      <w:ind w:left="420" w:hanging="420"/>
      <w:jc w:val="left"/>
    </w:pPr>
    <w:rPr>
      <w:rFonts w:ascii="宋体" w:hAnsi="宋体"/>
    </w:rPr>
  </w:style>
  <w:style w:type="paragraph" w:customStyle="1" w:styleId="43">
    <w:name w:val="Char Char Char Char"/>
    <w:basedOn w:val="1"/>
    <w:qFormat/>
    <w:uiPriority w:val="0"/>
    <w:pPr>
      <w:tabs>
        <w:tab w:val="left" w:pos="360"/>
      </w:tabs>
    </w:pPr>
  </w:style>
  <w:style w:type="paragraph" w:customStyle="1" w:styleId="44">
    <w:name w:val="Char Char1"/>
    <w:basedOn w:val="1"/>
    <w:qFormat/>
    <w:uiPriority w:val="0"/>
  </w:style>
  <w:style w:type="paragraph" w:customStyle="1" w:styleId="45">
    <w:name w:val="正文所"/>
    <w:basedOn w:val="1"/>
    <w:qFormat/>
    <w:uiPriority w:val="0"/>
    <w:pPr>
      <w:spacing w:line="360" w:lineRule="auto"/>
      <w:ind w:firstLine="420" w:firstLineChars="200"/>
    </w:pPr>
    <w:rPr>
      <w:rFonts w:ascii="宋体"/>
    </w:rPr>
  </w:style>
  <w:style w:type="paragraph" w:customStyle="1" w:styleId="46">
    <w:name w:val="修订1"/>
    <w:hidden/>
    <w:semiHidden/>
    <w:qFormat/>
    <w:uiPriority w:val="99"/>
    <w:rPr>
      <w:rFonts w:ascii="Times New Roman" w:hAnsi="Times New Roman" w:eastAsia="宋体" w:cs="Times New Roman"/>
      <w:kern w:val="2"/>
      <w:sz w:val="21"/>
      <w:lang w:val="en-US" w:eastAsia="zh-CN" w:bidi="ar-SA"/>
    </w:rPr>
  </w:style>
  <w:style w:type="character" w:customStyle="1" w:styleId="47">
    <w:name w:val="页脚 Char1"/>
    <w:link w:val="13"/>
    <w:qFormat/>
    <w:uiPriority w:val="99"/>
    <w:rPr>
      <w:kern w:val="2"/>
      <w:sz w:val="18"/>
    </w:rPr>
  </w:style>
  <w:style w:type="character" w:customStyle="1" w:styleId="48">
    <w:name w:val="正文首行缩进 Char"/>
    <w:link w:val="21"/>
    <w:qFormat/>
    <w:uiPriority w:val="0"/>
    <w:rPr>
      <w:rFonts w:ascii="宋体"/>
      <w:kern w:val="2"/>
      <w:sz w:val="21"/>
    </w:rPr>
  </w:style>
  <w:style w:type="paragraph" w:customStyle="1" w:styleId="49">
    <w:name w:val="编号正文2"/>
    <w:basedOn w:val="1"/>
    <w:qFormat/>
    <w:uiPriority w:val="0"/>
    <w:pPr>
      <w:numPr>
        <w:ilvl w:val="0"/>
        <w:numId w:val="1"/>
      </w:numPr>
      <w:autoSpaceDE w:val="0"/>
      <w:autoSpaceDN w:val="0"/>
      <w:adjustRightInd w:val="0"/>
      <w:spacing w:after="120" w:line="300" w:lineRule="auto"/>
      <w:textAlignment w:val="baseline"/>
    </w:pPr>
    <w:rPr>
      <w:rFonts w:ascii="宋体"/>
      <w:kern w:val="0"/>
    </w:rPr>
  </w:style>
  <w:style w:type="character" w:customStyle="1" w:styleId="50">
    <w:name w:val="批注文字 Char"/>
    <w:link w:val="7"/>
    <w:qFormat/>
    <w:uiPriority w:val="0"/>
    <w:rPr>
      <w:kern w:val="2"/>
      <w:sz w:val="21"/>
    </w:rPr>
  </w:style>
  <w:style w:type="character" w:customStyle="1" w:styleId="51">
    <w:name w:val="纯文本 Char"/>
    <w:basedOn w:val="23"/>
    <w:link w:val="10"/>
    <w:qFormat/>
    <w:uiPriority w:val="99"/>
    <w:rPr>
      <w:rFonts w:ascii="宋体" w:hAnsi="Courier New"/>
      <w:sz w:val="21"/>
    </w:rPr>
  </w:style>
  <w:style w:type="paragraph" w:customStyle="1" w:styleId="52">
    <w:name w:val="列出段落1"/>
    <w:basedOn w:val="1"/>
    <w:qFormat/>
    <w:uiPriority w:val="0"/>
    <w:pPr>
      <w:ind w:firstLine="420" w:firstLineChars="200"/>
    </w:pPr>
  </w:style>
  <w:style w:type="paragraph" w:styleId="53">
    <w:name w:val="List Paragraph"/>
    <w:basedOn w:val="1"/>
    <w:qFormat/>
    <w:uiPriority w:val="34"/>
    <w:pPr>
      <w:ind w:firstLine="420" w:firstLineChars="200"/>
    </w:pPr>
  </w:style>
  <w:style w:type="paragraph" w:customStyle="1" w:styleId="54">
    <w:name w:val="HTML 预设格式1"/>
    <w:basedOn w:val="1"/>
    <w:link w:val="7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55">
    <w:name w:val="普通(网站)1"/>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customStyle="1" w:styleId="56">
    <w:name w:val="修订11"/>
    <w:qFormat/>
    <w:uiPriority w:val="0"/>
    <w:rPr>
      <w:rFonts w:ascii="Times New Roman" w:hAnsi="Times New Roman" w:eastAsia="宋体" w:cs="Times New Roman"/>
      <w:kern w:val="2"/>
      <w:sz w:val="21"/>
      <w:lang w:val="en-US" w:eastAsia="zh-CN" w:bidi="ar-SA"/>
    </w:rPr>
  </w:style>
  <w:style w:type="paragraph" w:customStyle="1" w:styleId="57">
    <w:name w:val="正文文本缩进 31"/>
    <w:basedOn w:val="1"/>
    <w:qFormat/>
    <w:uiPriority w:val="0"/>
    <w:pPr>
      <w:autoSpaceDE w:val="0"/>
      <w:autoSpaceDN w:val="0"/>
      <w:adjustRightInd w:val="0"/>
      <w:spacing w:line="360" w:lineRule="auto"/>
      <w:ind w:left="420" w:firstLine="435"/>
    </w:pPr>
    <w:rPr>
      <w:color w:val="0000FF"/>
    </w:rPr>
  </w:style>
  <w:style w:type="paragraph" w:customStyle="1" w:styleId="58">
    <w:name w:val="正文文本缩进 21"/>
    <w:basedOn w:val="1"/>
    <w:qFormat/>
    <w:uiPriority w:val="0"/>
    <w:pPr>
      <w:spacing w:line="360" w:lineRule="auto"/>
      <w:ind w:firstLine="425"/>
    </w:pPr>
    <w:rPr>
      <w:rFonts w:ascii="仿宋_GB2312" w:eastAsia="仿宋_GB2312"/>
      <w:sz w:val="28"/>
    </w:rPr>
  </w:style>
  <w:style w:type="paragraph" w:customStyle="1" w:styleId="59">
    <w:name w:val="修订2"/>
    <w:qFormat/>
    <w:uiPriority w:val="0"/>
    <w:rPr>
      <w:rFonts w:ascii="Times New Roman" w:hAnsi="Times New Roman" w:eastAsia="宋体" w:cs="Times New Roman"/>
      <w:kern w:val="2"/>
      <w:sz w:val="21"/>
      <w:lang w:val="en-US" w:eastAsia="zh-CN" w:bidi="ar-SA"/>
    </w:rPr>
  </w:style>
  <w:style w:type="paragraph" w:customStyle="1" w:styleId="60">
    <w:name w:val="纯文本1"/>
    <w:basedOn w:val="1"/>
    <w:qFormat/>
    <w:uiPriority w:val="0"/>
    <w:pPr>
      <w:adjustRightInd w:val="0"/>
      <w:spacing w:line="312" w:lineRule="atLeast"/>
      <w:textAlignment w:val="baseline"/>
    </w:pPr>
    <w:rPr>
      <w:rFonts w:ascii="宋体" w:hAnsi="Courier New"/>
      <w:kern w:val="0"/>
    </w:rPr>
  </w:style>
  <w:style w:type="paragraph" w:customStyle="1" w:styleId="61">
    <w:name w:val="批注主题1"/>
    <w:basedOn w:val="7"/>
    <w:next w:val="7"/>
    <w:qFormat/>
    <w:uiPriority w:val="0"/>
    <w:rPr>
      <w:b/>
    </w:rPr>
  </w:style>
  <w:style w:type="paragraph" w:customStyle="1" w:styleId="62">
    <w:name w:val="Char2"/>
    <w:basedOn w:val="1"/>
    <w:qFormat/>
    <w:uiPriority w:val="0"/>
  </w:style>
  <w:style w:type="paragraph" w:customStyle="1" w:styleId="63">
    <w:name w:val="正文首行缩进1"/>
    <w:basedOn w:val="8"/>
    <w:qFormat/>
    <w:uiPriority w:val="0"/>
    <w:pPr>
      <w:adjustRightInd/>
      <w:spacing w:after="120" w:line="240" w:lineRule="auto"/>
      <w:ind w:firstLine="420" w:firstLineChars="100"/>
      <w:jc w:val="both"/>
    </w:pPr>
    <w:rPr>
      <w:kern w:val="2"/>
      <w:sz w:val="21"/>
    </w:rPr>
  </w:style>
  <w:style w:type="paragraph" w:customStyle="1" w:styleId="64">
    <w:name w:val="文档结构图1"/>
    <w:basedOn w:val="1"/>
    <w:link w:val="68"/>
    <w:qFormat/>
    <w:uiPriority w:val="0"/>
    <w:rPr>
      <w:rFonts w:ascii="宋体"/>
      <w:sz w:val="18"/>
      <w:szCs w:val="18"/>
    </w:rPr>
  </w:style>
  <w:style w:type="paragraph" w:customStyle="1" w:styleId="65">
    <w:name w:val="批注主题2"/>
    <w:basedOn w:val="7"/>
    <w:next w:val="7"/>
    <w:link w:val="69"/>
    <w:qFormat/>
    <w:uiPriority w:val="0"/>
    <w:rPr>
      <w:b/>
      <w:bCs/>
    </w:rPr>
  </w:style>
  <w:style w:type="paragraph" w:customStyle="1" w:styleId="66">
    <w:name w:val="文档结构图11"/>
    <w:basedOn w:val="1"/>
    <w:qFormat/>
    <w:uiPriority w:val="0"/>
    <w:pPr>
      <w:shd w:val="clear" w:color="auto" w:fill="000080"/>
    </w:pPr>
  </w:style>
  <w:style w:type="paragraph" w:customStyle="1" w:styleId="67">
    <w:name w:val="修订3"/>
    <w:hidden/>
    <w:semiHidden/>
    <w:qFormat/>
    <w:uiPriority w:val="99"/>
    <w:rPr>
      <w:rFonts w:ascii="Times New Roman" w:hAnsi="Times New Roman" w:eastAsia="宋体" w:cs="Times New Roman"/>
      <w:kern w:val="2"/>
      <w:sz w:val="21"/>
      <w:lang w:val="en-US" w:eastAsia="zh-CN" w:bidi="ar-SA"/>
    </w:rPr>
  </w:style>
  <w:style w:type="character" w:customStyle="1" w:styleId="68">
    <w:name w:val="文档结构图 Char"/>
    <w:link w:val="64"/>
    <w:qFormat/>
    <w:uiPriority w:val="0"/>
    <w:rPr>
      <w:rFonts w:ascii="宋体"/>
      <w:kern w:val="2"/>
      <w:sz w:val="18"/>
      <w:szCs w:val="18"/>
    </w:rPr>
  </w:style>
  <w:style w:type="character" w:customStyle="1" w:styleId="69">
    <w:name w:val="批注主题 Char"/>
    <w:link w:val="65"/>
    <w:qFormat/>
    <w:uiPriority w:val="0"/>
    <w:rPr>
      <w:b/>
      <w:bCs/>
      <w:kern w:val="2"/>
      <w:sz w:val="21"/>
    </w:rPr>
  </w:style>
  <w:style w:type="character" w:customStyle="1" w:styleId="70">
    <w:name w:val="HTML 预设格式 Char"/>
    <w:link w:val="54"/>
    <w:qFormat/>
    <w:uiPriority w:val="0"/>
    <w:rPr>
      <w:rFonts w:ascii="宋体" w:hAnsi="宋体"/>
      <w:sz w:val="24"/>
      <w:szCs w:val="24"/>
    </w:rPr>
  </w:style>
  <w:style w:type="character" w:customStyle="1" w:styleId="71">
    <w:name w:val="批注引用1"/>
    <w:qFormat/>
    <w:uiPriority w:val="0"/>
    <w:rPr>
      <w:sz w:val="21"/>
    </w:rPr>
  </w:style>
  <w:style w:type="character" w:customStyle="1" w:styleId="72">
    <w:name w:val="批注引用2"/>
    <w:qFormat/>
    <w:uiPriority w:val="0"/>
    <w:rPr>
      <w:sz w:val="21"/>
      <w:szCs w:val="21"/>
    </w:rPr>
  </w:style>
  <w:style w:type="character" w:customStyle="1" w:styleId="73">
    <w:name w:val="页码1"/>
    <w:basedOn w:val="23"/>
    <w:qFormat/>
    <w:uiPriority w:val="0"/>
  </w:style>
  <w:style w:type="character" w:customStyle="1" w:styleId="74">
    <w:name w:val="批注主题 Char1"/>
    <w:basedOn w:val="50"/>
    <w:link w:val="20"/>
    <w:qFormat/>
    <w:uiPriority w:val="99"/>
    <w:rPr>
      <w:b/>
      <w:kern w:val="2"/>
      <w:sz w:val="21"/>
    </w:rPr>
  </w:style>
  <w:style w:type="paragraph" w:customStyle="1" w:styleId="75">
    <w:name w:val="修订4"/>
    <w:hidden/>
    <w:semiHidden/>
    <w:qFormat/>
    <w:uiPriority w:val="99"/>
    <w:rPr>
      <w:rFonts w:ascii="Times New Roman" w:hAnsi="Times New Roman" w:eastAsia="宋体" w:cs="Times New Roman"/>
      <w:kern w:val="2"/>
      <w:sz w:val="21"/>
      <w:lang w:val="en-US" w:eastAsia="zh-CN" w:bidi="ar-SA"/>
    </w:rPr>
  </w:style>
  <w:style w:type="character" w:customStyle="1" w:styleId="76">
    <w:name w:val="页眉 Char"/>
    <w:qFormat/>
    <w:uiPriority w:val="0"/>
    <w:rPr>
      <w:rFonts w:eastAsia="宋体"/>
      <w:kern w:val="2"/>
      <w:sz w:val="18"/>
      <w:lang w:val="en-US" w:eastAsia="zh-CN"/>
    </w:rPr>
  </w:style>
  <w:style w:type="character" w:customStyle="1" w:styleId="77">
    <w:name w:val="页脚 Char"/>
    <w:qFormat/>
    <w:uiPriority w:val="99"/>
    <w:rPr>
      <w:kern w:val="2"/>
      <w:sz w:val="18"/>
    </w:rPr>
  </w:style>
  <w:style w:type="character" w:customStyle="1" w:styleId="78">
    <w:name w:val="页脚 字符"/>
    <w:qFormat/>
    <w:uiPriority w:val="99"/>
    <w:rPr>
      <w:kern w:val="2"/>
      <w:sz w:val="18"/>
    </w:rPr>
  </w:style>
  <w:style w:type="character" w:customStyle="1" w:styleId="79">
    <w:name w:val="页眉 字符"/>
    <w:qFormat/>
    <w:uiPriority w:val="0"/>
    <w:rPr>
      <w:rFonts w:eastAsia="宋体"/>
      <w:kern w:val="2"/>
      <w:sz w:val="18"/>
      <w:lang w:val="en-US" w:eastAsia="zh-CN"/>
    </w:rPr>
  </w:style>
  <w:style w:type="character" w:customStyle="1" w:styleId="80">
    <w:name w:val="15"/>
    <w:basedOn w:val="23"/>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14DD0A-0D22-469A-915F-E78954DFCFF4}">
  <ds:schemaRefs/>
</ds:datastoreItem>
</file>

<file path=customXml/itemProps2.xml><?xml version="1.0" encoding="utf-8"?>
<ds:datastoreItem xmlns:ds="http://schemas.openxmlformats.org/officeDocument/2006/customXml" ds:itemID="{D51E5AA3-4163-41CA-BC7E-D56C513A7ABE}">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35</Pages>
  <Words>3488</Words>
  <Characters>19886</Characters>
  <Lines>1</Lines>
  <Paragraphs>1</Paragraphs>
  <TotalTime>8</TotalTime>
  <ScaleCrop>false</ScaleCrop>
  <LinksUpToDate>false</LinksUpToDate>
  <CharactersWithSpaces>23328</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2023-01-30T02:31:00Z</dcterms:created>
  <dc:creator>zhangminjun</dc:creator>
  <cp:lastModifiedBy>zhangjing1</cp:lastModifiedBy>
  <dcterms:modified xsi:type="dcterms:W3CDTF">2026-07-17T02:27:21Z</dcterms:modified>
  <dc:title>___证券投资基金招募说明书1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04FC07490F97467AAA64166A415D37A5_13</vt:lpwstr>
  </property>
</Properties>
</file>