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FFA73F">
      <w:pPr>
        <w:spacing w:line="360" w:lineRule="auto"/>
        <w:rPr>
          <w:sz w:val="32"/>
        </w:rPr>
      </w:pPr>
    </w:p>
    <w:p w14:paraId="61EB4D26">
      <w:pPr>
        <w:spacing w:line="360" w:lineRule="auto"/>
        <w:rPr>
          <w:sz w:val="32"/>
        </w:rPr>
      </w:pPr>
    </w:p>
    <w:p w14:paraId="12773F0C">
      <w:pPr>
        <w:spacing w:line="360" w:lineRule="auto"/>
        <w:jc w:val="both"/>
        <w:rPr>
          <w:sz w:val="32"/>
        </w:rPr>
      </w:pPr>
    </w:p>
    <w:p w14:paraId="720415B1">
      <w:pPr>
        <w:spacing w:line="360" w:lineRule="auto"/>
        <w:jc w:val="center"/>
        <w:rPr>
          <w:b/>
          <w:sz w:val="32"/>
        </w:rPr>
      </w:pPr>
    </w:p>
    <w:p w14:paraId="5658AC45">
      <w:pPr>
        <w:spacing w:line="360" w:lineRule="auto"/>
        <w:jc w:val="center"/>
        <w:rPr>
          <w:b/>
          <w:sz w:val="32"/>
        </w:rPr>
      </w:pPr>
    </w:p>
    <w:p w14:paraId="1317F880">
      <w:pPr>
        <w:spacing w:line="360" w:lineRule="auto"/>
        <w:rPr>
          <w:b/>
          <w:sz w:val="44"/>
        </w:rPr>
      </w:pPr>
    </w:p>
    <w:p w14:paraId="23F7D04F">
      <w:pPr>
        <w:adjustRightInd w:val="0"/>
        <w:snapToGrid w:val="0"/>
        <w:spacing w:line="360" w:lineRule="auto"/>
        <w:jc w:val="center"/>
        <w:rPr>
          <w:rFonts w:hAnsi="宋体"/>
          <w:b/>
          <w:sz w:val="44"/>
        </w:rPr>
      </w:pPr>
      <w:r>
        <w:rPr>
          <w:rFonts w:hint="eastAsia" w:hAnsi="宋体"/>
          <w:b/>
          <w:sz w:val="44"/>
        </w:rPr>
        <w:t>交银施罗德消费研选混合型发起式</w:t>
      </w:r>
    </w:p>
    <w:p w14:paraId="382F549C">
      <w:pPr>
        <w:adjustRightInd w:val="0"/>
        <w:snapToGrid w:val="0"/>
        <w:spacing w:line="360" w:lineRule="auto"/>
        <w:jc w:val="center"/>
        <w:rPr>
          <w:rFonts w:hAnsi="宋体"/>
          <w:b/>
          <w:sz w:val="44"/>
        </w:rPr>
      </w:pPr>
      <w:r>
        <w:rPr>
          <w:rFonts w:hint="eastAsia" w:hAnsi="宋体"/>
          <w:b/>
          <w:sz w:val="44"/>
        </w:rPr>
        <w:t>证券投资基金</w:t>
      </w:r>
    </w:p>
    <w:p w14:paraId="39FA2EA2">
      <w:pPr>
        <w:adjustRightInd w:val="0"/>
        <w:snapToGrid w:val="0"/>
        <w:spacing w:line="360" w:lineRule="auto"/>
        <w:jc w:val="center"/>
        <w:rPr>
          <w:sz w:val="24"/>
        </w:rPr>
      </w:pPr>
      <w:r>
        <w:rPr>
          <w:rFonts w:hAnsi="宋体"/>
          <w:b/>
          <w:sz w:val="44"/>
        </w:rPr>
        <w:t>招募说明书</w:t>
      </w:r>
    </w:p>
    <w:p w14:paraId="23DB7C17">
      <w:pPr>
        <w:spacing w:line="360" w:lineRule="auto"/>
        <w:rPr>
          <w:b/>
          <w:sz w:val="28"/>
        </w:rPr>
      </w:pPr>
    </w:p>
    <w:p w14:paraId="67182FBB">
      <w:pPr>
        <w:spacing w:line="360" w:lineRule="auto"/>
        <w:rPr>
          <w:b/>
          <w:sz w:val="28"/>
        </w:rPr>
      </w:pPr>
    </w:p>
    <w:p w14:paraId="1E24E2C2">
      <w:pPr>
        <w:spacing w:line="360" w:lineRule="auto"/>
        <w:rPr>
          <w:b/>
          <w:sz w:val="28"/>
        </w:rPr>
      </w:pPr>
    </w:p>
    <w:p w14:paraId="09E8150C">
      <w:pPr>
        <w:spacing w:line="360" w:lineRule="auto"/>
        <w:rPr>
          <w:b/>
          <w:sz w:val="28"/>
        </w:rPr>
      </w:pPr>
    </w:p>
    <w:p w14:paraId="280F9A48">
      <w:pPr>
        <w:spacing w:line="360" w:lineRule="auto"/>
        <w:rPr>
          <w:b/>
          <w:sz w:val="28"/>
        </w:rPr>
      </w:pPr>
    </w:p>
    <w:p w14:paraId="558084CD">
      <w:pPr>
        <w:spacing w:line="360" w:lineRule="auto"/>
        <w:ind w:left="1978" w:leftChars="942"/>
        <w:rPr>
          <w:b/>
          <w:sz w:val="28"/>
        </w:rPr>
      </w:pPr>
      <w:r>
        <w:rPr>
          <w:rFonts w:hAnsi="宋体"/>
          <w:b/>
          <w:sz w:val="28"/>
        </w:rPr>
        <w:t>基金管理人：交银施罗德基金管理有限公司</w:t>
      </w:r>
    </w:p>
    <w:p w14:paraId="14786EBE">
      <w:pPr>
        <w:spacing w:line="360" w:lineRule="auto"/>
        <w:ind w:left="1978" w:leftChars="942"/>
        <w:rPr>
          <w:b/>
          <w:sz w:val="28"/>
        </w:rPr>
      </w:pPr>
      <w:r>
        <w:rPr>
          <w:rFonts w:hAnsi="宋体"/>
          <w:b/>
          <w:sz w:val="28"/>
        </w:rPr>
        <w:t>基金托管人：</w:t>
      </w:r>
      <w:r>
        <w:rPr>
          <w:rFonts w:hint="eastAsia" w:hAnsi="宋体"/>
          <w:b/>
          <w:sz w:val="28"/>
        </w:rPr>
        <w:t>中国农业银行股份有限公司</w:t>
      </w:r>
    </w:p>
    <w:p w14:paraId="0A40AF4B">
      <w:pPr>
        <w:widowControl/>
        <w:spacing w:line="360" w:lineRule="auto"/>
        <w:ind w:firstLine="420" w:firstLineChars="200"/>
        <w:rPr>
          <w:rFonts w:ascii="宋体" w:hAnsi="宋体"/>
          <w:kern w:val="0"/>
        </w:rPr>
      </w:pPr>
    </w:p>
    <w:p w14:paraId="08A99AED">
      <w:pPr>
        <w:widowControl/>
        <w:spacing w:line="360" w:lineRule="auto"/>
        <w:ind w:firstLine="420" w:firstLineChars="200"/>
        <w:rPr>
          <w:rFonts w:ascii="宋体" w:hAnsi="宋体"/>
          <w:kern w:val="0"/>
        </w:rPr>
      </w:pPr>
    </w:p>
    <w:p w14:paraId="30E5E76B">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rPr>
        <w:t>六</w:t>
      </w:r>
      <w:r>
        <w:rPr>
          <w:rFonts w:hAnsi="宋体"/>
          <w:b/>
          <w:sz w:val="28"/>
        </w:rPr>
        <w:t>年</w:t>
      </w:r>
      <w:r>
        <w:rPr>
          <w:rFonts w:hint="eastAsia" w:hAnsi="宋体"/>
          <w:b/>
          <w:sz w:val="28"/>
          <w:lang w:val="en-US" w:eastAsia="zh-CN"/>
        </w:rPr>
        <w:t>七</w:t>
      </w:r>
      <w:r>
        <w:rPr>
          <w:rFonts w:hAnsi="宋体"/>
          <w:b/>
          <w:sz w:val="28"/>
        </w:rPr>
        <w:t>月</w:t>
      </w:r>
    </w:p>
    <w:p w14:paraId="6B210EEE">
      <w:pPr>
        <w:autoSpaceDE w:val="0"/>
        <w:autoSpaceDN w:val="0"/>
        <w:spacing w:line="360" w:lineRule="auto"/>
        <w:ind w:left="2996" w:hanging="2996"/>
        <w:jc w:val="center"/>
        <w:textAlignment w:val="bottom"/>
        <w:rPr>
          <w:b/>
          <w:sz w:val="24"/>
        </w:rPr>
      </w:pPr>
    </w:p>
    <w:p w14:paraId="3760D270">
      <w:pPr>
        <w:widowControl/>
        <w:spacing w:line="360" w:lineRule="auto"/>
        <w:jc w:val="left"/>
        <w:rPr>
          <w:rFonts w:hAnsi="宋体"/>
          <w:kern w:val="0"/>
        </w:rPr>
      </w:pPr>
    </w:p>
    <w:p w14:paraId="576CA76D">
      <w:pPr>
        <w:widowControl/>
        <w:spacing w:line="360" w:lineRule="auto"/>
        <w:jc w:val="left"/>
        <w:rPr>
          <w:kern w:val="0"/>
        </w:rPr>
      </w:pPr>
    </w:p>
    <w:p w14:paraId="7178D0C6">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14:paraId="7BD64898">
      <w:pPr>
        <w:widowControl/>
        <w:adjustRightInd w:val="0"/>
        <w:snapToGrid w:val="0"/>
        <w:spacing w:line="360" w:lineRule="auto"/>
        <w:ind w:firstLine="480" w:firstLineChars="200"/>
        <w:rPr>
          <w:kern w:val="0"/>
          <w:sz w:val="24"/>
        </w:rPr>
      </w:pPr>
      <w:r>
        <w:rPr>
          <w:rFonts w:hint="eastAsia"/>
          <w:kern w:val="0"/>
          <w:sz w:val="24"/>
        </w:rPr>
        <w:t>交银施罗德消费研选混合型发起式证券投资基金</w:t>
      </w:r>
      <w:r>
        <w:rPr>
          <w:kern w:val="0"/>
          <w:sz w:val="24"/>
        </w:rPr>
        <w:t>（以下简称</w:t>
      </w:r>
      <w:r>
        <w:rPr>
          <w:rFonts w:ascii="宋体" w:hAnsi="宋体"/>
          <w:kern w:val="0"/>
          <w:sz w:val="24"/>
        </w:rPr>
        <w:t>“本基金”</w:t>
      </w:r>
      <w:r>
        <w:rPr>
          <w:rFonts w:hAnsi="宋体"/>
          <w:kern w:val="0"/>
          <w:sz w:val="24"/>
        </w:rPr>
        <w:t>）经</w:t>
      </w:r>
      <w:r>
        <w:rPr>
          <w:rFonts w:hint="eastAsia"/>
          <w:kern w:val="0"/>
          <w:sz w:val="24"/>
        </w:rPr>
        <w:t>202</w:t>
      </w:r>
      <w:r>
        <w:rPr>
          <w:rFonts w:hint="eastAsia"/>
          <w:kern w:val="0"/>
          <w:sz w:val="24"/>
          <w:lang w:val="en-US" w:eastAsia="zh-CN"/>
        </w:rPr>
        <w:t>6</w:t>
      </w:r>
      <w:r>
        <w:rPr>
          <w:rFonts w:hint="eastAsia"/>
          <w:kern w:val="0"/>
          <w:sz w:val="24"/>
        </w:rPr>
        <w:t>年</w:t>
      </w:r>
      <w:r>
        <w:rPr>
          <w:rFonts w:hint="eastAsia"/>
          <w:kern w:val="0"/>
          <w:sz w:val="24"/>
          <w:lang w:val="en-US" w:eastAsia="zh-CN"/>
        </w:rPr>
        <w:t>6</w:t>
      </w:r>
      <w:r>
        <w:rPr>
          <w:rFonts w:hint="eastAsia"/>
          <w:kern w:val="0"/>
          <w:sz w:val="24"/>
        </w:rPr>
        <w:t>月</w:t>
      </w:r>
      <w:r>
        <w:rPr>
          <w:rFonts w:hint="eastAsia"/>
          <w:kern w:val="0"/>
          <w:sz w:val="24"/>
          <w:lang w:val="en-US" w:eastAsia="zh-CN"/>
        </w:rPr>
        <w:t>16</w:t>
      </w:r>
      <w:r>
        <w:rPr>
          <w:rFonts w:hint="eastAsia"/>
          <w:kern w:val="0"/>
          <w:sz w:val="24"/>
        </w:rPr>
        <w:t>日</w:t>
      </w:r>
      <w:r>
        <w:rPr>
          <w:rFonts w:hAnsi="宋体"/>
          <w:kern w:val="0"/>
          <w:sz w:val="24"/>
        </w:rPr>
        <w:t>中国证券监督管理委员会（以下简称</w:t>
      </w:r>
      <w:r>
        <w:rPr>
          <w:rFonts w:ascii="宋体" w:hAnsi="宋体"/>
          <w:kern w:val="0"/>
          <w:sz w:val="24"/>
        </w:rPr>
        <w:t>“中国证监会”</w:t>
      </w:r>
      <w:r>
        <w:rPr>
          <w:rFonts w:hAnsi="宋体"/>
          <w:kern w:val="0"/>
          <w:sz w:val="24"/>
        </w:rPr>
        <w:t>）证监许可</w:t>
      </w:r>
      <w:r>
        <w:rPr>
          <w:rFonts w:hint="eastAsia" w:hAnsi="宋体"/>
          <w:kern w:val="0"/>
          <w:sz w:val="24"/>
        </w:rPr>
        <w:t>【202</w:t>
      </w:r>
      <w:r>
        <w:rPr>
          <w:rFonts w:hint="eastAsia" w:hAnsi="宋体"/>
          <w:kern w:val="0"/>
          <w:sz w:val="24"/>
          <w:lang w:val="en-US" w:eastAsia="zh-CN"/>
        </w:rPr>
        <w:t>6</w:t>
      </w:r>
      <w:r>
        <w:rPr>
          <w:rFonts w:hint="eastAsia" w:hAnsi="宋体"/>
          <w:kern w:val="0"/>
          <w:sz w:val="24"/>
        </w:rPr>
        <w:t>】</w:t>
      </w:r>
      <w:r>
        <w:rPr>
          <w:rFonts w:hint="eastAsia" w:hAnsi="宋体"/>
          <w:kern w:val="0"/>
          <w:sz w:val="24"/>
          <w:lang w:val="en-US" w:eastAsia="zh-CN"/>
        </w:rPr>
        <w:t>1529</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14:paraId="50407C67">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33538C3C">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34AEC954">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r>
        <w:rPr>
          <w:rFonts w:hint="eastAsia"/>
          <w:kern w:val="0"/>
          <w:sz w:val="24"/>
        </w:rPr>
        <w:t>本基金是一只混合型基金，其预期风险和预期收益理论上高于债券型基金和货币市场基金，低于股票型基金。</w:t>
      </w:r>
    </w:p>
    <w:p w14:paraId="686D3387">
      <w:pPr>
        <w:widowControl/>
        <w:adjustRightInd w:val="0"/>
        <w:snapToGrid w:val="0"/>
        <w:spacing w:line="360" w:lineRule="auto"/>
        <w:ind w:firstLine="480" w:firstLineChars="200"/>
        <w:rPr>
          <w:rFonts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w:t>
      </w:r>
    </w:p>
    <w:p w14:paraId="5D0B7641">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75A77C90">
      <w:pPr>
        <w:widowControl/>
        <w:adjustRightInd w:val="0"/>
        <w:snapToGrid w:val="0"/>
        <w:spacing w:line="360" w:lineRule="auto"/>
        <w:ind w:firstLine="480" w:firstLineChars="200"/>
        <w:rPr>
          <w:rFonts w:hAnsi="宋体"/>
          <w:sz w:val="24"/>
        </w:rPr>
      </w:pPr>
      <w:r>
        <w:rPr>
          <w:rFonts w:hint="eastAsia" w:hAnsi="宋体"/>
          <w:sz w:val="24"/>
          <w:lang w:val="en-US" w:eastAsia="zh-CN"/>
        </w:rPr>
        <w:t>本</w:t>
      </w: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8A451C5">
      <w:pPr>
        <w:widowControl/>
        <w:adjustRightInd w:val="0"/>
        <w:snapToGrid w:val="0"/>
        <w:spacing w:line="360" w:lineRule="auto"/>
        <w:ind w:firstLine="480" w:firstLineChars="200"/>
        <w:rPr>
          <w:rFonts w:hAnsi="宋体"/>
          <w:sz w:val="24"/>
        </w:rPr>
      </w:pPr>
      <w:r>
        <w:rPr>
          <w:rFonts w:hint="eastAsia" w:hAnsi="宋体"/>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619581FD">
      <w:pPr>
        <w:widowControl/>
        <w:adjustRightInd w:val="0"/>
        <w:snapToGrid w:val="0"/>
        <w:spacing w:line="360" w:lineRule="auto"/>
        <w:ind w:firstLine="480" w:firstLineChars="200"/>
        <w:rPr>
          <w:rFonts w:hAnsi="宋体"/>
          <w:sz w:val="24"/>
        </w:rPr>
      </w:pPr>
      <w:r>
        <w:rPr>
          <w:rFonts w:hint="eastAsia" w:hAnsi="宋体"/>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01B29D6E">
      <w:pPr>
        <w:widowControl/>
        <w:adjustRightInd w:val="0"/>
        <w:snapToGrid w:val="0"/>
        <w:spacing w:line="360" w:lineRule="auto"/>
        <w:ind w:firstLine="480" w:firstLineChars="200"/>
        <w:rPr>
          <w:rFonts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hAnsi="宋体"/>
          <w:bCs/>
          <w:sz w:val="24"/>
        </w:rPr>
        <w:t>“</w:t>
      </w:r>
      <w:r>
        <w:rPr>
          <w:rFonts w:hint="eastAsia" w:hAnsi="宋体"/>
          <w:bCs/>
          <w:sz w:val="24"/>
        </w:rPr>
        <w:t>风险揭示</w:t>
      </w:r>
      <w:r>
        <w:rPr>
          <w:rFonts w:hAnsi="宋体"/>
          <w:bCs/>
          <w:sz w:val="24"/>
        </w:rPr>
        <w:t>”</w:t>
      </w:r>
      <w:r>
        <w:rPr>
          <w:rFonts w:hint="eastAsia" w:hAnsi="宋体"/>
          <w:bCs/>
          <w:sz w:val="24"/>
        </w:rPr>
        <w:t>章节内容。</w:t>
      </w:r>
    </w:p>
    <w:p w14:paraId="7BEAD63A">
      <w:pPr>
        <w:widowControl/>
        <w:adjustRightInd w:val="0"/>
        <w:snapToGrid w:val="0"/>
        <w:spacing w:line="360" w:lineRule="auto"/>
        <w:ind w:firstLine="480" w:firstLineChars="200"/>
        <w:rPr>
          <w:rFonts w:hAnsi="宋体"/>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14:paraId="09C8E1A2">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5276521F">
      <w:pPr>
        <w:widowControl/>
        <w:adjustRightInd w:val="0"/>
        <w:snapToGrid w:val="0"/>
        <w:spacing w:line="360" w:lineRule="auto"/>
        <w:ind w:firstLine="480" w:firstLineChars="200"/>
        <w:rPr>
          <w:rFonts w:hAnsi="宋体"/>
          <w:bCs/>
          <w:sz w:val="24"/>
        </w:rPr>
      </w:pPr>
      <w:r>
        <w:rPr>
          <w:rFonts w:hint="eastAsia" w:hAnsi="宋体"/>
          <w:bCs/>
          <w:sz w:val="24"/>
        </w:rPr>
        <w:t>本基金可根据投资策略需要或市场环境的变化，选择将部分基金资产投资于科创板股票或选择不将基金资产投资于科创板股票，基金资产并非必然投资于科创板股票。</w:t>
      </w:r>
    </w:p>
    <w:p w14:paraId="63F7A11F">
      <w:pPr>
        <w:widowControl/>
        <w:adjustRightInd w:val="0"/>
        <w:snapToGrid w:val="0"/>
        <w:spacing w:line="360" w:lineRule="auto"/>
        <w:ind w:firstLine="480" w:firstLineChars="200"/>
        <w:rPr>
          <w:rFonts w:hAnsi="宋体"/>
          <w:bCs/>
          <w:sz w:val="24"/>
        </w:rPr>
      </w:pPr>
      <w:r>
        <w:rPr>
          <w:rFonts w:hint="eastAsia"/>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自动终止的不确定性风险。</w:t>
      </w:r>
    </w:p>
    <w:p w14:paraId="7FB1DA25">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09794C04">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基金管理人、基金管理人高级管理人员或基金经理等人员作为发起资金提供方除外）持有基金份额数不得超过基金份额总数的50%，但在基金运作过程中因基金份额赎回等情形导致被动超过前述50%比例的除外。</w:t>
      </w:r>
    </w:p>
    <w:p w14:paraId="7BD67E67">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2CE0B44">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14:paraId="47496DBA">
      <w:pPr>
        <w:pStyle w:val="22"/>
        <w:adjustRightInd w:val="0"/>
        <w:snapToGrid w:val="0"/>
        <w:rPr>
          <w:rStyle w:val="31"/>
          <w:rFonts w:ascii="宋体"/>
          <w:b/>
          <w:kern w:val="0"/>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"_Toc48122002" </w:instrText>
      </w:r>
      <w:r>
        <w:fldChar w:fldCharType="separate"/>
      </w:r>
      <w:r>
        <w:rPr>
          <w:rStyle w:val="31"/>
          <w:rFonts w:ascii="宋体"/>
          <w:b/>
          <w:kern w:val="0"/>
        </w:rPr>
        <w:t>一、绪言</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_Toc48122002 \h </w:instrText>
      </w:r>
      <w:r>
        <w:rPr>
          <w:rStyle w:val="31"/>
          <w:rFonts w:ascii="宋体"/>
          <w:b/>
          <w:kern w:val="0"/>
        </w:rPr>
        <w:fldChar w:fldCharType="separate"/>
      </w:r>
      <w:r>
        <w:rPr>
          <w:rStyle w:val="31"/>
          <w:rFonts w:ascii="宋体"/>
          <w:b/>
          <w:kern w:val="0"/>
        </w:rPr>
        <w:t>6</w:t>
      </w:r>
      <w:r>
        <w:rPr>
          <w:rStyle w:val="31"/>
          <w:rFonts w:ascii="宋体"/>
          <w:b/>
          <w:kern w:val="0"/>
        </w:rPr>
        <w:fldChar w:fldCharType="end"/>
      </w:r>
      <w:r>
        <w:rPr>
          <w:rStyle w:val="31"/>
          <w:rFonts w:ascii="宋体"/>
          <w:b/>
          <w:kern w:val="0"/>
        </w:rPr>
        <w:fldChar w:fldCharType="end"/>
      </w:r>
    </w:p>
    <w:p w14:paraId="71B9826A">
      <w:pPr>
        <w:pStyle w:val="22"/>
        <w:adjustRightInd w:val="0"/>
        <w:snapToGrid w:val="0"/>
        <w:rPr>
          <w:rStyle w:val="31"/>
          <w:rFonts w:ascii="宋体"/>
          <w:b/>
          <w:kern w:val="0"/>
        </w:rPr>
      </w:pPr>
      <w:r>
        <w:fldChar w:fldCharType="begin"/>
      </w:r>
      <w:r>
        <w:instrText xml:space="preserve"> HYPERLINK \l "_Toc48122003" </w:instrText>
      </w:r>
      <w:r>
        <w:fldChar w:fldCharType="separate"/>
      </w:r>
      <w:r>
        <w:rPr>
          <w:rStyle w:val="31"/>
          <w:rFonts w:ascii="宋体"/>
          <w:b/>
          <w:kern w:val="0"/>
        </w:rPr>
        <w:t>二、释义</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_Toc48122003 \h </w:instrText>
      </w:r>
      <w:r>
        <w:rPr>
          <w:rStyle w:val="31"/>
          <w:rFonts w:ascii="宋体"/>
          <w:b/>
          <w:kern w:val="0"/>
        </w:rPr>
        <w:fldChar w:fldCharType="separate"/>
      </w:r>
      <w:r>
        <w:rPr>
          <w:rStyle w:val="31"/>
          <w:rFonts w:ascii="宋体"/>
          <w:b/>
          <w:kern w:val="0"/>
        </w:rPr>
        <w:t>7</w:t>
      </w:r>
      <w:r>
        <w:rPr>
          <w:rStyle w:val="31"/>
          <w:rFonts w:ascii="宋体"/>
          <w:b/>
          <w:kern w:val="0"/>
        </w:rPr>
        <w:fldChar w:fldCharType="end"/>
      </w:r>
      <w:r>
        <w:rPr>
          <w:rStyle w:val="31"/>
          <w:rFonts w:ascii="宋体"/>
          <w:b/>
          <w:kern w:val="0"/>
        </w:rPr>
        <w:fldChar w:fldCharType="end"/>
      </w:r>
    </w:p>
    <w:p w14:paraId="3CF2AB47">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"_Toc48122004" </w:instrText>
      </w:r>
      <w:r>
        <w:fldChar w:fldCharType="separate"/>
      </w:r>
      <w:r>
        <w:rPr>
          <w:rStyle w:val="31"/>
          <w:rFonts w:ascii="宋体"/>
          <w:b/>
          <w:kern w:val="0"/>
        </w:rPr>
        <w:t>三、基金管理人</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_Toc48122004 \h </w:instrText>
      </w:r>
      <w:r>
        <w:rPr>
          <w:rStyle w:val="31"/>
          <w:rFonts w:ascii="宋体"/>
          <w:b/>
          <w:kern w:val="0"/>
        </w:rPr>
        <w:fldChar w:fldCharType="separate"/>
      </w:r>
      <w:r>
        <w:rPr>
          <w:rStyle w:val="31"/>
          <w:rFonts w:ascii="宋体"/>
          <w:b/>
          <w:kern w:val="0"/>
        </w:rPr>
        <w:t>13</w:t>
      </w:r>
      <w:r>
        <w:rPr>
          <w:rStyle w:val="31"/>
          <w:rFonts w:ascii="宋体"/>
          <w:b/>
          <w:kern w:val="0"/>
        </w:rPr>
        <w:fldChar w:fldCharType="end"/>
      </w:r>
      <w:r>
        <w:rPr>
          <w:rStyle w:val="31"/>
          <w:rFonts w:ascii="宋体"/>
          <w:b/>
          <w:kern w:val="0"/>
        </w:rPr>
        <w:fldChar w:fldCharType="end"/>
      </w:r>
    </w:p>
    <w:p w14:paraId="35BDAABA">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"_Toc48122005" </w:instrText>
      </w:r>
      <w:r>
        <w:fldChar w:fldCharType="separate"/>
      </w:r>
      <w:r>
        <w:rPr>
          <w:rStyle w:val="31"/>
          <w:rFonts w:ascii="宋体"/>
          <w:b/>
          <w:kern w:val="0"/>
        </w:rPr>
        <w:t>四、基金托管人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_Toc48122005 \h </w:instrText>
      </w:r>
      <w:r>
        <w:rPr>
          <w:rStyle w:val="31"/>
          <w:rFonts w:ascii="宋体" w:hAnsi="Times New Roman" w:eastAsia="宋体"/>
          <w:b/>
          <w:kern w:val="0"/>
        </w:rPr>
        <w:fldChar w:fldCharType="separate"/>
      </w:r>
      <w:r>
        <w:rPr>
          <w:rStyle w:val="31"/>
          <w:rFonts w:ascii="宋体" w:hAnsi="Times New Roman" w:eastAsia="宋体"/>
          <w:b/>
          <w:kern w:val="0"/>
        </w:rPr>
        <w:t>20</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2DD04AEA">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"_Toc48122006" </w:instrText>
      </w:r>
      <w:r>
        <w:fldChar w:fldCharType="separate"/>
      </w:r>
      <w:r>
        <w:rPr>
          <w:rStyle w:val="31"/>
          <w:rFonts w:ascii="宋体"/>
          <w:b/>
          <w:kern w:val="0"/>
        </w:rPr>
        <w:t>五、相关服务机构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_Toc48122006 \h </w:instrText>
      </w:r>
      <w:r>
        <w:rPr>
          <w:rStyle w:val="31"/>
          <w:rFonts w:ascii="宋体" w:hAnsi="Times New Roman" w:eastAsia="宋体"/>
          <w:b/>
          <w:kern w:val="0"/>
        </w:rPr>
        <w:fldChar w:fldCharType="separate"/>
      </w:r>
      <w:r>
        <w:rPr>
          <w:rStyle w:val="31"/>
          <w:rFonts w:ascii="宋体" w:hAnsi="Times New Roman" w:eastAsia="宋体"/>
          <w:b/>
          <w:kern w:val="0"/>
        </w:rPr>
        <w:t>24</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4081B238">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"_Toc48122007" </w:instrText>
      </w:r>
      <w:r>
        <w:fldChar w:fldCharType="separate"/>
      </w:r>
      <w:r>
        <w:rPr>
          <w:rStyle w:val="31"/>
          <w:rFonts w:ascii="宋体"/>
          <w:b/>
          <w:kern w:val="0"/>
        </w:rPr>
        <w:t>六、基金的募集</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_Toc48122007 \h </w:instrText>
      </w:r>
      <w:r>
        <w:rPr>
          <w:rStyle w:val="31"/>
          <w:rFonts w:ascii="宋体" w:hAnsi="Times New Roman" w:eastAsia="宋体"/>
          <w:b/>
          <w:kern w:val="0"/>
        </w:rPr>
        <w:fldChar w:fldCharType="separate"/>
      </w:r>
      <w:r>
        <w:rPr>
          <w:rStyle w:val="31"/>
          <w:rFonts w:ascii="宋体" w:hAnsi="Times New Roman" w:eastAsia="宋体"/>
          <w:b/>
          <w:kern w:val="0"/>
        </w:rPr>
        <w:t>27</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6B82FC7">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"_Toc48122008" </w:instrText>
      </w:r>
      <w:r>
        <w:fldChar w:fldCharType="separate"/>
      </w:r>
      <w:r>
        <w:rPr>
          <w:rStyle w:val="31"/>
          <w:rFonts w:ascii="宋体"/>
          <w:b/>
          <w:kern w:val="0"/>
        </w:rPr>
        <w:t>七、基金合同的生效</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_Toc48122008 \h </w:instrText>
      </w:r>
      <w:r>
        <w:rPr>
          <w:rStyle w:val="31"/>
          <w:rFonts w:ascii="宋体" w:hAnsi="Times New Roman" w:eastAsia="宋体"/>
          <w:b/>
          <w:kern w:val="0"/>
        </w:rPr>
        <w:fldChar w:fldCharType="separate"/>
      </w:r>
      <w:r>
        <w:rPr>
          <w:rStyle w:val="31"/>
          <w:rFonts w:ascii="宋体" w:hAnsi="Times New Roman" w:eastAsia="宋体"/>
          <w:b/>
          <w:kern w:val="0"/>
        </w:rPr>
        <w:t>33</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2231D2D8">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"_Toc48122009" </w:instrText>
      </w:r>
      <w:r>
        <w:fldChar w:fldCharType="separate"/>
      </w:r>
      <w:r>
        <w:rPr>
          <w:rStyle w:val="31"/>
          <w:rFonts w:ascii="宋体"/>
          <w:b/>
          <w:kern w:val="0"/>
        </w:rPr>
        <w:t>八、基金份额的申购与赎回</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_Toc48122009 \h </w:instrText>
      </w:r>
      <w:r>
        <w:rPr>
          <w:rStyle w:val="31"/>
          <w:rFonts w:ascii="宋体" w:hAnsi="Times New Roman" w:eastAsia="宋体"/>
          <w:b/>
          <w:kern w:val="0"/>
        </w:rPr>
        <w:fldChar w:fldCharType="separate"/>
      </w:r>
      <w:r>
        <w:rPr>
          <w:rStyle w:val="31"/>
          <w:rFonts w:ascii="宋体" w:hAnsi="Times New Roman" w:eastAsia="宋体"/>
          <w:b/>
          <w:kern w:val="0"/>
        </w:rPr>
        <w:t>35</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60FEF520">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"_Toc48122010" </w:instrText>
      </w:r>
      <w:r>
        <w:fldChar w:fldCharType="separate"/>
      </w:r>
      <w:r>
        <w:rPr>
          <w:rStyle w:val="31"/>
          <w:rFonts w:ascii="宋体"/>
          <w:b/>
          <w:kern w:val="0"/>
        </w:rPr>
        <w:t>九、基金的投资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_Toc48122010 \h </w:instrText>
      </w:r>
      <w:r>
        <w:rPr>
          <w:rStyle w:val="31"/>
          <w:rFonts w:ascii="宋体" w:hAnsi="Times New Roman" w:eastAsia="宋体"/>
          <w:b/>
          <w:kern w:val="0"/>
        </w:rPr>
        <w:fldChar w:fldCharType="separate"/>
      </w:r>
      <w:r>
        <w:rPr>
          <w:rStyle w:val="31"/>
          <w:rFonts w:ascii="宋体" w:hAnsi="Times New Roman" w:eastAsia="宋体"/>
          <w:b/>
          <w:kern w:val="0"/>
        </w:rPr>
        <w:t>49</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6D180F69">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"_Toc48122011" </w:instrText>
      </w:r>
      <w:r>
        <w:fldChar w:fldCharType="separate"/>
      </w:r>
      <w:r>
        <w:rPr>
          <w:rStyle w:val="31"/>
          <w:rFonts w:ascii="宋体"/>
          <w:b/>
          <w:kern w:val="0"/>
        </w:rPr>
        <w:t>十、基金的财产</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_Toc48122011 \h </w:instrText>
      </w:r>
      <w:r>
        <w:rPr>
          <w:rStyle w:val="31"/>
          <w:rFonts w:ascii="宋体" w:hAnsi="Times New Roman" w:eastAsia="宋体"/>
          <w:b/>
          <w:kern w:val="0"/>
        </w:rPr>
        <w:fldChar w:fldCharType="separate"/>
      </w:r>
      <w:r>
        <w:rPr>
          <w:rStyle w:val="31"/>
          <w:rFonts w:ascii="宋体" w:hAnsi="Times New Roman" w:eastAsia="宋体"/>
          <w:b/>
          <w:kern w:val="0"/>
        </w:rPr>
        <w:t>60</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6E416475">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"_Toc48122012" </w:instrText>
      </w:r>
      <w:r>
        <w:fldChar w:fldCharType="separate"/>
      </w:r>
      <w:r>
        <w:rPr>
          <w:rStyle w:val="31"/>
          <w:rFonts w:ascii="宋体"/>
          <w:b/>
          <w:kern w:val="0"/>
        </w:rPr>
        <w:t>十一、基金资产的估值</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_Toc48122012 \h </w:instrText>
      </w:r>
      <w:r>
        <w:rPr>
          <w:rStyle w:val="31"/>
          <w:rFonts w:ascii="宋体" w:hAnsi="Times New Roman" w:eastAsia="宋体"/>
          <w:b/>
          <w:kern w:val="0"/>
        </w:rPr>
        <w:fldChar w:fldCharType="separate"/>
      </w:r>
      <w:r>
        <w:rPr>
          <w:rStyle w:val="31"/>
          <w:rFonts w:ascii="宋体" w:hAnsi="Times New Roman" w:eastAsia="宋体"/>
          <w:b/>
          <w:kern w:val="0"/>
        </w:rPr>
        <w:t>61</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93871C6">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"_Toc48122013" </w:instrText>
      </w:r>
      <w:r>
        <w:fldChar w:fldCharType="separate"/>
      </w:r>
      <w:r>
        <w:rPr>
          <w:rStyle w:val="31"/>
          <w:rFonts w:ascii="宋体"/>
          <w:b/>
          <w:kern w:val="0"/>
        </w:rPr>
        <w:t>十二、基金收益与分配</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_Toc48122013 \h </w:instrText>
      </w:r>
      <w:r>
        <w:rPr>
          <w:rStyle w:val="31"/>
          <w:rFonts w:ascii="宋体" w:hAnsi="Times New Roman" w:eastAsia="宋体"/>
          <w:b/>
          <w:kern w:val="0"/>
        </w:rPr>
        <w:fldChar w:fldCharType="separate"/>
      </w:r>
      <w:r>
        <w:rPr>
          <w:rStyle w:val="31"/>
          <w:rFonts w:ascii="宋体" w:hAnsi="Times New Roman" w:eastAsia="宋体"/>
          <w:b/>
          <w:kern w:val="0"/>
        </w:rPr>
        <w:t>67</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4F39724E">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"_Toc48122014" </w:instrText>
      </w:r>
      <w:r>
        <w:fldChar w:fldCharType="separate"/>
      </w:r>
      <w:r>
        <w:rPr>
          <w:rStyle w:val="31"/>
          <w:rFonts w:ascii="宋体"/>
          <w:b/>
          <w:kern w:val="0"/>
        </w:rPr>
        <w:t>十三、基金的费用与税收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_Toc48122014 \h </w:instrText>
      </w:r>
      <w:r>
        <w:rPr>
          <w:rStyle w:val="31"/>
          <w:rFonts w:ascii="宋体" w:hAnsi="Times New Roman" w:eastAsia="宋体"/>
          <w:b/>
          <w:kern w:val="0"/>
        </w:rPr>
        <w:fldChar w:fldCharType="separate"/>
      </w:r>
      <w:r>
        <w:rPr>
          <w:rStyle w:val="31"/>
          <w:rFonts w:ascii="宋体" w:hAnsi="Times New Roman" w:eastAsia="宋体"/>
          <w:b/>
          <w:kern w:val="0"/>
        </w:rPr>
        <w:t>69</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1D723397">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"_Toc48122015" </w:instrText>
      </w:r>
      <w:r>
        <w:fldChar w:fldCharType="separate"/>
      </w:r>
      <w:r>
        <w:rPr>
          <w:rStyle w:val="31"/>
          <w:rFonts w:ascii="宋体"/>
          <w:b/>
          <w:kern w:val="0"/>
        </w:rPr>
        <w:t>十四、基金的会计与审计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_Toc48122015 \h </w:instrText>
      </w:r>
      <w:r>
        <w:rPr>
          <w:rStyle w:val="31"/>
          <w:rFonts w:ascii="宋体" w:hAnsi="Times New Roman" w:eastAsia="宋体"/>
          <w:b/>
          <w:kern w:val="0"/>
        </w:rPr>
        <w:fldChar w:fldCharType="separate"/>
      </w:r>
      <w:r>
        <w:rPr>
          <w:rStyle w:val="31"/>
          <w:rFonts w:ascii="宋体" w:hAnsi="Times New Roman" w:eastAsia="宋体"/>
          <w:b/>
          <w:kern w:val="0"/>
        </w:rPr>
        <w:t>72</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3B10EF5">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"_Toc48122016" </w:instrText>
      </w:r>
      <w:r>
        <w:fldChar w:fldCharType="separate"/>
      </w:r>
      <w:r>
        <w:rPr>
          <w:rStyle w:val="31"/>
          <w:rFonts w:ascii="宋体"/>
          <w:b/>
          <w:kern w:val="0"/>
        </w:rPr>
        <w:t>十五、基金的信息披露</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_Toc48122016 \h </w:instrText>
      </w:r>
      <w:r>
        <w:rPr>
          <w:rStyle w:val="31"/>
          <w:rFonts w:ascii="宋体" w:hAnsi="Times New Roman" w:eastAsia="宋体"/>
          <w:b/>
          <w:kern w:val="0"/>
        </w:rPr>
        <w:fldChar w:fldCharType="separate"/>
      </w:r>
      <w:r>
        <w:rPr>
          <w:rStyle w:val="31"/>
          <w:rFonts w:ascii="宋体" w:hAnsi="Times New Roman" w:eastAsia="宋体"/>
          <w:b/>
          <w:kern w:val="0"/>
        </w:rPr>
        <w:t>73</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1BE832F7">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"_Toc48122017" </w:instrText>
      </w:r>
      <w:r>
        <w:fldChar w:fldCharType="separate"/>
      </w:r>
      <w:r>
        <w:rPr>
          <w:rStyle w:val="31"/>
          <w:rFonts w:ascii="宋体"/>
          <w:b/>
          <w:kern w:val="0"/>
        </w:rPr>
        <w:t>十六、侧袋机制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_Toc48122017 \h </w:instrText>
      </w:r>
      <w:r>
        <w:rPr>
          <w:rStyle w:val="31"/>
          <w:rFonts w:ascii="宋体" w:hAnsi="Times New Roman" w:eastAsia="宋体"/>
          <w:b/>
          <w:kern w:val="0"/>
        </w:rPr>
        <w:fldChar w:fldCharType="separate"/>
      </w:r>
      <w:r>
        <w:rPr>
          <w:rStyle w:val="31"/>
          <w:rFonts w:ascii="宋体" w:hAnsi="Times New Roman" w:eastAsia="宋体"/>
          <w:b/>
          <w:kern w:val="0"/>
        </w:rPr>
        <w:t>80</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E42E2D0">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"_Toc48122018" </w:instrText>
      </w:r>
      <w:r>
        <w:fldChar w:fldCharType="separate"/>
      </w:r>
      <w:r>
        <w:rPr>
          <w:rStyle w:val="31"/>
          <w:rFonts w:ascii="宋体"/>
          <w:b/>
          <w:kern w:val="0"/>
        </w:rPr>
        <w:t>十七、风险揭示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_Toc48122018 \h </w:instrText>
      </w:r>
      <w:r>
        <w:rPr>
          <w:rStyle w:val="31"/>
          <w:rFonts w:ascii="宋体" w:hAnsi="Times New Roman" w:eastAsia="宋体"/>
          <w:b/>
          <w:kern w:val="0"/>
        </w:rPr>
        <w:fldChar w:fldCharType="separate"/>
      </w:r>
      <w:r>
        <w:rPr>
          <w:rStyle w:val="31"/>
          <w:rFonts w:ascii="宋体" w:hAnsi="Times New Roman" w:eastAsia="宋体"/>
          <w:b/>
          <w:kern w:val="0"/>
        </w:rPr>
        <w:t>83</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5A8EEB2A">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"_Toc48122019" </w:instrText>
      </w:r>
      <w:r>
        <w:fldChar w:fldCharType="separate"/>
      </w:r>
      <w:r>
        <w:rPr>
          <w:rStyle w:val="31"/>
          <w:b/>
          <w:kern w:val="0"/>
        </w:rPr>
        <w:t>十八、基金合同的变更、终止与基金财产的清算</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_Toc48122019 \h </w:instrText>
      </w:r>
      <w:r>
        <w:rPr>
          <w:rStyle w:val="31"/>
          <w:rFonts w:ascii="宋体" w:hAnsi="Times New Roman" w:eastAsia="宋体"/>
          <w:b/>
          <w:kern w:val="0"/>
        </w:rPr>
        <w:fldChar w:fldCharType="separate"/>
      </w:r>
      <w:r>
        <w:rPr>
          <w:rStyle w:val="31"/>
          <w:rFonts w:ascii="宋体" w:hAnsi="Times New Roman" w:eastAsia="宋体"/>
          <w:b/>
          <w:kern w:val="0"/>
        </w:rPr>
        <w:t>94</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413227C">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"_Toc48122020" </w:instrText>
      </w:r>
      <w:r>
        <w:fldChar w:fldCharType="separate"/>
      </w:r>
      <w:r>
        <w:rPr>
          <w:rStyle w:val="31"/>
          <w:rFonts w:ascii="宋体"/>
          <w:b/>
          <w:kern w:val="0"/>
        </w:rPr>
        <w:t>十九、基金合同内容摘要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_Toc48122020 \h </w:instrText>
      </w:r>
      <w:r>
        <w:rPr>
          <w:rStyle w:val="31"/>
          <w:rFonts w:ascii="宋体" w:hAnsi="Times New Roman" w:eastAsia="宋体"/>
          <w:b/>
          <w:kern w:val="0"/>
        </w:rPr>
        <w:fldChar w:fldCharType="separate"/>
      </w:r>
      <w:r>
        <w:rPr>
          <w:rStyle w:val="31"/>
          <w:rFonts w:ascii="宋体" w:hAnsi="Times New Roman" w:eastAsia="宋体"/>
          <w:b/>
          <w:kern w:val="0"/>
        </w:rPr>
        <w:t>97</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63CE346E">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"_Toc48122021" </w:instrText>
      </w:r>
      <w:r>
        <w:fldChar w:fldCharType="separate"/>
      </w:r>
      <w:r>
        <w:rPr>
          <w:rStyle w:val="31"/>
          <w:rFonts w:ascii="宋体"/>
          <w:b/>
          <w:kern w:val="0"/>
        </w:rPr>
        <w:t>二十、托管协议的内容摘要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_Toc48122021 \h </w:instrText>
      </w:r>
      <w:r>
        <w:rPr>
          <w:rStyle w:val="31"/>
          <w:rFonts w:ascii="宋体" w:hAnsi="Times New Roman" w:eastAsia="宋体"/>
          <w:b/>
          <w:kern w:val="0"/>
        </w:rPr>
        <w:fldChar w:fldCharType="separate"/>
      </w:r>
      <w:r>
        <w:rPr>
          <w:rStyle w:val="31"/>
          <w:rFonts w:ascii="宋体" w:hAnsi="Times New Roman" w:eastAsia="宋体"/>
          <w:b/>
          <w:kern w:val="0"/>
        </w:rPr>
        <w:t>116</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1B3F7BCE">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"_Toc48122022" </w:instrText>
      </w:r>
      <w:r>
        <w:fldChar w:fldCharType="separate"/>
      </w:r>
      <w:r>
        <w:rPr>
          <w:rStyle w:val="31"/>
          <w:rFonts w:ascii="宋体"/>
          <w:b/>
          <w:kern w:val="0"/>
        </w:rPr>
        <w:t>二十一、对基金份额持有人的服务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_Toc48122022 \h </w:instrText>
      </w:r>
      <w:r>
        <w:rPr>
          <w:rStyle w:val="31"/>
          <w:rFonts w:ascii="宋体" w:hAnsi="Times New Roman" w:eastAsia="宋体"/>
          <w:b/>
          <w:kern w:val="0"/>
        </w:rPr>
        <w:fldChar w:fldCharType="separate"/>
      </w:r>
      <w:r>
        <w:rPr>
          <w:rStyle w:val="31"/>
          <w:rFonts w:ascii="宋体" w:hAnsi="Times New Roman" w:eastAsia="宋体"/>
          <w:b/>
          <w:kern w:val="0"/>
        </w:rPr>
        <w:t>137</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44A4FAF3">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"_Toc48122023" </w:instrText>
      </w:r>
      <w:r>
        <w:fldChar w:fldCharType="separate"/>
      </w:r>
      <w:r>
        <w:rPr>
          <w:rStyle w:val="31"/>
          <w:rFonts w:ascii="宋体"/>
          <w:b/>
          <w:kern w:val="0"/>
        </w:rPr>
        <w:t>二十二、其他应披露事项</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_Toc48122023 \h </w:instrText>
      </w:r>
      <w:r>
        <w:rPr>
          <w:rStyle w:val="31"/>
          <w:rFonts w:ascii="宋体" w:hAnsi="Times New Roman" w:eastAsia="宋体"/>
          <w:b/>
          <w:kern w:val="0"/>
        </w:rPr>
        <w:fldChar w:fldCharType="separate"/>
      </w:r>
      <w:r>
        <w:rPr>
          <w:rStyle w:val="31"/>
          <w:rFonts w:ascii="宋体" w:hAnsi="Times New Roman" w:eastAsia="宋体"/>
          <w:b/>
          <w:kern w:val="0"/>
        </w:rPr>
        <w:t>139</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339362C8">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"_Toc48122024" </w:instrText>
      </w:r>
      <w:r>
        <w:fldChar w:fldCharType="separate"/>
      </w:r>
      <w:r>
        <w:rPr>
          <w:rStyle w:val="31"/>
          <w:rFonts w:ascii="宋体"/>
          <w:b/>
          <w:kern w:val="0"/>
        </w:rPr>
        <w:t>二十三、招募说明书的存放及查阅方式</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_Toc48122024 \h </w:instrText>
      </w:r>
      <w:r>
        <w:rPr>
          <w:rStyle w:val="31"/>
          <w:rFonts w:ascii="宋体" w:hAnsi="Times New Roman" w:eastAsia="宋体"/>
          <w:b/>
          <w:kern w:val="0"/>
        </w:rPr>
        <w:fldChar w:fldCharType="separate"/>
      </w:r>
      <w:r>
        <w:rPr>
          <w:rStyle w:val="31"/>
          <w:rFonts w:ascii="宋体" w:hAnsi="Times New Roman" w:eastAsia="宋体"/>
          <w:b/>
          <w:kern w:val="0"/>
        </w:rPr>
        <w:t>140</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40601041">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"_Toc48122025" </w:instrText>
      </w:r>
      <w:r>
        <w:fldChar w:fldCharType="separate"/>
      </w:r>
      <w:r>
        <w:rPr>
          <w:rStyle w:val="31"/>
          <w:rFonts w:ascii="宋体"/>
          <w:b/>
          <w:kern w:val="0"/>
        </w:rPr>
        <w:t>二十四、备查文件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_Toc48122025 \h </w:instrText>
      </w:r>
      <w:r>
        <w:rPr>
          <w:rStyle w:val="31"/>
          <w:rFonts w:ascii="宋体" w:hAnsi="Times New Roman" w:eastAsia="宋体"/>
          <w:b/>
          <w:kern w:val="0"/>
        </w:rPr>
        <w:fldChar w:fldCharType="separate"/>
      </w:r>
      <w:r>
        <w:rPr>
          <w:rStyle w:val="31"/>
          <w:rFonts w:ascii="宋体" w:hAnsi="Times New Roman" w:eastAsia="宋体"/>
          <w:b/>
          <w:kern w:val="0"/>
        </w:rPr>
        <w:t>141</w:t>
      </w:r>
      <w:r>
        <w:rPr>
          <w:rStyle w:val="31"/>
          <w:rFonts w:ascii="宋体" w:hAnsi="Times New Roman" w:eastAsia="宋体"/>
          <w:b/>
          <w:kern w:val="0"/>
        </w:rPr>
        <w:fldChar w:fldCharType="end"/>
      </w:r>
      <w:r>
        <w:rPr>
          <w:rStyle w:val="31"/>
          <w:rFonts w:ascii="宋体" w:hAnsi="Times New Roman" w:eastAsia="宋体"/>
          <w:b/>
          <w:kern w:val="0"/>
        </w:rPr>
        <w:fldChar w:fldCharType="end"/>
      </w:r>
    </w:p>
    <w:p w14:paraId="04E51CAA">
      <w:pPr>
        <w:adjustRightInd w:val="0"/>
        <w:snapToGrid w:val="0"/>
      </w:pPr>
      <w:r>
        <w:fldChar w:fldCharType="end"/>
      </w:r>
    </w:p>
    <w:p w14:paraId="35B950A6">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48122002"/>
      <w:r>
        <w:rPr>
          <w:rFonts w:hint="eastAsia" w:ascii="宋体" w:hAnsi="宋体"/>
          <w:b/>
          <w:kern w:val="0"/>
          <w:sz w:val="30"/>
        </w:rPr>
        <w:t>一、绪言</w:t>
      </w:r>
      <w:bookmarkEnd w:id="0"/>
      <w:bookmarkEnd w:id="1"/>
    </w:p>
    <w:p w14:paraId="741455CC">
      <w:pPr>
        <w:widowControl/>
        <w:adjustRightInd w:val="0"/>
        <w:snapToGrid w:val="0"/>
        <w:spacing w:line="360" w:lineRule="auto"/>
        <w:ind w:firstLine="480" w:firstLineChars="200"/>
        <w:rPr>
          <w:kern w:val="0"/>
          <w:sz w:val="24"/>
        </w:rPr>
      </w:pPr>
      <w:r>
        <w:rPr>
          <w:rFonts w:ascii="宋体" w:hAnsi="宋体"/>
          <w:kern w:val="0"/>
          <w:sz w:val="24"/>
        </w:rPr>
        <w:t>《</w:t>
      </w:r>
      <w:r>
        <w:rPr>
          <w:rFonts w:hint="eastAsia" w:ascii="宋体" w:hAnsi="宋体"/>
          <w:kern w:val="0"/>
          <w:sz w:val="24"/>
        </w:rPr>
        <w:t>交银施罗德消费研选混合型发起式证券投资基金</w:t>
      </w:r>
      <w:r>
        <w:rPr>
          <w:rFonts w:ascii="宋体" w:hAnsi="宋体"/>
          <w:kern w:val="0"/>
          <w:sz w:val="24"/>
        </w:rPr>
        <w:t>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w:t>
      </w:r>
      <w:r>
        <w:rPr>
          <w:rFonts w:hint="eastAsia" w:ascii="宋体" w:hAnsi="宋体"/>
          <w:kern w:val="0"/>
          <w:sz w:val="24"/>
        </w:rPr>
        <w:t>交银施罗德消费研选混合型发起式证券投资基金</w:t>
      </w:r>
      <w:r>
        <w:rPr>
          <w:rFonts w:ascii="宋体" w:hAnsi="宋体"/>
          <w:kern w:val="0"/>
          <w:sz w:val="24"/>
        </w:rPr>
        <w:t>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14:paraId="3027812A">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14:paraId="1147F866">
      <w:pPr>
        <w:widowControl/>
        <w:adjustRightInd w:val="0"/>
        <w:snapToGrid w:val="0"/>
        <w:spacing w:line="360" w:lineRule="auto"/>
        <w:ind w:firstLine="480" w:firstLineChars="200"/>
        <w:rPr>
          <w:rFonts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05E5304">
      <w:pPr>
        <w:widowControl/>
        <w:adjustRightInd w:val="0"/>
        <w:snapToGrid w:val="0"/>
        <w:spacing w:before="143" w:beforeLines="50" w:after="143" w:afterLines="50"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48122003"/>
      <w:r>
        <w:rPr>
          <w:rFonts w:hint="eastAsia" w:ascii="宋体" w:hAnsi="宋体"/>
          <w:b/>
          <w:kern w:val="0"/>
          <w:sz w:val="30"/>
        </w:rPr>
        <w:t>二、释义</w:t>
      </w:r>
      <w:bookmarkEnd w:id="2"/>
      <w:bookmarkEnd w:id="3"/>
    </w:p>
    <w:p w14:paraId="2A44A331">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14:paraId="78F5FD57">
      <w:pPr>
        <w:adjustRightInd w:val="0"/>
        <w:snapToGrid w:val="0"/>
        <w:spacing w:line="360" w:lineRule="auto"/>
        <w:ind w:firstLine="480" w:firstLineChars="200"/>
        <w:rPr>
          <w:bCs/>
          <w:sz w:val="24"/>
        </w:rPr>
      </w:pPr>
      <w:bookmarkStart w:id="4" w:name="_Hlk49340113"/>
      <w:r>
        <w:rPr>
          <w:rFonts w:hint="eastAsia"/>
          <w:bCs/>
          <w:sz w:val="24"/>
        </w:rPr>
        <w:t>1、基金或本基金：指交银施罗德消费研选混合型发起式证券投资基金</w:t>
      </w:r>
    </w:p>
    <w:p w14:paraId="3EBA2DB8">
      <w:pPr>
        <w:adjustRightInd w:val="0"/>
        <w:snapToGrid w:val="0"/>
        <w:spacing w:line="360" w:lineRule="auto"/>
        <w:ind w:firstLine="480" w:firstLineChars="200"/>
        <w:rPr>
          <w:bCs/>
          <w:sz w:val="24"/>
        </w:rPr>
      </w:pPr>
      <w:r>
        <w:rPr>
          <w:rFonts w:hint="eastAsia"/>
          <w:bCs/>
          <w:sz w:val="24"/>
        </w:rPr>
        <w:t>2、基金管理人：指交银施罗德基金管理有限公司</w:t>
      </w:r>
    </w:p>
    <w:p w14:paraId="082C4462">
      <w:pPr>
        <w:adjustRightInd w:val="0"/>
        <w:snapToGrid w:val="0"/>
        <w:spacing w:line="360" w:lineRule="auto"/>
        <w:ind w:firstLine="480" w:firstLineChars="200"/>
        <w:rPr>
          <w:bCs/>
          <w:sz w:val="24"/>
        </w:rPr>
      </w:pPr>
      <w:r>
        <w:rPr>
          <w:rFonts w:hint="eastAsia"/>
          <w:bCs/>
          <w:sz w:val="24"/>
        </w:rPr>
        <w:t>3、基金托管人：指中国农业银行股份有限公司</w:t>
      </w:r>
    </w:p>
    <w:p w14:paraId="66561D1B">
      <w:pPr>
        <w:adjustRightInd w:val="0"/>
        <w:snapToGrid w:val="0"/>
        <w:spacing w:line="360" w:lineRule="auto"/>
        <w:ind w:firstLine="480" w:firstLineChars="200"/>
        <w:rPr>
          <w:bCs/>
          <w:sz w:val="24"/>
        </w:rPr>
      </w:pPr>
      <w:r>
        <w:rPr>
          <w:rFonts w:hint="eastAsia"/>
          <w:bCs/>
          <w:sz w:val="24"/>
        </w:rPr>
        <w:t>4、基金合同、《基金合同》：指《交银施罗德消费研选混合型发起式证券投资基金基金合同》及对基金合同的任何有效修订和补充</w:t>
      </w:r>
    </w:p>
    <w:p w14:paraId="228ED476">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5、托管协议：指基金管理人与基金托管人就本基金签订之《交银施罗德消费研选混合型发起式证券投资基金托管协议》及对该托管协议的任何有效修订和补充</w:t>
      </w:r>
    </w:p>
    <w:p w14:paraId="07AD99D4">
      <w:pPr>
        <w:adjustRightInd w:val="0"/>
        <w:snapToGrid w:val="0"/>
        <w:spacing w:line="360" w:lineRule="auto"/>
        <w:ind w:firstLine="480" w:firstLineChars="200"/>
        <w:rPr>
          <w:bCs/>
          <w:sz w:val="24"/>
        </w:rPr>
      </w:pPr>
      <w:r>
        <w:rPr>
          <w:rFonts w:hint="eastAsia"/>
          <w:bCs/>
          <w:sz w:val="24"/>
        </w:rPr>
        <w:t>6、招募说明书、《招募说明书》或本招募说明书：指《交银施罗德消费研选混合型发起式证券投资基金招募说明书》及其更新</w:t>
      </w:r>
    </w:p>
    <w:p w14:paraId="39228B0C">
      <w:pPr>
        <w:adjustRightInd w:val="0"/>
        <w:snapToGrid w:val="0"/>
        <w:spacing w:line="360" w:lineRule="auto"/>
        <w:ind w:firstLine="480" w:firstLineChars="200"/>
        <w:rPr>
          <w:bCs/>
          <w:sz w:val="24"/>
        </w:rPr>
      </w:pPr>
      <w:r>
        <w:rPr>
          <w:rFonts w:hint="eastAsia"/>
          <w:bCs/>
          <w:sz w:val="24"/>
        </w:rPr>
        <w:t>7、基金产品资料概要：指《交银施罗德消费研选混合型发起式证券投资基金基金产品资料概要》及其更新</w:t>
      </w:r>
    </w:p>
    <w:p w14:paraId="146713CF">
      <w:pPr>
        <w:adjustRightInd w:val="0"/>
        <w:snapToGrid w:val="0"/>
        <w:spacing w:line="360" w:lineRule="auto"/>
        <w:ind w:firstLine="480" w:firstLineChars="200"/>
        <w:rPr>
          <w:bCs/>
          <w:sz w:val="24"/>
        </w:rPr>
      </w:pPr>
      <w:r>
        <w:rPr>
          <w:rFonts w:hint="eastAsia"/>
          <w:bCs/>
          <w:sz w:val="24"/>
        </w:rPr>
        <w:t>8、基金份额发售公告：指《交银施罗德消费研选混合型发起式证券投资基金基金份额发售公告》</w:t>
      </w:r>
    </w:p>
    <w:p w14:paraId="010EDC90">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6AAC6F03">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14:paraId="549259D0">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w:t>
      </w:r>
      <w:r>
        <w:rPr>
          <w:bCs/>
          <w:sz w:val="24"/>
        </w:rPr>
        <w:t>公开募集证券投资基金销售机构监督管理办法</w:t>
      </w:r>
      <w:r>
        <w:rPr>
          <w:rFonts w:hint="eastAsia"/>
          <w:bCs/>
          <w:sz w:val="24"/>
        </w:rPr>
        <w:t>》及颁布机关对其不时做出的修订</w:t>
      </w:r>
    </w:p>
    <w:p w14:paraId="23064721">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14:paraId="6F56EAD3">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14:paraId="76A1514E">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14:paraId="638071EE">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14:paraId="723FB600">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14:paraId="672833CB">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14:paraId="5B71B8DC">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14:paraId="72856955">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2AC803C">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629D2F9">
      <w:pPr>
        <w:adjustRightInd w:val="0"/>
        <w:snapToGrid w:val="0"/>
        <w:spacing w:line="360" w:lineRule="auto"/>
        <w:ind w:firstLine="480" w:firstLineChars="20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、合格境外投资者、发起资金提供方</w:t>
      </w:r>
      <w:r>
        <w:rPr>
          <w:bCs/>
          <w:sz w:val="24"/>
        </w:rPr>
        <w:t>以及法律法规或中国证监会允许购买证券投资基金的其他投资人的合称</w:t>
      </w:r>
    </w:p>
    <w:p w14:paraId="2B598F15">
      <w:pPr>
        <w:adjustRightInd w:val="0"/>
        <w:snapToGrid w:val="0"/>
        <w:spacing w:line="360" w:lineRule="auto"/>
        <w:ind w:firstLine="480" w:firstLineChars="200"/>
        <w:rPr>
          <w:bCs/>
          <w:sz w:val="24"/>
        </w:rPr>
      </w:pPr>
      <w:r>
        <w:rPr>
          <w:rFonts w:hint="eastAsia"/>
          <w:bCs/>
          <w:sz w:val="24"/>
        </w:rPr>
        <w:t>2</w:t>
      </w:r>
      <w:r>
        <w:rPr>
          <w:bCs/>
          <w:sz w:val="24"/>
        </w:rPr>
        <w:t>2</w:t>
      </w:r>
      <w:r>
        <w:rPr>
          <w:rFonts w:hint="eastAsia"/>
          <w:bCs/>
          <w:sz w:val="24"/>
        </w:rPr>
        <w:t>、基金份额持有人：指依基金合同和招募说明书合法取得基金份额的投资人</w:t>
      </w:r>
    </w:p>
    <w:p w14:paraId="153FBA19">
      <w:pPr>
        <w:adjustRightInd w:val="0"/>
        <w:snapToGrid w:val="0"/>
        <w:spacing w:line="360" w:lineRule="auto"/>
        <w:ind w:firstLine="480" w:firstLineChars="200"/>
        <w:rPr>
          <w:bCs/>
          <w:sz w:val="24"/>
        </w:rPr>
      </w:pPr>
      <w:r>
        <w:rPr>
          <w:rFonts w:hint="eastAsia"/>
          <w:bCs/>
          <w:sz w:val="24"/>
        </w:rPr>
        <w:t>2</w:t>
      </w:r>
      <w:r>
        <w:rPr>
          <w:bCs/>
          <w:sz w:val="24"/>
        </w:rPr>
        <w:t>3</w:t>
      </w:r>
      <w:r>
        <w:rPr>
          <w:rFonts w:hint="eastAsia"/>
          <w:bCs/>
          <w:sz w:val="24"/>
        </w:rPr>
        <w:t>、基金销售业务：指基金管理人或销售机构宣传推介基金，发售基金份额，办理基金份额的申购、赎回、转换、转托管及定期定额投资等业务</w:t>
      </w:r>
    </w:p>
    <w:p w14:paraId="4211E669">
      <w:pPr>
        <w:adjustRightInd w:val="0"/>
        <w:snapToGrid w:val="0"/>
        <w:spacing w:line="360" w:lineRule="auto"/>
        <w:ind w:firstLine="480" w:firstLineChars="200"/>
        <w:rPr>
          <w:bCs/>
          <w:sz w:val="24"/>
        </w:rPr>
      </w:pPr>
      <w:r>
        <w:rPr>
          <w:rFonts w:hint="eastAsia"/>
          <w:bCs/>
          <w:sz w:val="24"/>
        </w:rPr>
        <w:t>2</w:t>
      </w:r>
      <w:r>
        <w:rPr>
          <w:bCs/>
          <w:sz w:val="24"/>
        </w:rPr>
        <w:t>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7E12FA5D">
      <w:pPr>
        <w:adjustRightInd w:val="0"/>
        <w:snapToGrid w:val="0"/>
        <w:spacing w:line="360" w:lineRule="auto"/>
        <w:ind w:firstLine="480" w:firstLineChars="200"/>
        <w:rPr>
          <w:bCs/>
          <w:sz w:val="24"/>
        </w:rPr>
      </w:pPr>
      <w:r>
        <w:rPr>
          <w:rFonts w:hint="eastAsia"/>
          <w:bCs/>
          <w:sz w:val="24"/>
        </w:rPr>
        <w:t>2</w:t>
      </w:r>
      <w:r>
        <w:rPr>
          <w:bCs/>
          <w:sz w:val="24"/>
        </w:rPr>
        <w:t>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0A00812">
      <w:pPr>
        <w:adjustRightInd w:val="0"/>
        <w:snapToGrid w:val="0"/>
        <w:spacing w:line="360" w:lineRule="auto"/>
        <w:ind w:firstLine="480" w:firstLineChars="200"/>
        <w:rPr>
          <w:bCs/>
          <w:sz w:val="24"/>
        </w:rPr>
      </w:pPr>
      <w:r>
        <w:rPr>
          <w:rFonts w:hint="eastAsia"/>
          <w:bCs/>
          <w:sz w:val="24"/>
        </w:rPr>
        <w:t>2</w:t>
      </w:r>
      <w:r>
        <w:rPr>
          <w:bCs/>
          <w:sz w:val="24"/>
        </w:rPr>
        <w:t>6</w:t>
      </w:r>
      <w:r>
        <w:rPr>
          <w:rFonts w:hint="eastAsia"/>
          <w:bCs/>
          <w:sz w:val="24"/>
        </w:rPr>
        <w:t>、登记机构：指办理登记业务的机构。基金的登记机构为交银施罗德基金管理有限公司或接受交银施罗德基金管理有限公司委托代为办理登记业务的机构</w:t>
      </w:r>
    </w:p>
    <w:p w14:paraId="340866C2">
      <w:pPr>
        <w:adjustRightInd w:val="0"/>
        <w:snapToGrid w:val="0"/>
        <w:spacing w:line="360" w:lineRule="auto"/>
        <w:ind w:firstLine="480" w:firstLineChars="200"/>
        <w:rPr>
          <w:bCs/>
          <w:sz w:val="24"/>
        </w:rPr>
      </w:pPr>
      <w:r>
        <w:rPr>
          <w:rFonts w:hint="eastAsia"/>
          <w:bCs/>
          <w:sz w:val="24"/>
        </w:rPr>
        <w:t>2</w:t>
      </w:r>
      <w:r>
        <w:rPr>
          <w:bCs/>
          <w:sz w:val="24"/>
        </w:rPr>
        <w:t>7</w:t>
      </w:r>
      <w:r>
        <w:rPr>
          <w:rFonts w:hint="eastAsia"/>
          <w:bCs/>
          <w:sz w:val="24"/>
        </w:rPr>
        <w:t>、基金账户：指登记机构为投资人开立的、记录其持有的、基金管理人所管理的基金份额余额及其变动情况的账户</w:t>
      </w:r>
    </w:p>
    <w:p w14:paraId="0921DBFC">
      <w:pPr>
        <w:adjustRightInd w:val="0"/>
        <w:snapToGrid w:val="0"/>
        <w:spacing w:line="360" w:lineRule="auto"/>
        <w:ind w:firstLine="480" w:firstLineChars="200"/>
        <w:rPr>
          <w:bCs/>
          <w:sz w:val="24"/>
        </w:rPr>
      </w:pPr>
      <w:r>
        <w:rPr>
          <w:rFonts w:hint="eastAsia"/>
          <w:bCs/>
          <w:sz w:val="24"/>
        </w:rPr>
        <w:t>2</w:t>
      </w:r>
      <w:r>
        <w:rPr>
          <w:bCs/>
          <w:sz w:val="24"/>
        </w:rPr>
        <w:t>8</w:t>
      </w:r>
      <w:r>
        <w:rPr>
          <w:rFonts w:hint="eastAsia"/>
          <w:bCs/>
          <w:sz w:val="24"/>
        </w:rPr>
        <w:t>、基金交易账户：指销售机构为投资人开立的、记录投资人通过该销售机构办理认购、申购、赎回、转换及转托管等业务而引起的基金份额变动及结余情况的账户</w:t>
      </w:r>
    </w:p>
    <w:p w14:paraId="264EAB6D">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3E361558">
      <w:pPr>
        <w:adjustRightInd w:val="0"/>
        <w:snapToGrid w:val="0"/>
        <w:spacing w:line="360" w:lineRule="auto"/>
        <w:ind w:firstLine="480" w:firstLineChars="200"/>
        <w:rPr>
          <w:bCs/>
          <w:sz w:val="24"/>
        </w:rPr>
      </w:pPr>
      <w:r>
        <w:rPr>
          <w:rFonts w:hint="eastAsia"/>
          <w:bCs/>
          <w:sz w:val="24"/>
        </w:rPr>
        <w:t>3</w:t>
      </w:r>
      <w:r>
        <w:rPr>
          <w:bCs/>
          <w:sz w:val="24"/>
        </w:rPr>
        <w:t>0</w:t>
      </w:r>
      <w:r>
        <w:rPr>
          <w:rFonts w:hint="eastAsia"/>
          <w:bCs/>
          <w:sz w:val="24"/>
        </w:rPr>
        <w:t>、基金合同终止日：指基金合同规定的基金合同终止事由出现后，基金财产清算完毕，清算结果报中国证监会备案并予以公告的日期</w:t>
      </w:r>
    </w:p>
    <w:p w14:paraId="1187161C">
      <w:pPr>
        <w:adjustRightInd w:val="0"/>
        <w:snapToGrid w:val="0"/>
        <w:spacing w:line="360" w:lineRule="auto"/>
        <w:ind w:firstLine="480" w:firstLineChars="200"/>
        <w:rPr>
          <w:bCs/>
          <w:sz w:val="24"/>
        </w:rPr>
      </w:pPr>
      <w:r>
        <w:rPr>
          <w:rFonts w:hint="eastAsia"/>
          <w:bCs/>
          <w:sz w:val="24"/>
        </w:rPr>
        <w:t>3</w:t>
      </w:r>
      <w:r>
        <w:rPr>
          <w:bCs/>
          <w:sz w:val="24"/>
        </w:rPr>
        <w:t>1</w:t>
      </w:r>
      <w:r>
        <w:rPr>
          <w:rFonts w:hint="eastAsia"/>
          <w:bCs/>
          <w:sz w:val="24"/>
        </w:rPr>
        <w:t>、基金募集期：指自基金份额发售之日起至发售结束之日止的期间，最长不得超过3个月</w:t>
      </w:r>
    </w:p>
    <w:p w14:paraId="1B0BFD54">
      <w:pPr>
        <w:adjustRightInd w:val="0"/>
        <w:snapToGrid w:val="0"/>
        <w:spacing w:line="360" w:lineRule="auto"/>
        <w:ind w:firstLine="480" w:firstLineChars="200"/>
        <w:rPr>
          <w:bCs/>
          <w:sz w:val="24"/>
        </w:rPr>
      </w:pPr>
      <w:r>
        <w:rPr>
          <w:rFonts w:hint="eastAsia"/>
          <w:bCs/>
          <w:sz w:val="24"/>
        </w:rPr>
        <w:t>3</w:t>
      </w:r>
      <w:r>
        <w:rPr>
          <w:bCs/>
          <w:sz w:val="24"/>
        </w:rPr>
        <w:t>2</w:t>
      </w:r>
      <w:r>
        <w:rPr>
          <w:rFonts w:hint="eastAsia"/>
          <w:bCs/>
          <w:sz w:val="24"/>
        </w:rPr>
        <w:t>、存续期：指基金合同生效至终止之间的不定期期限</w:t>
      </w:r>
    </w:p>
    <w:p w14:paraId="758FDF83">
      <w:pPr>
        <w:adjustRightInd w:val="0"/>
        <w:snapToGrid w:val="0"/>
        <w:spacing w:line="360" w:lineRule="auto"/>
        <w:ind w:firstLine="480" w:firstLineChars="200"/>
        <w:rPr>
          <w:bCs/>
          <w:sz w:val="24"/>
        </w:rPr>
      </w:pPr>
      <w:r>
        <w:rPr>
          <w:rFonts w:hint="eastAsia"/>
          <w:bCs/>
          <w:sz w:val="24"/>
        </w:rPr>
        <w:t>3</w:t>
      </w:r>
      <w:r>
        <w:rPr>
          <w:bCs/>
          <w:sz w:val="24"/>
        </w:rPr>
        <w:t>3</w:t>
      </w:r>
      <w:r>
        <w:rPr>
          <w:rFonts w:hint="eastAsia"/>
          <w:bCs/>
          <w:sz w:val="24"/>
        </w:rPr>
        <w:t>、工作日：指上海证券交易所、深圳证券交易所的正常交易日</w:t>
      </w:r>
    </w:p>
    <w:p w14:paraId="70F9ED9C">
      <w:pPr>
        <w:adjustRightInd w:val="0"/>
        <w:snapToGrid w:val="0"/>
        <w:spacing w:line="360" w:lineRule="auto"/>
        <w:ind w:firstLine="480" w:firstLineChars="200"/>
        <w:rPr>
          <w:bCs/>
          <w:sz w:val="24"/>
        </w:rPr>
      </w:pPr>
      <w:r>
        <w:rPr>
          <w:rFonts w:hint="eastAsia"/>
          <w:bCs/>
          <w:sz w:val="24"/>
        </w:rPr>
        <w:t>3</w:t>
      </w:r>
      <w:r>
        <w:rPr>
          <w:bCs/>
          <w:sz w:val="24"/>
        </w:rPr>
        <w:t>4</w:t>
      </w:r>
      <w:r>
        <w:rPr>
          <w:rFonts w:hint="eastAsia"/>
          <w:bCs/>
          <w:sz w:val="24"/>
        </w:rPr>
        <w:t>、T日：指销售机构在规定时间受理投资人申购、赎回或其他业务申请的开放日</w:t>
      </w:r>
    </w:p>
    <w:p w14:paraId="5177D988">
      <w:pPr>
        <w:adjustRightInd w:val="0"/>
        <w:snapToGrid w:val="0"/>
        <w:spacing w:line="360" w:lineRule="auto"/>
        <w:ind w:firstLine="480" w:firstLineChars="200"/>
        <w:rPr>
          <w:bCs/>
          <w:sz w:val="24"/>
        </w:rPr>
      </w:pPr>
      <w:r>
        <w:rPr>
          <w:rFonts w:hint="eastAsia"/>
          <w:bCs/>
          <w:sz w:val="24"/>
        </w:rPr>
        <w:t>3</w:t>
      </w:r>
      <w:r>
        <w:rPr>
          <w:bCs/>
          <w:sz w:val="24"/>
        </w:rPr>
        <w:t>5</w:t>
      </w:r>
      <w:r>
        <w:rPr>
          <w:rFonts w:hint="eastAsia"/>
          <w:bCs/>
          <w:sz w:val="24"/>
        </w:rPr>
        <w:t>、T+n日：指自T日起第n个工作日（不包含T日）</w:t>
      </w:r>
    </w:p>
    <w:p w14:paraId="429ACA2B">
      <w:pPr>
        <w:adjustRightInd w:val="0"/>
        <w:snapToGrid w:val="0"/>
        <w:spacing w:line="360" w:lineRule="auto"/>
        <w:ind w:firstLine="480" w:firstLineChars="200"/>
        <w:rPr>
          <w:bCs/>
          <w:sz w:val="24"/>
        </w:rPr>
      </w:pPr>
      <w:r>
        <w:rPr>
          <w:bCs/>
          <w:sz w:val="24"/>
        </w:rPr>
        <w:t>3</w:t>
      </w:r>
      <w:r>
        <w:rPr>
          <w:rFonts w:hint="eastAsia"/>
          <w:bCs/>
          <w:sz w:val="24"/>
        </w:rPr>
        <w:t>6、开放日：指为投资人办理基金份额申购、赎回或其他业务的工作日（若该工作日为非港股通交易日，则本基金可不开放）</w:t>
      </w:r>
    </w:p>
    <w:p w14:paraId="3B1E84EA">
      <w:pPr>
        <w:adjustRightInd w:val="0"/>
        <w:snapToGrid w:val="0"/>
        <w:spacing w:line="360" w:lineRule="auto"/>
        <w:ind w:firstLine="480" w:firstLineChars="200"/>
        <w:rPr>
          <w:bCs/>
          <w:sz w:val="24"/>
        </w:rPr>
      </w:pPr>
      <w:r>
        <w:rPr>
          <w:bCs/>
          <w:sz w:val="24"/>
        </w:rPr>
        <w:t>3</w:t>
      </w:r>
      <w:r>
        <w:rPr>
          <w:rFonts w:hint="eastAsia"/>
          <w:bCs/>
          <w:sz w:val="24"/>
        </w:rPr>
        <w:t>7、开放时间：指开放日基金接受申购、赎回或其他交易的时间段</w:t>
      </w:r>
    </w:p>
    <w:p w14:paraId="16093FBF">
      <w:pPr>
        <w:adjustRightInd w:val="0"/>
        <w:snapToGrid w:val="0"/>
        <w:spacing w:line="360" w:lineRule="auto"/>
        <w:ind w:firstLine="480" w:firstLineChars="200"/>
        <w:rPr>
          <w:bCs/>
          <w:sz w:val="24"/>
        </w:rPr>
      </w:pPr>
      <w:r>
        <w:rPr>
          <w:rFonts w:hint="eastAsia"/>
          <w:bCs/>
          <w:sz w:val="24"/>
        </w:rPr>
        <w:t>38、《业务规则》：指《交银施罗德基金管理有限公司开放式基金业务规则》，是规范基金管理人所管理的开放式证券投资基金登记方面的业务规则，由基金管理人和投资人共同遵守</w:t>
      </w:r>
    </w:p>
    <w:p w14:paraId="7E425278">
      <w:pPr>
        <w:adjustRightInd w:val="0"/>
        <w:snapToGrid w:val="0"/>
        <w:spacing w:line="360" w:lineRule="auto"/>
        <w:ind w:firstLine="480" w:firstLineChars="200"/>
        <w:rPr>
          <w:bCs/>
          <w:sz w:val="24"/>
        </w:rPr>
      </w:pPr>
      <w:r>
        <w:rPr>
          <w:rFonts w:hint="eastAsia"/>
          <w:bCs/>
          <w:sz w:val="24"/>
        </w:rPr>
        <w:t>39、认购：指在基金募集期内，投资人根据基金合同和招募说明书的规定申请购买基金份额的行为</w:t>
      </w:r>
    </w:p>
    <w:p w14:paraId="2E551499">
      <w:pPr>
        <w:adjustRightInd w:val="0"/>
        <w:snapToGrid w:val="0"/>
        <w:spacing w:line="360" w:lineRule="auto"/>
        <w:ind w:firstLine="480" w:firstLineChars="200"/>
        <w:rPr>
          <w:bCs/>
          <w:sz w:val="24"/>
        </w:rPr>
      </w:pPr>
      <w:r>
        <w:rPr>
          <w:bCs/>
          <w:sz w:val="24"/>
        </w:rPr>
        <w:t>4</w:t>
      </w:r>
      <w:r>
        <w:rPr>
          <w:rFonts w:hint="eastAsia"/>
          <w:bCs/>
          <w:sz w:val="24"/>
        </w:rPr>
        <w:t>0、申购：指基金合同生效后，投资人根据基金合同和招募说明书的规定申请购买基金份额的行为</w:t>
      </w:r>
    </w:p>
    <w:p w14:paraId="7E98D9D9">
      <w:pPr>
        <w:adjustRightInd w:val="0"/>
        <w:snapToGrid w:val="0"/>
        <w:spacing w:line="360" w:lineRule="auto"/>
        <w:ind w:firstLine="480" w:firstLineChars="200"/>
        <w:rPr>
          <w:bCs/>
          <w:sz w:val="24"/>
        </w:rPr>
      </w:pPr>
      <w:r>
        <w:rPr>
          <w:bCs/>
          <w:sz w:val="24"/>
        </w:rPr>
        <w:t>4</w:t>
      </w:r>
      <w:r>
        <w:rPr>
          <w:rFonts w:hint="eastAsia"/>
          <w:bCs/>
          <w:sz w:val="24"/>
        </w:rPr>
        <w:t>1、赎回：指基金合同生效后，基金份额持有人按基金合同和招募说明书规定的条件要求将基金份额兑换为现金的行为</w:t>
      </w:r>
    </w:p>
    <w:p w14:paraId="427FF80B">
      <w:pPr>
        <w:adjustRightInd w:val="0"/>
        <w:snapToGrid w:val="0"/>
        <w:spacing w:line="360" w:lineRule="auto"/>
        <w:ind w:firstLine="480" w:firstLineChars="200"/>
        <w:rPr>
          <w:bCs/>
          <w:sz w:val="24"/>
        </w:rPr>
      </w:pPr>
      <w:r>
        <w:rPr>
          <w:bCs/>
          <w:sz w:val="24"/>
        </w:rPr>
        <w:t>4</w:t>
      </w:r>
      <w:r>
        <w:rPr>
          <w:rFonts w:hint="eastAsia"/>
          <w:bCs/>
          <w:sz w:val="24"/>
        </w:rPr>
        <w:t>2、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14:paraId="4005A084">
      <w:pPr>
        <w:adjustRightInd w:val="0"/>
        <w:snapToGrid w:val="0"/>
        <w:spacing w:line="360" w:lineRule="auto"/>
        <w:ind w:firstLine="480" w:firstLineChars="200"/>
        <w:rPr>
          <w:bCs/>
          <w:sz w:val="24"/>
        </w:rPr>
      </w:pPr>
      <w:r>
        <w:rPr>
          <w:bCs/>
          <w:sz w:val="24"/>
        </w:rPr>
        <w:t>4</w:t>
      </w:r>
      <w:r>
        <w:rPr>
          <w:rFonts w:hint="eastAsia"/>
          <w:bCs/>
          <w:sz w:val="24"/>
        </w:rPr>
        <w:t>3、转托管：指基金份额持有人在本基金的不同销售机构之间实施的变更所持基金份额销售机构的操作</w:t>
      </w:r>
    </w:p>
    <w:p w14:paraId="2365874C">
      <w:pPr>
        <w:adjustRightInd w:val="0"/>
        <w:snapToGrid w:val="0"/>
        <w:spacing w:line="360" w:lineRule="auto"/>
        <w:ind w:firstLine="480" w:firstLineChars="200"/>
        <w:rPr>
          <w:bCs/>
          <w:sz w:val="24"/>
        </w:rPr>
      </w:pPr>
      <w:r>
        <w:rPr>
          <w:bCs/>
          <w:sz w:val="24"/>
        </w:rPr>
        <w:t>4</w:t>
      </w:r>
      <w:r>
        <w:rPr>
          <w:rFonts w:hint="eastAsia"/>
          <w:bCs/>
          <w:sz w:val="24"/>
        </w:rPr>
        <w:t>4、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411F7EE3">
      <w:pPr>
        <w:adjustRightInd w:val="0"/>
        <w:snapToGrid w:val="0"/>
        <w:spacing w:line="360" w:lineRule="auto"/>
        <w:ind w:firstLine="480" w:firstLineChars="200"/>
        <w:rPr>
          <w:bCs/>
          <w:sz w:val="24"/>
        </w:rPr>
      </w:pPr>
      <w:r>
        <w:rPr>
          <w:bCs/>
          <w:sz w:val="24"/>
        </w:rPr>
        <w:t>4</w:t>
      </w:r>
      <w:r>
        <w:rPr>
          <w:rFonts w:hint="eastAsia"/>
          <w:bCs/>
          <w:sz w:val="24"/>
        </w:rPr>
        <w:t>5、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68D1AB37">
      <w:pPr>
        <w:adjustRightInd w:val="0"/>
        <w:snapToGrid w:val="0"/>
        <w:spacing w:line="360" w:lineRule="auto"/>
        <w:ind w:firstLine="480" w:firstLineChars="200"/>
        <w:rPr>
          <w:bCs/>
          <w:sz w:val="24"/>
        </w:rPr>
      </w:pPr>
      <w:r>
        <w:rPr>
          <w:bCs/>
          <w:sz w:val="24"/>
        </w:rPr>
        <w:t>4</w:t>
      </w:r>
      <w:r>
        <w:rPr>
          <w:rFonts w:hint="eastAsia"/>
          <w:bCs/>
          <w:sz w:val="24"/>
        </w:rPr>
        <w:t>6、元：指人民币元</w:t>
      </w:r>
    </w:p>
    <w:p w14:paraId="7636F940">
      <w:pPr>
        <w:adjustRightInd w:val="0"/>
        <w:snapToGrid w:val="0"/>
        <w:spacing w:line="360" w:lineRule="auto"/>
        <w:ind w:firstLine="480" w:firstLineChars="200"/>
        <w:rPr>
          <w:bCs/>
          <w:sz w:val="24"/>
        </w:rPr>
      </w:pPr>
      <w:r>
        <w:rPr>
          <w:bCs/>
          <w:sz w:val="24"/>
        </w:rPr>
        <w:t>4</w:t>
      </w:r>
      <w:r>
        <w:rPr>
          <w:rFonts w:hint="eastAsia"/>
          <w:bCs/>
          <w:sz w:val="24"/>
        </w:rPr>
        <w:t>7、基金收益：指基金投资所得红利、股息、债券利息、买卖证券价差、银行存款利息、已实现的其他合法收入及因运用基金财产带来的成本和费用的节约</w:t>
      </w:r>
    </w:p>
    <w:p w14:paraId="760B9A7F">
      <w:pPr>
        <w:adjustRightInd w:val="0"/>
        <w:snapToGrid w:val="0"/>
        <w:spacing w:line="360" w:lineRule="auto"/>
        <w:ind w:firstLine="480" w:firstLineChars="200"/>
        <w:rPr>
          <w:bCs/>
          <w:sz w:val="24"/>
        </w:rPr>
      </w:pPr>
      <w:r>
        <w:rPr>
          <w:rFonts w:hint="eastAsia"/>
          <w:bCs/>
          <w:sz w:val="24"/>
        </w:rPr>
        <w:t>48、基金资产总值：指基金拥有的各类有价证券、股指期货合约、银行存款本息、基金应收款项及其他资产的价值总和</w:t>
      </w:r>
    </w:p>
    <w:p w14:paraId="0B82B9E5">
      <w:pPr>
        <w:adjustRightInd w:val="0"/>
        <w:snapToGrid w:val="0"/>
        <w:spacing w:line="360" w:lineRule="auto"/>
        <w:ind w:firstLine="480" w:firstLineChars="200"/>
        <w:rPr>
          <w:bCs/>
          <w:sz w:val="24"/>
        </w:rPr>
      </w:pPr>
      <w:r>
        <w:rPr>
          <w:rFonts w:hint="eastAsia"/>
          <w:bCs/>
          <w:sz w:val="24"/>
        </w:rPr>
        <w:t>49、基金资产净值：指基金资产总值减去基金负债后的价值</w:t>
      </w:r>
    </w:p>
    <w:p w14:paraId="6DE8EF11">
      <w:pPr>
        <w:adjustRightInd w:val="0"/>
        <w:snapToGrid w:val="0"/>
        <w:spacing w:line="360" w:lineRule="auto"/>
        <w:ind w:firstLine="480" w:firstLineChars="200"/>
        <w:rPr>
          <w:bCs/>
          <w:sz w:val="24"/>
        </w:rPr>
      </w:pPr>
      <w:r>
        <w:rPr>
          <w:rFonts w:hint="eastAsia"/>
          <w:bCs/>
          <w:sz w:val="24"/>
        </w:rPr>
        <w:t>50、基金份额净值：指计算日基金资产净值除以计算日基金份额总数</w:t>
      </w:r>
    </w:p>
    <w:p w14:paraId="3939287E">
      <w:pPr>
        <w:adjustRightInd w:val="0"/>
        <w:snapToGrid w:val="0"/>
        <w:spacing w:line="360" w:lineRule="auto"/>
        <w:ind w:firstLine="480" w:firstLineChars="200"/>
        <w:rPr>
          <w:bCs/>
          <w:sz w:val="24"/>
        </w:rPr>
      </w:pPr>
      <w:r>
        <w:rPr>
          <w:bCs/>
          <w:sz w:val="24"/>
        </w:rPr>
        <w:t>5</w:t>
      </w:r>
      <w:r>
        <w:rPr>
          <w:rFonts w:hint="eastAsia"/>
          <w:bCs/>
          <w:sz w:val="24"/>
        </w:rPr>
        <w:t>1、基金资产估值：指计算评估基金资产和负债的价值，以确定基金资产净值和基金份额净值的过程</w:t>
      </w:r>
    </w:p>
    <w:p w14:paraId="5947C057">
      <w:pPr>
        <w:adjustRightInd w:val="0"/>
        <w:snapToGrid w:val="0"/>
        <w:spacing w:line="360" w:lineRule="auto"/>
        <w:ind w:firstLine="480" w:firstLineChars="200"/>
        <w:rPr>
          <w:bCs/>
          <w:sz w:val="24"/>
        </w:rPr>
      </w:pPr>
      <w:r>
        <w:rPr>
          <w:bCs/>
          <w:sz w:val="24"/>
        </w:rPr>
        <w:t>5</w:t>
      </w:r>
      <w:r>
        <w:rPr>
          <w:rFonts w:hint="eastAsia"/>
          <w:bCs/>
          <w:sz w:val="24"/>
        </w:rPr>
        <w:t>2、港股通标的股票：指内地投资者委托内地证券公司，经由内地证券交易所在香港设立的证券交易服务公司，向香港联合交易所进行申报，买卖规定范围内的香港联合交易所上市的股票</w:t>
      </w:r>
    </w:p>
    <w:p w14:paraId="283A3DF2">
      <w:pPr>
        <w:adjustRightInd w:val="0"/>
        <w:snapToGrid w:val="0"/>
        <w:spacing w:line="360" w:lineRule="auto"/>
        <w:ind w:firstLine="480" w:firstLineChars="200"/>
        <w:rPr>
          <w:bCs/>
          <w:sz w:val="24"/>
        </w:rPr>
      </w:pPr>
      <w:r>
        <w:rPr>
          <w:bCs/>
          <w:sz w:val="24"/>
        </w:rPr>
        <w:t>53</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0835422D">
      <w:pPr>
        <w:adjustRightInd w:val="0"/>
        <w:snapToGrid w:val="0"/>
        <w:spacing w:line="360" w:lineRule="auto"/>
        <w:ind w:firstLine="480" w:firstLineChars="200"/>
        <w:rPr>
          <w:bCs/>
          <w:sz w:val="24"/>
        </w:rPr>
      </w:pPr>
      <w:r>
        <w:rPr>
          <w:bCs/>
          <w:sz w:val="24"/>
        </w:rPr>
        <w:t>54</w:t>
      </w:r>
      <w:r>
        <w:rPr>
          <w:rFonts w:hint="eastAsia"/>
          <w:bCs/>
          <w:sz w:val="24"/>
        </w:rPr>
        <w:t>、发起资金：指基金管理人的股东资金、基金管理人固有资金、基金管理人高级管理人员或基金经理等人员参与认购的资金。发起资金认购本基金的金额不低于</w:t>
      </w:r>
      <w:r>
        <w:rPr>
          <w:bCs/>
          <w:sz w:val="24"/>
        </w:rPr>
        <w:t>1000</w:t>
      </w:r>
      <w:r>
        <w:rPr>
          <w:rFonts w:hint="eastAsia"/>
          <w:bCs/>
          <w:sz w:val="24"/>
        </w:rPr>
        <w:t>万元人民币，且发起资金认购的基金份额持有期限自基金合同生效日起不低于三年</w:t>
      </w:r>
    </w:p>
    <w:p w14:paraId="2B71D134">
      <w:pPr>
        <w:adjustRightInd w:val="0"/>
        <w:snapToGrid w:val="0"/>
        <w:spacing w:line="360" w:lineRule="auto"/>
        <w:ind w:firstLine="480" w:firstLineChars="200"/>
        <w:rPr>
          <w:bCs/>
          <w:sz w:val="24"/>
        </w:rPr>
      </w:pPr>
      <w:r>
        <w:rPr>
          <w:bCs/>
          <w:sz w:val="24"/>
        </w:rPr>
        <w:t>55</w:t>
      </w:r>
      <w:r>
        <w:rPr>
          <w:rFonts w:hint="eastAsia"/>
          <w:bCs/>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14:paraId="72FFB6AE">
      <w:pPr>
        <w:adjustRightInd w:val="0"/>
        <w:snapToGrid w:val="0"/>
        <w:spacing w:line="360" w:lineRule="auto"/>
        <w:ind w:firstLine="480" w:firstLineChars="200"/>
        <w:rPr>
          <w:bCs/>
          <w:sz w:val="24"/>
        </w:rPr>
      </w:pPr>
      <w:r>
        <w:rPr>
          <w:bCs/>
          <w:sz w:val="24"/>
        </w:rPr>
        <w:t>5</w:t>
      </w:r>
      <w:r>
        <w:rPr>
          <w:rFonts w:hint="eastAsia"/>
          <w:bCs/>
          <w:sz w:val="24"/>
        </w:rPr>
        <w:t>6、销售服务费：指从基金财产中计提的，用于本基金市场推广、销售以及基金份额持有人服务的费用</w:t>
      </w:r>
    </w:p>
    <w:p w14:paraId="06924402">
      <w:pPr>
        <w:adjustRightInd w:val="0"/>
        <w:snapToGrid w:val="0"/>
        <w:spacing w:line="360" w:lineRule="auto"/>
        <w:ind w:firstLine="480" w:firstLineChars="200"/>
        <w:rPr>
          <w:bCs/>
          <w:sz w:val="24"/>
        </w:rPr>
      </w:pPr>
      <w:r>
        <w:rPr>
          <w:bCs/>
          <w:sz w:val="24"/>
        </w:rPr>
        <w:t>5</w:t>
      </w:r>
      <w:r>
        <w:rPr>
          <w:rFonts w:hint="eastAsia"/>
          <w:bCs/>
          <w:sz w:val="24"/>
        </w:rPr>
        <w:t>7、A类基金份额：指在投资人认购/申购时收取认购/申购费用、不从本类别基金资产中计提销售服务费的基金份额（其中，对于投资人通过直销机构认购/申购的A类基金份额，不收取认购/申购费用）</w:t>
      </w:r>
    </w:p>
    <w:p w14:paraId="20CA28F0">
      <w:pPr>
        <w:adjustRightInd w:val="0"/>
        <w:snapToGrid w:val="0"/>
        <w:spacing w:line="360" w:lineRule="auto"/>
        <w:ind w:firstLine="480" w:firstLineChars="200"/>
        <w:rPr>
          <w:bCs/>
          <w:sz w:val="24"/>
        </w:rPr>
      </w:pPr>
      <w:r>
        <w:rPr>
          <w:bCs/>
          <w:sz w:val="24"/>
        </w:rPr>
        <w:t>5</w:t>
      </w:r>
      <w:r>
        <w:rPr>
          <w:rFonts w:hint="eastAsia"/>
          <w:bCs/>
          <w:sz w:val="24"/>
        </w:rPr>
        <w:t>8、C类基金份额：指在投资人认购/申购时不收取认购/申购费用、从本类别基金资产中计提销售服务费的基金份额（其中，对于投资人通过直销机构认购/申购的C类基金份额，计提的销售服务费将在投资人赎回相应基金份额或基金合同终止时随赎回款或清算款一并返还给投资人；对于投资人通过其他销售机构认购</w:t>
      </w:r>
      <w:r>
        <w:rPr>
          <w:bCs/>
          <w:sz w:val="24"/>
        </w:rPr>
        <w:t>/</w:t>
      </w:r>
      <w:r>
        <w:rPr>
          <w:rFonts w:hint="eastAsia"/>
          <w:bCs/>
          <w:sz w:val="24"/>
        </w:rPr>
        <w:t>申购的C类基金份额，持续持有超过一年（即365天，下同）后计提的销售服务费将在投资人赎回相应基金份额或基金合同终止时随赎回款或清算款一并返还给投资人）</w:t>
      </w:r>
    </w:p>
    <w:p w14:paraId="70B43D47">
      <w:pPr>
        <w:adjustRightInd w:val="0"/>
        <w:snapToGrid w:val="0"/>
        <w:spacing w:line="360" w:lineRule="auto"/>
        <w:ind w:firstLine="480" w:firstLineChars="200"/>
        <w:rPr>
          <w:bCs/>
          <w:sz w:val="24"/>
        </w:rPr>
      </w:pPr>
      <w:r>
        <w:rPr>
          <w:bCs/>
          <w:sz w:val="24"/>
        </w:rPr>
        <w:t>5</w:t>
      </w:r>
      <w:r>
        <w:rPr>
          <w:rFonts w:hint="eastAsia"/>
          <w:bCs/>
          <w:sz w:val="24"/>
        </w:rPr>
        <w:t>9、规定媒介：指符合中国证监会规定条件的用以进行信息披露的全国性报刊及《信息披露办法》规定的互联网网站（包括基金管理人网站、基金托管人网站、中国证监会基金电子披露网站）等媒介</w:t>
      </w:r>
    </w:p>
    <w:p w14:paraId="7AC500AA">
      <w:pPr>
        <w:adjustRightInd w:val="0"/>
        <w:snapToGrid w:val="0"/>
        <w:spacing w:line="360" w:lineRule="auto"/>
        <w:ind w:firstLine="480" w:firstLineChars="200"/>
        <w:rPr>
          <w:bCs/>
          <w:sz w:val="24"/>
        </w:rPr>
      </w:pPr>
      <w:r>
        <w:rPr>
          <w:rFonts w:hint="eastAsia"/>
          <w:bCs/>
          <w:sz w:val="24"/>
        </w:rPr>
        <w:t>60、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F293C7B">
      <w:pPr>
        <w:adjustRightInd w:val="0"/>
        <w:snapToGrid w:val="0"/>
        <w:spacing w:line="360" w:lineRule="auto"/>
        <w:ind w:firstLine="480" w:firstLineChars="200"/>
        <w:rPr>
          <w:bCs/>
          <w:sz w:val="24"/>
        </w:rPr>
      </w:pPr>
      <w:r>
        <w:rPr>
          <w:rFonts w:hint="eastAsia"/>
          <w:bCs/>
          <w:sz w:val="24"/>
        </w:rPr>
        <w:t>61、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6999696">
      <w:pPr>
        <w:adjustRightInd w:val="0"/>
        <w:snapToGrid w:val="0"/>
        <w:spacing w:line="360" w:lineRule="auto"/>
        <w:ind w:firstLine="480" w:firstLineChars="200"/>
        <w:rPr>
          <w:bCs/>
          <w:sz w:val="24"/>
        </w:rPr>
      </w:pPr>
      <w:r>
        <w:rPr>
          <w:rFonts w:hint="eastAsia"/>
          <w:bCs/>
          <w:sz w:val="24"/>
        </w:rPr>
        <w:t>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AFE7D86">
      <w:pPr>
        <w:adjustRightInd w:val="0"/>
        <w:snapToGrid w:val="0"/>
        <w:spacing w:line="360" w:lineRule="auto"/>
        <w:ind w:firstLine="480" w:firstLineChars="200"/>
        <w:rPr>
          <w:bCs/>
          <w:sz w:val="24"/>
        </w:rPr>
      </w:pPr>
      <w:r>
        <w:rPr>
          <w:rFonts w:hint="eastAsia"/>
          <w:bCs/>
          <w:sz w:val="24"/>
        </w:rPr>
        <w:t>63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719C21E">
      <w:pPr>
        <w:adjustRightInd w:val="0"/>
        <w:snapToGrid w:val="0"/>
        <w:spacing w:line="360" w:lineRule="auto"/>
        <w:ind w:firstLine="480" w:firstLineChars="200"/>
        <w:rPr>
          <w:bCs/>
          <w:sz w:val="24"/>
        </w:rPr>
      </w:pPr>
      <w:r>
        <w:rPr>
          <w:rFonts w:hint="eastAsia"/>
          <w:bCs/>
          <w:sz w:val="24"/>
        </w:rPr>
        <w:t>64、不可抗力：指基金合同当事人不能预见、不能避免且不能克服的客观事件</w:t>
      </w:r>
      <w:bookmarkEnd w:id="4"/>
    </w:p>
    <w:p w14:paraId="673557B6">
      <w:pPr>
        <w:rPr>
          <w:bCs/>
          <w:sz w:val="24"/>
        </w:rPr>
      </w:pPr>
      <w:r>
        <w:rPr>
          <w:rFonts w:hint="eastAsia"/>
          <w:bCs/>
          <w:sz w:val="24"/>
        </w:rPr>
        <w:br w:type="page"/>
      </w:r>
    </w:p>
    <w:p w14:paraId="1EC5203E">
      <w:pPr>
        <w:spacing w:line="360" w:lineRule="auto"/>
        <w:jc w:val="center"/>
        <w:outlineLvl w:val="0"/>
        <w:rPr>
          <w:rFonts w:ascii="宋体" w:hAnsi="宋体"/>
          <w:b/>
          <w:kern w:val="0"/>
          <w:sz w:val="30"/>
        </w:rPr>
      </w:pPr>
      <w:bookmarkStart w:id="5" w:name="_Hlt81034163"/>
      <w:bookmarkEnd w:id="5"/>
      <w:bookmarkStart w:id="6" w:name="_Hlt80961854"/>
      <w:bookmarkEnd w:id="6"/>
      <w:bookmarkStart w:id="7" w:name="_Toc109537381"/>
      <w:bookmarkStart w:id="8" w:name="_Toc48122004"/>
      <w:r>
        <w:rPr>
          <w:rFonts w:hint="eastAsia" w:ascii="宋体" w:hAnsi="宋体"/>
          <w:b/>
          <w:kern w:val="0"/>
          <w:sz w:val="30"/>
        </w:rPr>
        <w:t>三、基金管理人</w:t>
      </w:r>
      <w:bookmarkEnd w:id="7"/>
      <w:bookmarkEnd w:id="8"/>
    </w:p>
    <w:p w14:paraId="6E0E1FDE">
      <w:pPr>
        <w:widowControl/>
        <w:adjustRightInd w:val="0"/>
        <w:snapToGrid w:val="0"/>
        <w:spacing w:line="360" w:lineRule="auto"/>
        <w:ind w:firstLine="482" w:firstLineChars="200"/>
        <w:outlineLvl w:val="1"/>
        <w:rPr>
          <w:rFonts w:hAnsi="宋体"/>
          <w:b/>
          <w:kern w:val="0"/>
          <w:sz w:val="24"/>
        </w:rPr>
      </w:pPr>
      <w:r>
        <w:rPr>
          <w:rFonts w:hAnsi="宋体"/>
          <w:b/>
          <w:kern w:val="0"/>
          <w:sz w:val="24"/>
        </w:rPr>
        <w:t>（一）基金管理人概况</w:t>
      </w:r>
    </w:p>
    <w:p w14:paraId="43AAB125">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14:paraId="31906B5A">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14:paraId="0A8A1AB6">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14:paraId="5DC000D8">
      <w:pPr>
        <w:widowControl/>
        <w:adjustRightInd w:val="0"/>
        <w:snapToGrid w:val="0"/>
        <w:spacing w:line="360" w:lineRule="auto"/>
        <w:ind w:firstLine="480" w:firstLineChars="200"/>
        <w:rPr>
          <w:kern w:val="0"/>
          <w:sz w:val="24"/>
        </w:rPr>
      </w:pPr>
      <w:r>
        <w:rPr>
          <w:rFonts w:hAnsi="宋体"/>
          <w:sz w:val="24"/>
        </w:rPr>
        <w:t>邮政编码：</w:t>
      </w:r>
      <w:r>
        <w:rPr>
          <w:sz w:val="24"/>
        </w:rPr>
        <w:t>200120</w:t>
      </w:r>
    </w:p>
    <w:p w14:paraId="2895FF85">
      <w:pPr>
        <w:widowControl/>
        <w:adjustRightInd w:val="0"/>
        <w:snapToGrid w:val="0"/>
        <w:spacing w:line="360" w:lineRule="auto"/>
        <w:ind w:firstLine="480" w:firstLineChars="200"/>
        <w:rPr>
          <w:rFonts w:hint="eastAsia" w:eastAsia="宋体"/>
          <w:kern w:val="0"/>
          <w:sz w:val="24"/>
          <w:lang w:eastAsia="zh-CN"/>
        </w:rPr>
      </w:pPr>
      <w:r>
        <w:rPr>
          <w:rFonts w:hAnsi="宋体"/>
          <w:kern w:val="0"/>
          <w:sz w:val="24"/>
        </w:rPr>
        <w:t>法定代表人：</w:t>
      </w:r>
      <w:r>
        <w:rPr>
          <w:rFonts w:hint="eastAsia" w:hAnsi="宋体"/>
          <w:kern w:val="0"/>
          <w:sz w:val="24"/>
          <w:lang w:eastAsia="zh-CN"/>
        </w:rPr>
        <w:t>袁庆伟（代任）</w:t>
      </w:r>
    </w:p>
    <w:p w14:paraId="3C951421">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0B0104F2">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14:paraId="7830CAA5">
      <w:pPr>
        <w:widowControl/>
        <w:adjustRightInd w:val="0"/>
        <w:snapToGrid w:val="0"/>
        <w:spacing w:line="360" w:lineRule="auto"/>
        <w:ind w:firstLine="480" w:firstLineChars="200"/>
        <w:rPr>
          <w:kern w:val="0"/>
          <w:sz w:val="24"/>
        </w:rPr>
      </w:pPr>
      <w:r>
        <w:rPr>
          <w:rFonts w:hAnsi="宋体"/>
          <w:kern w:val="0"/>
          <w:sz w:val="24"/>
        </w:rPr>
        <w:t>存续期间：持续经营</w:t>
      </w:r>
    </w:p>
    <w:p w14:paraId="3F93BD63">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14:paraId="13A9BCCF">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14:paraId="3A39644D">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14:paraId="769568E2">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14:paraId="602B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14:paraId="42C0DF59">
            <w:pPr>
              <w:widowControl/>
              <w:jc w:val="center"/>
              <w:rPr>
                <w:kern w:val="0"/>
                <w:sz w:val="24"/>
              </w:rPr>
            </w:pPr>
            <w:r>
              <w:rPr>
                <w:rFonts w:hAnsi="宋体"/>
                <w:kern w:val="0"/>
                <w:sz w:val="24"/>
              </w:rPr>
              <w:t>股东名称</w:t>
            </w:r>
          </w:p>
        </w:tc>
        <w:tc>
          <w:tcPr>
            <w:tcW w:w="3060" w:type="dxa"/>
          </w:tcPr>
          <w:p w14:paraId="012798DD">
            <w:pPr>
              <w:widowControl/>
              <w:jc w:val="center"/>
              <w:rPr>
                <w:kern w:val="0"/>
                <w:sz w:val="24"/>
              </w:rPr>
            </w:pPr>
            <w:r>
              <w:rPr>
                <w:rFonts w:hAnsi="宋体"/>
                <w:kern w:val="0"/>
                <w:sz w:val="24"/>
              </w:rPr>
              <w:t>股权比例</w:t>
            </w:r>
          </w:p>
        </w:tc>
      </w:tr>
      <w:tr w14:paraId="2DA2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14:paraId="3C27FD22">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8A06AF9">
            <w:pPr>
              <w:widowControl/>
              <w:jc w:val="center"/>
              <w:rPr>
                <w:kern w:val="0"/>
                <w:sz w:val="24"/>
              </w:rPr>
            </w:pPr>
            <w:r>
              <w:rPr>
                <w:kern w:val="0"/>
                <w:sz w:val="24"/>
              </w:rPr>
              <w:t>65%</w:t>
            </w:r>
          </w:p>
        </w:tc>
      </w:tr>
      <w:tr w14:paraId="2C41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14:paraId="37DC8D80">
            <w:pPr>
              <w:widowControl/>
              <w:rPr>
                <w:kern w:val="0"/>
                <w:sz w:val="24"/>
              </w:rPr>
            </w:pPr>
            <w:r>
              <w:rPr>
                <w:rFonts w:hAnsi="宋体"/>
                <w:kern w:val="0"/>
                <w:sz w:val="24"/>
              </w:rPr>
              <w:t>施罗德投资管理有限公司</w:t>
            </w:r>
          </w:p>
        </w:tc>
        <w:tc>
          <w:tcPr>
            <w:tcW w:w="3060" w:type="dxa"/>
            <w:vAlign w:val="center"/>
          </w:tcPr>
          <w:p w14:paraId="1AA5C285">
            <w:pPr>
              <w:widowControl/>
              <w:jc w:val="center"/>
              <w:rPr>
                <w:kern w:val="0"/>
                <w:sz w:val="24"/>
              </w:rPr>
            </w:pPr>
            <w:r>
              <w:rPr>
                <w:kern w:val="0"/>
                <w:sz w:val="24"/>
              </w:rPr>
              <w:t>30%</w:t>
            </w:r>
          </w:p>
        </w:tc>
      </w:tr>
      <w:tr w14:paraId="3DAD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14:paraId="1D001257">
            <w:pPr>
              <w:widowControl/>
              <w:rPr>
                <w:kern w:val="0"/>
                <w:sz w:val="24"/>
              </w:rPr>
            </w:pPr>
            <w:r>
              <w:rPr>
                <w:rFonts w:hAnsi="宋体"/>
                <w:kern w:val="0"/>
                <w:sz w:val="24"/>
              </w:rPr>
              <w:t>中国国际海运集装箱（集团）股份有限公司</w:t>
            </w:r>
          </w:p>
        </w:tc>
        <w:tc>
          <w:tcPr>
            <w:tcW w:w="3060" w:type="dxa"/>
            <w:vAlign w:val="center"/>
          </w:tcPr>
          <w:p w14:paraId="63CE3B2F">
            <w:pPr>
              <w:widowControl/>
              <w:jc w:val="center"/>
              <w:rPr>
                <w:kern w:val="0"/>
                <w:sz w:val="24"/>
              </w:rPr>
            </w:pPr>
            <w:r>
              <w:rPr>
                <w:kern w:val="0"/>
                <w:sz w:val="24"/>
              </w:rPr>
              <w:t>5%</w:t>
            </w:r>
          </w:p>
        </w:tc>
      </w:tr>
    </w:tbl>
    <w:p w14:paraId="10438845">
      <w:pPr>
        <w:adjustRightInd w:val="0"/>
        <w:snapToGrid w:val="0"/>
        <w:spacing w:line="360" w:lineRule="auto"/>
        <w:ind w:firstLine="480" w:firstLineChars="200"/>
        <w:rPr>
          <w:rFonts w:hAnsi="宋体"/>
          <w:kern w:val="0"/>
          <w:sz w:val="24"/>
        </w:rPr>
      </w:pPr>
    </w:p>
    <w:p w14:paraId="129BCF97">
      <w:pPr>
        <w:widowControl/>
        <w:adjustRightInd w:val="0"/>
        <w:snapToGrid w:val="0"/>
        <w:spacing w:line="360" w:lineRule="auto"/>
        <w:ind w:firstLine="482" w:firstLineChars="200"/>
        <w:outlineLvl w:val="1"/>
        <w:rPr>
          <w:rFonts w:hAnsi="宋体"/>
          <w:b/>
          <w:kern w:val="0"/>
          <w:sz w:val="24"/>
        </w:rPr>
      </w:pPr>
      <w:r>
        <w:rPr>
          <w:rFonts w:hAnsi="宋体"/>
          <w:b/>
          <w:kern w:val="0"/>
          <w:sz w:val="24"/>
        </w:rPr>
        <w:t>（二）主要成员情况</w:t>
      </w:r>
    </w:p>
    <w:p w14:paraId="2541D0CA">
      <w:pPr>
        <w:widowControl/>
        <w:adjustRightInd w:val="0"/>
        <w:snapToGrid w:val="0"/>
        <w:spacing w:line="360" w:lineRule="auto"/>
        <w:ind w:firstLine="480" w:firstLineChars="200"/>
        <w:rPr>
          <w:rFonts w:hint="eastAsia"/>
          <w:sz w:val="24"/>
          <w:szCs w:val="24"/>
        </w:rPr>
      </w:pPr>
      <w:r>
        <w:rPr>
          <w:rFonts w:hint="eastAsia"/>
          <w:sz w:val="24"/>
          <w:szCs w:val="24"/>
        </w:rPr>
        <w:t>1、基金管理人董事会成员</w:t>
      </w:r>
    </w:p>
    <w:p w14:paraId="409049C9">
      <w:pPr>
        <w:widowControl/>
        <w:adjustRightInd w:val="0"/>
        <w:snapToGrid w:val="0"/>
        <w:spacing w:line="360" w:lineRule="auto"/>
        <w:ind w:firstLine="480" w:firstLineChars="200"/>
        <w:rPr>
          <w:rFonts w:hint="eastAsia"/>
          <w:sz w:val="24"/>
          <w:szCs w:val="24"/>
        </w:rPr>
      </w:pPr>
      <w:r>
        <w:rPr>
          <w:rFonts w:hint="eastAsia"/>
          <w:sz w:val="24"/>
          <w:szCs w:val="24"/>
        </w:rPr>
        <w:t>袁庆伟女士，董事，总经理，代任董事长，硕士。历任交通银行乌鲁木齐分行财务会计处副处长、会计结算部高级经理，交通银行总行资产托管业务中心（资产托管部）副总裁、总裁，交通银行总行金融机构部总经理、资产管理业务中心总裁等职务。</w:t>
      </w:r>
    </w:p>
    <w:p w14:paraId="6324B1EC">
      <w:pPr>
        <w:widowControl/>
        <w:adjustRightInd w:val="0"/>
        <w:snapToGrid w:val="0"/>
        <w:spacing w:line="360" w:lineRule="auto"/>
        <w:ind w:firstLine="480" w:firstLineChars="200"/>
        <w:rPr>
          <w:rFonts w:hint="eastAsia"/>
          <w:sz w:val="24"/>
          <w:szCs w:val="24"/>
        </w:rPr>
      </w:pPr>
      <w:r>
        <w:rPr>
          <w:rFonts w:hint="eastAsia"/>
          <w:sz w:val="24"/>
          <w:szCs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38CFC75F">
      <w:pPr>
        <w:widowControl/>
        <w:adjustRightInd w:val="0"/>
        <w:snapToGrid w:val="0"/>
        <w:spacing w:line="360" w:lineRule="auto"/>
        <w:ind w:firstLine="480" w:firstLineChars="200"/>
        <w:rPr>
          <w:rFonts w:hint="eastAsia"/>
          <w:sz w:val="24"/>
          <w:szCs w:val="24"/>
        </w:rPr>
      </w:pPr>
      <w:r>
        <w:rPr>
          <w:rFonts w:hint="eastAsia"/>
          <w:sz w:val="24"/>
          <w:szCs w:val="24"/>
        </w:rPr>
        <w:t>Karine Szenberg女士，董事，硕士。现任施罗德投资集团执行副主席、集团执行委员会成员和施罗德投资管理（瑞士）股份有限公司董事会主席。历任施罗德投资法国主管、欧洲主管、全球产品和营销主管等。</w:t>
      </w:r>
    </w:p>
    <w:p w14:paraId="6D3EFB71">
      <w:pPr>
        <w:widowControl/>
        <w:adjustRightInd w:val="0"/>
        <w:snapToGrid w:val="0"/>
        <w:spacing w:line="360" w:lineRule="auto"/>
        <w:ind w:firstLine="480" w:firstLineChars="200"/>
        <w:rPr>
          <w:rFonts w:hint="eastAsia"/>
          <w:sz w:val="24"/>
          <w:szCs w:val="24"/>
        </w:rPr>
      </w:pPr>
      <w:r>
        <w:rPr>
          <w:rFonts w:hint="eastAsia"/>
          <w:sz w:val="24"/>
          <w:szCs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14:paraId="31349D70">
      <w:pPr>
        <w:widowControl/>
        <w:adjustRightInd w:val="0"/>
        <w:snapToGrid w:val="0"/>
        <w:spacing w:line="360" w:lineRule="auto"/>
        <w:ind w:firstLine="480" w:firstLineChars="200"/>
        <w:rPr>
          <w:rFonts w:hint="eastAsia"/>
          <w:sz w:val="24"/>
          <w:szCs w:val="24"/>
        </w:rPr>
      </w:pPr>
      <w:r>
        <w:rPr>
          <w:rFonts w:hint="eastAsia"/>
          <w:sz w:val="24"/>
          <w:szCs w:val="24"/>
        </w:rPr>
        <w:t>单锋先生，独立董事，博士。现任南京大学法学教授职务。历任南京大学法学院助教、讲师、副教授。</w:t>
      </w:r>
    </w:p>
    <w:p w14:paraId="58486943">
      <w:pPr>
        <w:widowControl/>
        <w:adjustRightInd w:val="0"/>
        <w:snapToGrid w:val="0"/>
        <w:spacing w:line="360" w:lineRule="auto"/>
        <w:ind w:firstLine="480" w:firstLineChars="200"/>
        <w:rPr>
          <w:rFonts w:hint="eastAsia"/>
          <w:sz w:val="24"/>
          <w:szCs w:val="24"/>
        </w:rPr>
      </w:pPr>
      <w:r>
        <w:rPr>
          <w:rFonts w:hint="eastAsia"/>
          <w:sz w:val="24"/>
          <w:szCs w:val="24"/>
        </w:rPr>
        <w:t>刘凤元先生，独立董事，博士。现任华东政法大学国际金融法律学院教授，资本市场研究中心主任，兼任多家香港和大陆上市公司（非证券基金经营机构）独立董事。</w:t>
      </w:r>
    </w:p>
    <w:p w14:paraId="12234960">
      <w:pPr>
        <w:widowControl/>
        <w:adjustRightInd w:val="0"/>
        <w:snapToGrid w:val="0"/>
        <w:spacing w:line="360" w:lineRule="auto"/>
        <w:ind w:firstLine="480" w:firstLineChars="200"/>
        <w:rPr>
          <w:rFonts w:hint="eastAsia"/>
          <w:sz w:val="24"/>
          <w:szCs w:val="24"/>
        </w:rPr>
      </w:pPr>
      <w:r>
        <w:rPr>
          <w:rFonts w:hint="eastAsia"/>
          <w:sz w:val="24"/>
          <w:szCs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14:paraId="419E3599">
      <w:pPr>
        <w:widowControl/>
        <w:adjustRightInd w:val="0"/>
        <w:snapToGrid w:val="0"/>
        <w:spacing w:line="360" w:lineRule="auto"/>
        <w:ind w:firstLine="480" w:firstLineChars="200"/>
        <w:rPr>
          <w:rFonts w:hint="eastAsia"/>
          <w:sz w:val="24"/>
          <w:szCs w:val="24"/>
        </w:rPr>
      </w:pPr>
      <w:r>
        <w:rPr>
          <w:rFonts w:hint="eastAsia"/>
          <w:sz w:val="24"/>
          <w:szCs w:val="24"/>
        </w:rPr>
        <w:t>2、基金管理人高级管理人员</w:t>
      </w:r>
    </w:p>
    <w:p w14:paraId="0BC4B3E5">
      <w:pPr>
        <w:widowControl/>
        <w:adjustRightInd w:val="0"/>
        <w:snapToGrid w:val="0"/>
        <w:spacing w:line="360" w:lineRule="auto"/>
        <w:ind w:firstLine="480" w:firstLineChars="200"/>
        <w:rPr>
          <w:rFonts w:hint="eastAsia"/>
          <w:sz w:val="24"/>
          <w:szCs w:val="24"/>
        </w:rPr>
      </w:pPr>
      <w:r>
        <w:rPr>
          <w:rFonts w:hint="eastAsia"/>
          <w:sz w:val="24"/>
          <w:szCs w:val="24"/>
        </w:rPr>
        <w:t>袁庆伟女士，总经理。简历同上。</w:t>
      </w:r>
    </w:p>
    <w:p w14:paraId="64CA634E">
      <w:pPr>
        <w:widowControl/>
        <w:adjustRightInd w:val="0"/>
        <w:snapToGrid w:val="0"/>
        <w:spacing w:line="360" w:lineRule="auto"/>
        <w:ind w:firstLine="480" w:firstLineChars="200"/>
        <w:rPr>
          <w:rFonts w:hint="eastAsia"/>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5F623C88">
      <w:pPr>
        <w:widowControl/>
        <w:adjustRightInd w:val="0"/>
        <w:snapToGrid w:val="0"/>
        <w:spacing w:line="360" w:lineRule="auto"/>
        <w:ind w:firstLine="480" w:firstLineChars="200"/>
        <w:rPr>
          <w:rFonts w:hint="eastAsia"/>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14:paraId="5C31B56B">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56DD16E5">
      <w:pPr>
        <w:widowControl/>
        <w:adjustRightInd w:val="0"/>
        <w:snapToGrid w:val="0"/>
        <w:spacing w:line="360" w:lineRule="auto"/>
        <w:ind w:firstLine="480" w:firstLineChars="200"/>
        <w:rPr>
          <w:sz w:val="24"/>
          <w:szCs w:val="24"/>
        </w:rPr>
      </w:pPr>
      <w:r>
        <w:rPr>
          <w:sz w:val="24"/>
          <w:szCs w:val="24"/>
        </w:rPr>
        <w:t>3、本基金基金经理</w:t>
      </w:r>
    </w:p>
    <w:p w14:paraId="490239C3">
      <w:pPr>
        <w:widowControl/>
        <w:adjustRightInd w:val="0"/>
        <w:snapToGrid w:val="0"/>
        <w:spacing w:line="360" w:lineRule="auto"/>
        <w:ind w:firstLine="480" w:firstLineChars="200"/>
        <w:rPr>
          <w:sz w:val="24"/>
          <w:szCs w:val="24"/>
        </w:rPr>
      </w:pPr>
      <w:r>
        <w:rPr>
          <w:rFonts w:hint="eastAsia"/>
          <w:sz w:val="24"/>
          <w:szCs w:val="24"/>
        </w:rPr>
        <w:t>张程先生，复旦大学经济学硕士、学士。6年证券投资行业从业经验。2020年加入交银施罗德基金管理有限公司，现任高级研究员、基金经理。</w:t>
      </w:r>
    </w:p>
    <w:p w14:paraId="0C4EA2A3">
      <w:pPr>
        <w:adjustRightInd w:val="0"/>
        <w:snapToGrid w:val="0"/>
        <w:spacing w:line="360" w:lineRule="auto"/>
        <w:ind w:firstLine="480" w:firstLineChars="200"/>
        <w:rPr>
          <w:sz w:val="24"/>
          <w:szCs w:val="24"/>
        </w:rPr>
      </w:pPr>
      <w:r>
        <w:rPr>
          <w:sz w:val="24"/>
          <w:szCs w:val="24"/>
        </w:rPr>
        <w:t>4、投资决策委员会成员</w:t>
      </w:r>
    </w:p>
    <w:p w14:paraId="596063D5">
      <w:pPr>
        <w:adjustRightInd w:val="0"/>
        <w:snapToGrid w:val="0"/>
        <w:spacing w:line="360" w:lineRule="auto"/>
        <w:ind w:firstLine="480" w:firstLineChars="200"/>
        <w:jc w:val="left"/>
        <w:rPr>
          <w:rFonts w:hint="eastAsia"/>
          <w:sz w:val="24"/>
          <w:szCs w:val="24"/>
        </w:rPr>
      </w:pPr>
      <w:r>
        <w:rPr>
          <w:rFonts w:hint="eastAsia"/>
          <w:sz w:val="24"/>
          <w:szCs w:val="24"/>
        </w:rPr>
        <w:t>委员：马俊（副总经理）</w:t>
      </w:r>
    </w:p>
    <w:p w14:paraId="23A873DA">
      <w:pPr>
        <w:adjustRightInd w:val="0"/>
        <w:snapToGrid w:val="0"/>
        <w:spacing w:line="360" w:lineRule="auto"/>
        <w:ind w:firstLine="1200" w:firstLineChars="500"/>
        <w:jc w:val="left"/>
        <w:rPr>
          <w:rFonts w:hint="eastAsia"/>
          <w:sz w:val="24"/>
          <w:szCs w:val="24"/>
        </w:rPr>
      </w:pPr>
      <w:r>
        <w:rPr>
          <w:rFonts w:hint="eastAsia"/>
          <w:sz w:val="24"/>
          <w:szCs w:val="24"/>
        </w:rPr>
        <w:t>迟鑫（权益部总经理兼任跨境投资部总经理）</w:t>
      </w:r>
    </w:p>
    <w:p w14:paraId="0497DA2A">
      <w:pPr>
        <w:adjustRightInd w:val="0"/>
        <w:snapToGrid w:val="0"/>
        <w:spacing w:line="360" w:lineRule="auto"/>
        <w:ind w:firstLine="1200" w:firstLineChars="500"/>
        <w:jc w:val="left"/>
        <w:rPr>
          <w:rFonts w:hint="eastAsia"/>
          <w:sz w:val="24"/>
          <w:szCs w:val="24"/>
        </w:rPr>
      </w:pPr>
      <w:r>
        <w:rPr>
          <w:rFonts w:hint="eastAsia"/>
          <w:sz w:val="24"/>
          <w:szCs w:val="24"/>
        </w:rPr>
        <w:t>王崇（权益投资副总监、权益部一级专家、基金经理）</w:t>
      </w:r>
    </w:p>
    <w:p w14:paraId="2B26C140">
      <w:pPr>
        <w:adjustRightInd w:val="0"/>
        <w:snapToGrid w:val="0"/>
        <w:spacing w:line="360" w:lineRule="auto"/>
        <w:ind w:firstLine="1200" w:firstLineChars="500"/>
        <w:jc w:val="left"/>
        <w:rPr>
          <w:rFonts w:hint="eastAsia"/>
          <w:sz w:val="24"/>
          <w:szCs w:val="24"/>
        </w:rPr>
      </w:pPr>
      <w:r>
        <w:rPr>
          <w:rFonts w:hint="eastAsia"/>
          <w:sz w:val="24"/>
          <w:szCs w:val="24"/>
        </w:rPr>
        <w:t>于海颖（混合资产投资总监、基金经理）</w:t>
      </w:r>
    </w:p>
    <w:p w14:paraId="4879BABB">
      <w:pPr>
        <w:adjustRightInd w:val="0"/>
        <w:snapToGrid w:val="0"/>
        <w:spacing w:line="360" w:lineRule="auto"/>
        <w:ind w:firstLine="1200" w:firstLineChars="500"/>
        <w:jc w:val="left"/>
        <w:rPr>
          <w:rFonts w:hint="eastAsia"/>
          <w:sz w:val="24"/>
          <w:szCs w:val="24"/>
        </w:rPr>
      </w:pPr>
      <w:r>
        <w:rPr>
          <w:rFonts w:hint="eastAsia"/>
          <w:sz w:val="24"/>
          <w:szCs w:val="24"/>
        </w:rPr>
        <w:t>黄莹洁（固定收益（公募）投资助理总监、基金经理）</w:t>
      </w:r>
    </w:p>
    <w:p w14:paraId="71D9DCB7">
      <w:pPr>
        <w:adjustRightInd w:val="0"/>
        <w:snapToGrid w:val="0"/>
        <w:spacing w:line="360" w:lineRule="auto"/>
        <w:ind w:firstLine="1200" w:firstLineChars="500"/>
        <w:jc w:val="left"/>
        <w:rPr>
          <w:rFonts w:hint="eastAsia"/>
          <w:sz w:val="24"/>
          <w:szCs w:val="24"/>
        </w:rPr>
      </w:pPr>
      <w:r>
        <w:rPr>
          <w:rFonts w:hint="eastAsia"/>
          <w:sz w:val="24"/>
          <w:szCs w:val="24"/>
        </w:rPr>
        <w:t>马韬（研究总监）</w:t>
      </w:r>
    </w:p>
    <w:p w14:paraId="39BB1314">
      <w:pPr>
        <w:adjustRightInd w:val="0"/>
        <w:snapToGrid w:val="0"/>
        <w:spacing w:line="360" w:lineRule="auto"/>
        <w:ind w:firstLine="1200" w:firstLineChars="500"/>
        <w:rPr>
          <w:sz w:val="24"/>
          <w:szCs w:val="24"/>
        </w:rPr>
      </w:pPr>
      <w:r>
        <w:rPr>
          <w:rFonts w:hint="eastAsia"/>
          <w:sz w:val="24"/>
          <w:szCs w:val="24"/>
        </w:rPr>
        <w:t>樊继拓（多资产研究部副总经理）</w:t>
      </w:r>
    </w:p>
    <w:p w14:paraId="63752030">
      <w:pPr>
        <w:adjustRightInd w:val="0"/>
        <w:snapToGrid w:val="0"/>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14:paraId="4D1978EF">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14:paraId="2537245A">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14:paraId="3C5F6998">
      <w:pPr>
        <w:adjustRightInd w:val="0"/>
        <w:snapToGrid w:val="0"/>
        <w:spacing w:line="360" w:lineRule="auto"/>
        <w:ind w:firstLine="480" w:firstLineChars="200"/>
        <w:rPr>
          <w:sz w:val="24"/>
          <w:szCs w:val="24"/>
        </w:rPr>
      </w:pPr>
      <w:r>
        <w:rPr>
          <w:sz w:val="24"/>
          <w:szCs w:val="24"/>
        </w:rPr>
        <w:t>2、办理基金备案手续；</w:t>
      </w:r>
    </w:p>
    <w:p w14:paraId="14CE8187">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14:paraId="3E397ACA">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14:paraId="6A072142">
      <w:pPr>
        <w:adjustRightInd w:val="0"/>
        <w:snapToGrid w:val="0"/>
        <w:spacing w:line="360" w:lineRule="auto"/>
        <w:ind w:firstLine="480" w:firstLineChars="200"/>
        <w:rPr>
          <w:sz w:val="24"/>
          <w:szCs w:val="24"/>
        </w:rPr>
      </w:pPr>
      <w:r>
        <w:rPr>
          <w:sz w:val="24"/>
          <w:szCs w:val="24"/>
        </w:rPr>
        <w:t>5、进行基金会计核算并编制基金财务会计报告；</w:t>
      </w:r>
    </w:p>
    <w:p w14:paraId="1BC0A2A4">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4A5E2ED3">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14:paraId="1B06F5D0">
      <w:pPr>
        <w:adjustRightInd w:val="0"/>
        <w:snapToGrid w:val="0"/>
        <w:spacing w:line="360" w:lineRule="auto"/>
        <w:ind w:firstLine="480" w:firstLineChars="200"/>
        <w:rPr>
          <w:sz w:val="24"/>
          <w:szCs w:val="24"/>
        </w:rPr>
      </w:pPr>
      <w:r>
        <w:rPr>
          <w:sz w:val="24"/>
          <w:szCs w:val="24"/>
        </w:rPr>
        <w:t>8、办理与基金财产管理业务活动有关的信息披露事项；</w:t>
      </w:r>
    </w:p>
    <w:p w14:paraId="7CD7FA8D">
      <w:pPr>
        <w:adjustRightInd w:val="0"/>
        <w:snapToGrid w:val="0"/>
        <w:spacing w:line="360" w:lineRule="auto"/>
        <w:ind w:firstLine="480" w:firstLineChars="200"/>
        <w:rPr>
          <w:sz w:val="24"/>
          <w:szCs w:val="24"/>
        </w:rPr>
      </w:pPr>
      <w:r>
        <w:rPr>
          <w:sz w:val="24"/>
          <w:szCs w:val="24"/>
        </w:rPr>
        <w:t>9、按照规定召集基金份额持有人大会；</w:t>
      </w:r>
    </w:p>
    <w:p w14:paraId="6659BDF9">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14:paraId="51D5257E">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14:paraId="75B003C6">
      <w:pPr>
        <w:adjustRightInd w:val="0"/>
        <w:snapToGrid w:val="0"/>
        <w:spacing w:line="360" w:lineRule="auto"/>
        <w:ind w:firstLine="480" w:firstLineChars="200"/>
        <w:rPr>
          <w:sz w:val="24"/>
          <w:szCs w:val="24"/>
        </w:rPr>
      </w:pPr>
      <w:r>
        <w:rPr>
          <w:sz w:val="24"/>
          <w:szCs w:val="24"/>
        </w:rPr>
        <w:t>12、有关法律法规和中国证监会规定的其他职责。</w:t>
      </w:r>
    </w:p>
    <w:p w14:paraId="3410E37E">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14:paraId="46B2DABD">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14:paraId="56EDF230">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14:paraId="3A3B5086">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14:paraId="45BF0B0C">
      <w:pPr>
        <w:adjustRightInd w:val="0"/>
        <w:snapToGrid w:val="0"/>
        <w:spacing w:line="360" w:lineRule="auto"/>
        <w:ind w:firstLine="480" w:firstLineChars="200"/>
        <w:rPr>
          <w:sz w:val="24"/>
          <w:szCs w:val="24"/>
        </w:rPr>
      </w:pPr>
      <w:r>
        <w:rPr>
          <w:sz w:val="24"/>
          <w:szCs w:val="24"/>
        </w:rPr>
        <w:t>（2）不公平地对待管理的不同基金财产；</w:t>
      </w:r>
    </w:p>
    <w:p w14:paraId="66D8EDE0">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14:paraId="0A66E8C5">
      <w:pPr>
        <w:adjustRightInd w:val="0"/>
        <w:snapToGrid w:val="0"/>
        <w:spacing w:line="360" w:lineRule="auto"/>
        <w:ind w:firstLine="480" w:firstLineChars="200"/>
        <w:rPr>
          <w:sz w:val="24"/>
          <w:szCs w:val="24"/>
        </w:rPr>
      </w:pPr>
      <w:r>
        <w:rPr>
          <w:sz w:val="24"/>
          <w:szCs w:val="24"/>
        </w:rPr>
        <w:t>（4）向基金份额持有人违规承诺收益或者承担损失；</w:t>
      </w:r>
    </w:p>
    <w:p w14:paraId="46CFEE73">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14:paraId="041A59E9">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067D0796">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14:paraId="532A07DA">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14:paraId="18BB663E">
      <w:pPr>
        <w:adjustRightInd w:val="0"/>
        <w:snapToGrid w:val="0"/>
        <w:spacing w:line="360" w:lineRule="auto"/>
        <w:ind w:firstLine="480" w:firstLineChars="200"/>
        <w:rPr>
          <w:sz w:val="24"/>
          <w:szCs w:val="24"/>
        </w:rPr>
      </w:pPr>
      <w:r>
        <w:rPr>
          <w:sz w:val="24"/>
          <w:szCs w:val="24"/>
        </w:rPr>
        <w:t>5、基金管理人承诺不从事其他法规规定禁止从事的行为。</w:t>
      </w:r>
    </w:p>
    <w:p w14:paraId="7EEF73AC">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14:paraId="4403FD96">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14:paraId="127C16D7">
      <w:pPr>
        <w:adjustRightInd w:val="0"/>
        <w:snapToGrid w:val="0"/>
        <w:spacing w:line="360" w:lineRule="auto"/>
        <w:ind w:firstLine="480" w:firstLineChars="200"/>
        <w:rPr>
          <w:sz w:val="24"/>
          <w:szCs w:val="24"/>
        </w:rPr>
      </w:pPr>
      <w:r>
        <w:rPr>
          <w:sz w:val="24"/>
          <w:szCs w:val="24"/>
        </w:rPr>
        <w:t>2、不利用职务之便为自己、受雇人或任何第三者谋取利益；</w:t>
      </w:r>
    </w:p>
    <w:p w14:paraId="42E65962">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14:paraId="499BEB4F">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14:paraId="7B8AEC32">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14:paraId="677FCD04">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14:paraId="1BD6DDE1">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14:paraId="4E0D8297">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 并涵盖到决策、执行、监督、反馈等各个环节。</w:t>
      </w:r>
    </w:p>
    <w:p w14:paraId="346AAF90">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14:paraId="210F7815">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14:paraId="5A7201B6">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14:paraId="1F9E5DFC">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12722D71">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14:paraId="32B349F0">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14:paraId="2C040FBA">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14:paraId="1164E555">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2904B4C4">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14:paraId="37AE4B79">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3C91AE41">
      <w:pPr>
        <w:widowControl/>
        <w:adjustRightInd w:val="0"/>
        <w:snapToGrid w:val="0"/>
        <w:spacing w:line="360" w:lineRule="auto"/>
        <w:ind w:firstLine="480" w:firstLineChars="200"/>
        <w:rPr>
          <w:kern w:val="0"/>
          <w:sz w:val="24"/>
          <w:szCs w:val="24"/>
        </w:rPr>
      </w:pPr>
      <w:r>
        <w:rPr>
          <w:rFonts w:hint="eastAsia"/>
          <w:kern w:val="0"/>
          <w:sz w:val="24"/>
          <w:szCs w:val="24"/>
        </w:rPr>
        <w:t>（1）董事会</w:t>
      </w:r>
    </w:p>
    <w:p w14:paraId="30409286">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039C366B">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14:paraId="4EA0E853">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321FD5A3">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14:paraId="275BB33C">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6A0FC66E">
      <w:pPr>
        <w:widowControl/>
        <w:adjustRightInd w:val="0"/>
        <w:snapToGrid w:val="0"/>
        <w:spacing w:line="360" w:lineRule="auto"/>
        <w:ind w:firstLine="480" w:firstLineChars="200"/>
        <w:rPr>
          <w:kern w:val="0"/>
          <w:sz w:val="24"/>
          <w:szCs w:val="24"/>
        </w:rPr>
      </w:pPr>
      <w:r>
        <w:rPr>
          <w:rFonts w:hint="eastAsia"/>
          <w:kern w:val="0"/>
          <w:sz w:val="24"/>
          <w:szCs w:val="24"/>
        </w:rPr>
        <w:t>（4）督察长</w:t>
      </w:r>
    </w:p>
    <w:p w14:paraId="695ED9A2">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01154ACC">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14:paraId="1723792E">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211C8936">
      <w:pPr>
        <w:widowControl/>
        <w:adjustRightInd w:val="0"/>
        <w:snapToGrid w:val="0"/>
        <w:spacing w:line="360" w:lineRule="auto"/>
        <w:ind w:firstLine="480" w:firstLineChars="200"/>
        <w:rPr>
          <w:kern w:val="0"/>
          <w:sz w:val="24"/>
          <w:szCs w:val="24"/>
        </w:rPr>
      </w:pPr>
      <w:r>
        <w:rPr>
          <w:rFonts w:hint="eastAsia"/>
          <w:kern w:val="0"/>
          <w:sz w:val="24"/>
          <w:szCs w:val="24"/>
        </w:rPr>
        <w:t>（6）审计部</w:t>
      </w:r>
    </w:p>
    <w:p w14:paraId="20246523">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70070E6F">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14:paraId="27989DB2">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3CF83DB9">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14:paraId="3B1D24B5">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14:paraId="625F96A1">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14:paraId="744D693B">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14:paraId="241A332F">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16CBC74C">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14:paraId="4BE0B01E">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621F1665">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14:paraId="1BC9304F">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39A9F74F">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14:paraId="0F889075">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1FF94545">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14:paraId="59CC40D5">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14:paraId="01EA538A">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14:paraId="3F83A20D">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48104F2F">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14:paraId="3420B844">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bookmarkStart w:id="9" w:name="_Toc109537382"/>
      <w:r>
        <w:rPr>
          <w:kern w:val="0"/>
          <w:sz w:val="24"/>
          <w:szCs w:val="24"/>
        </w:rPr>
        <w:br w:type="page"/>
      </w:r>
    </w:p>
    <w:p w14:paraId="29B66488">
      <w:pPr>
        <w:spacing w:line="360" w:lineRule="auto"/>
        <w:jc w:val="center"/>
        <w:outlineLvl w:val="0"/>
        <w:rPr>
          <w:rFonts w:ascii="宋体" w:hAnsi="宋体"/>
          <w:b/>
          <w:kern w:val="0"/>
          <w:sz w:val="30"/>
        </w:rPr>
      </w:pPr>
      <w:bookmarkStart w:id="10" w:name="_Toc48122005"/>
      <w:r>
        <w:rPr>
          <w:rFonts w:hint="eastAsia" w:ascii="宋体" w:hAnsi="宋体"/>
          <w:b/>
          <w:kern w:val="0"/>
          <w:sz w:val="30"/>
        </w:rPr>
        <w:t>四、基金托管人</w:t>
      </w:r>
      <w:bookmarkEnd w:id="9"/>
      <w:bookmarkEnd w:id="10"/>
    </w:p>
    <w:p w14:paraId="77229361">
      <w:pPr>
        <w:adjustRightInd w:val="0"/>
        <w:snapToGrid w:val="0"/>
        <w:spacing w:line="360" w:lineRule="auto"/>
        <w:ind w:firstLine="482" w:firstLineChars="200"/>
        <w:outlineLvl w:val="1"/>
        <w:rPr>
          <w:b/>
          <w:sz w:val="24"/>
          <w:szCs w:val="24"/>
        </w:rPr>
      </w:pPr>
      <w:r>
        <w:rPr>
          <w:rFonts w:hint="eastAsia"/>
          <w:b/>
          <w:sz w:val="24"/>
          <w:szCs w:val="24"/>
        </w:rPr>
        <w:t>（</w:t>
      </w:r>
      <w:r>
        <w:rPr>
          <w:rFonts w:hAnsi="宋体"/>
          <w:b/>
          <w:sz w:val="24"/>
          <w:szCs w:val="24"/>
        </w:rPr>
        <w:t>一</w:t>
      </w:r>
      <w:r>
        <w:rPr>
          <w:rFonts w:hint="eastAsia"/>
          <w:b/>
          <w:sz w:val="24"/>
          <w:szCs w:val="24"/>
        </w:rPr>
        <w:t>）</w:t>
      </w:r>
      <w:r>
        <w:rPr>
          <w:rFonts w:hAnsi="宋体"/>
          <w:b/>
          <w:sz w:val="24"/>
          <w:szCs w:val="24"/>
        </w:rPr>
        <w:t>基金托管人情况</w:t>
      </w:r>
    </w:p>
    <w:p w14:paraId="5090061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1、基本情况</w:t>
      </w:r>
    </w:p>
    <w:p w14:paraId="433DF3E4">
      <w:pPr>
        <w:widowControl/>
        <w:adjustRightInd w:val="0"/>
        <w:snapToGrid w:val="0"/>
        <w:spacing w:line="360" w:lineRule="auto"/>
        <w:ind w:firstLine="480" w:firstLineChars="200"/>
        <w:rPr>
          <w:kern w:val="0"/>
          <w:sz w:val="24"/>
          <w:szCs w:val="24"/>
        </w:rPr>
      </w:pPr>
      <w:r>
        <w:rPr>
          <w:rFonts w:hint="eastAsia"/>
          <w:kern w:val="0"/>
          <w:sz w:val="24"/>
          <w:szCs w:val="24"/>
        </w:rPr>
        <w:t>名称：中国农业银行股份有限公司（简称“中国农业银行”）</w:t>
      </w:r>
    </w:p>
    <w:p w14:paraId="67E999CB">
      <w:pPr>
        <w:widowControl/>
        <w:adjustRightInd w:val="0"/>
        <w:snapToGrid w:val="0"/>
        <w:spacing w:line="360" w:lineRule="auto"/>
        <w:ind w:firstLine="480" w:firstLineChars="200"/>
        <w:rPr>
          <w:kern w:val="0"/>
          <w:sz w:val="24"/>
          <w:szCs w:val="24"/>
        </w:rPr>
      </w:pPr>
      <w:r>
        <w:rPr>
          <w:rFonts w:hint="eastAsia"/>
          <w:kern w:val="0"/>
          <w:sz w:val="24"/>
          <w:szCs w:val="24"/>
        </w:rPr>
        <w:t>住所：北京市东城区建国门内大街69号</w:t>
      </w:r>
    </w:p>
    <w:p w14:paraId="6B708813">
      <w:pPr>
        <w:widowControl/>
        <w:adjustRightInd w:val="0"/>
        <w:snapToGrid w:val="0"/>
        <w:spacing w:line="360" w:lineRule="auto"/>
        <w:ind w:firstLine="480" w:firstLineChars="200"/>
        <w:rPr>
          <w:kern w:val="0"/>
          <w:sz w:val="24"/>
          <w:szCs w:val="24"/>
        </w:rPr>
      </w:pPr>
      <w:r>
        <w:rPr>
          <w:rFonts w:hint="eastAsia"/>
          <w:kern w:val="0"/>
          <w:sz w:val="24"/>
          <w:szCs w:val="24"/>
        </w:rPr>
        <w:t>办公地址：北京市西城区复兴门内大街28号凯晨世贸中心东座</w:t>
      </w:r>
    </w:p>
    <w:p w14:paraId="0D9E3B46">
      <w:pPr>
        <w:widowControl/>
        <w:adjustRightInd w:val="0"/>
        <w:snapToGrid w:val="0"/>
        <w:spacing w:line="360" w:lineRule="auto"/>
        <w:ind w:firstLine="480" w:firstLineChars="200"/>
        <w:rPr>
          <w:kern w:val="0"/>
          <w:sz w:val="24"/>
          <w:szCs w:val="24"/>
        </w:rPr>
      </w:pPr>
      <w:r>
        <w:rPr>
          <w:rFonts w:hint="eastAsia"/>
          <w:kern w:val="0"/>
          <w:sz w:val="24"/>
          <w:szCs w:val="24"/>
        </w:rPr>
        <w:t>法定代表人：谷澍</w:t>
      </w:r>
    </w:p>
    <w:p w14:paraId="7EEC7234">
      <w:pPr>
        <w:widowControl/>
        <w:adjustRightInd w:val="0"/>
        <w:snapToGrid w:val="0"/>
        <w:spacing w:line="360" w:lineRule="auto"/>
        <w:ind w:firstLine="480" w:firstLineChars="200"/>
        <w:rPr>
          <w:kern w:val="0"/>
          <w:sz w:val="24"/>
          <w:szCs w:val="24"/>
        </w:rPr>
      </w:pPr>
      <w:r>
        <w:rPr>
          <w:rFonts w:hint="eastAsia"/>
          <w:kern w:val="0"/>
          <w:sz w:val="24"/>
          <w:szCs w:val="24"/>
        </w:rPr>
        <w:t>成立日期：2009年1月15日</w:t>
      </w:r>
    </w:p>
    <w:p w14:paraId="07DD201F">
      <w:pPr>
        <w:widowControl/>
        <w:adjustRightInd w:val="0"/>
        <w:snapToGrid w:val="0"/>
        <w:spacing w:line="360" w:lineRule="auto"/>
        <w:ind w:firstLine="480" w:firstLineChars="200"/>
        <w:rPr>
          <w:kern w:val="0"/>
          <w:sz w:val="24"/>
          <w:szCs w:val="24"/>
        </w:rPr>
      </w:pPr>
      <w:r>
        <w:rPr>
          <w:rFonts w:hint="eastAsia"/>
          <w:kern w:val="0"/>
          <w:sz w:val="24"/>
          <w:szCs w:val="24"/>
        </w:rPr>
        <w:t>批准设立机关和批准设立文号：中国银监会银监复[2009]13号</w:t>
      </w:r>
    </w:p>
    <w:p w14:paraId="4241E0A5">
      <w:pPr>
        <w:widowControl/>
        <w:adjustRightInd w:val="0"/>
        <w:snapToGrid w:val="0"/>
        <w:spacing w:line="360" w:lineRule="auto"/>
        <w:ind w:firstLine="480" w:firstLineChars="200"/>
        <w:rPr>
          <w:kern w:val="0"/>
          <w:sz w:val="24"/>
          <w:szCs w:val="24"/>
        </w:rPr>
      </w:pPr>
      <w:r>
        <w:rPr>
          <w:rFonts w:hint="eastAsia"/>
          <w:kern w:val="0"/>
          <w:sz w:val="24"/>
          <w:szCs w:val="24"/>
        </w:rPr>
        <w:t>基金托管资格批文及文号：中国证监会证监基字[1998]23号</w:t>
      </w:r>
    </w:p>
    <w:p w14:paraId="42E2238D">
      <w:pPr>
        <w:widowControl/>
        <w:adjustRightInd w:val="0"/>
        <w:snapToGrid w:val="0"/>
        <w:spacing w:line="360" w:lineRule="auto"/>
        <w:ind w:firstLine="480" w:firstLineChars="200"/>
        <w:rPr>
          <w:kern w:val="0"/>
          <w:sz w:val="24"/>
          <w:szCs w:val="24"/>
        </w:rPr>
      </w:pPr>
      <w:r>
        <w:rPr>
          <w:rFonts w:hint="eastAsia"/>
          <w:kern w:val="0"/>
          <w:sz w:val="24"/>
          <w:szCs w:val="24"/>
        </w:rPr>
        <w:t>注册资本：34,998,303.4万元人民币</w:t>
      </w:r>
    </w:p>
    <w:p w14:paraId="53C982B4">
      <w:pPr>
        <w:widowControl/>
        <w:adjustRightInd w:val="0"/>
        <w:snapToGrid w:val="0"/>
        <w:spacing w:line="360" w:lineRule="auto"/>
        <w:ind w:firstLine="480" w:firstLineChars="200"/>
        <w:rPr>
          <w:kern w:val="0"/>
          <w:sz w:val="24"/>
          <w:szCs w:val="24"/>
        </w:rPr>
      </w:pPr>
      <w:r>
        <w:rPr>
          <w:rFonts w:hint="eastAsia"/>
          <w:kern w:val="0"/>
          <w:sz w:val="24"/>
          <w:szCs w:val="24"/>
        </w:rPr>
        <w:t>存续期间：持续经营</w:t>
      </w:r>
    </w:p>
    <w:p w14:paraId="1008A477">
      <w:pPr>
        <w:widowControl/>
        <w:adjustRightInd w:val="0"/>
        <w:snapToGrid w:val="0"/>
        <w:spacing w:line="360" w:lineRule="auto"/>
        <w:ind w:firstLine="480" w:firstLineChars="200"/>
        <w:rPr>
          <w:kern w:val="0"/>
          <w:sz w:val="24"/>
          <w:szCs w:val="24"/>
        </w:rPr>
      </w:pPr>
      <w:r>
        <w:rPr>
          <w:rFonts w:hint="eastAsia"/>
          <w:kern w:val="0"/>
          <w:sz w:val="24"/>
          <w:szCs w:val="24"/>
        </w:rPr>
        <w:t>联系电话：010-66060069</w:t>
      </w:r>
    </w:p>
    <w:p w14:paraId="2C7989E5">
      <w:pPr>
        <w:widowControl/>
        <w:adjustRightInd w:val="0"/>
        <w:snapToGrid w:val="0"/>
        <w:spacing w:line="360" w:lineRule="auto"/>
        <w:ind w:firstLine="480" w:firstLineChars="200"/>
        <w:rPr>
          <w:kern w:val="0"/>
          <w:sz w:val="24"/>
          <w:szCs w:val="24"/>
        </w:rPr>
      </w:pPr>
      <w:r>
        <w:rPr>
          <w:rFonts w:hint="eastAsia"/>
          <w:kern w:val="0"/>
          <w:sz w:val="24"/>
          <w:szCs w:val="24"/>
        </w:rPr>
        <w:t>传真：010-68121816</w:t>
      </w:r>
    </w:p>
    <w:p w14:paraId="67E65B08">
      <w:pPr>
        <w:widowControl/>
        <w:adjustRightInd w:val="0"/>
        <w:snapToGrid w:val="0"/>
        <w:spacing w:line="360" w:lineRule="auto"/>
        <w:ind w:firstLine="480" w:firstLineChars="200"/>
        <w:rPr>
          <w:kern w:val="0"/>
          <w:sz w:val="24"/>
          <w:szCs w:val="24"/>
        </w:rPr>
      </w:pPr>
      <w:r>
        <w:rPr>
          <w:rFonts w:hint="eastAsia"/>
          <w:kern w:val="0"/>
          <w:sz w:val="24"/>
          <w:szCs w:val="24"/>
        </w:rPr>
        <w:t>联系人：任航</w:t>
      </w:r>
    </w:p>
    <w:p w14:paraId="28EC84C9">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2DCF8E9D">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4C207576">
      <w:pPr>
        <w:widowControl/>
        <w:adjustRightInd w:val="0"/>
        <w:snapToGrid w:val="0"/>
        <w:spacing w:line="360" w:lineRule="auto"/>
        <w:ind w:firstLine="480" w:firstLineChars="200"/>
        <w:rPr>
          <w:bCs/>
          <w:kern w:val="0"/>
          <w:sz w:val="24"/>
          <w:szCs w:val="24"/>
        </w:rPr>
      </w:pPr>
      <w:r>
        <w:rPr>
          <w:rFonts w:hint="eastAsia"/>
          <w:kern w:val="0"/>
          <w:sz w:val="24"/>
          <w:szCs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14:paraId="30BDE5AC">
      <w:pPr>
        <w:widowControl/>
        <w:numPr>
          <w:ilvl w:val="255"/>
          <w:numId w:val="0"/>
        </w:numPr>
        <w:adjustRightInd w:val="0"/>
        <w:snapToGrid w:val="0"/>
        <w:spacing w:line="360" w:lineRule="auto"/>
        <w:ind w:firstLine="480" w:firstLineChars="200"/>
        <w:rPr>
          <w:kern w:val="0"/>
          <w:sz w:val="24"/>
          <w:szCs w:val="24"/>
        </w:rPr>
      </w:pPr>
      <w:r>
        <w:rPr>
          <w:rFonts w:hint="eastAsia"/>
          <w:kern w:val="0"/>
          <w:sz w:val="24"/>
          <w:szCs w:val="24"/>
        </w:rPr>
        <w:t>2、主要人员情况</w:t>
      </w:r>
    </w:p>
    <w:p w14:paraId="2367EB36">
      <w:pPr>
        <w:widowControl/>
        <w:adjustRightInd w:val="0"/>
        <w:snapToGrid w:val="0"/>
        <w:spacing w:line="360" w:lineRule="auto"/>
        <w:ind w:firstLine="480" w:firstLineChars="200"/>
        <w:rPr>
          <w:kern w:val="0"/>
          <w:sz w:val="24"/>
          <w:szCs w:val="24"/>
        </w:rPr>
      </w:pPr>
      <w:r>
        <w:rPr>
          <w:rFonts w:hint="eastAsia"/>
          <w:kern w:val="0"/>
          <w:sz w:val="24"/>
          <w:szCs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023A338E">
      <w:pPr>
        <w:widowControl/>
        <w:adjustRightInd w:val="0"/>
        <w:snapToGrid w:val="0"/>
        <w:spacing w:line="360" w:lineRule="auto"/>
        <w:ind w:firstLine="480" w:firstLineChars="200"/>
        <w:rPr>
          <w:kern w:val="0"/>
          <w:sz w:val="24"/>
          <w:szCs w:val="24"/>
        </w:rPr>
      </w:pPr>
      <w:r>
        <w:rPr>
          <w:rFonts w:hint="eastAsia"/>
          <w:kern w:val="0"/>
          <w:sz w:val="24"/>
          <w:szCs w:val="24"/>
        </w:rPr>
        <w:t>3、基金托管业务经营情况</w:t>
      </w:r>
    </w:p>
    <w:p w14:paraId="4C10F539">
      <w:pPr>
        <w:widowControl/>
        <w:adjustRightInd w:val="0"/>
        <w:snapToGrid w:val="0"/>
        <w:spacing w:line="360" w:lineRule="auto"/>
        <w:ind w:firstLine="480" w:firstLineChars="200"/>
        <w:rPr>
          <w:kern w:val="0"/>
          <w:sz w:val="24"/>
          <w:szCs w:val="24"/>
        </w:rPr>
      </w:pPr>
      <w:r>
        <w:rPr>
          <w:rFonts w:hint="eastAsia"/>
          <w:kern w:val="0"/>
          <w:sz w:val="24"/>
          <w:szCs w:val="24"/>
        </w:rPr>
        <w:t>截止到2026年3月31日，中国农业银行托管的封闭式证券投资基金和开放式证券投资基金共1027只。</w:t>
      </w:r>
    </w:p>
    <w:p w14:paraId="59411F32">
      <w:pPr>
        <w:spacing w:line="360" w:lineRule="auto"/>
        <w:ind w:firstLine="482" w:firstLineChars="200"/>
        <w:outlineLvl w:val="1"/>
        <w:rPr>
          <w:rFonts w:ascii="宋体" w:hAnsi="宋体" w:cs="宋体"/>
          <w:b/>
          <w:kern w:val="0"/>
          <w:sz w:val="24"/>
          <w:szCs w:val="24"/>
        </w:rPr>
      </w:pPr>
      <w:r>
        <w:rPr>
          <w:rFonts w:hint="eastAsia" w:ascii="宋体" w:hAnsi="宋体" w:cs="宋体"/>
          <w:b/>
          <w:kern w:val="0"/>
          <w:sz w:val="24"/>
          <w:szCs w:val="24"/>
        </w:rPr>
        <w:t>（二）基金托管人的内部风险控制制度说明</w:t>
      </w:r>
    </w:p>
    <w:p w14:paraId="67D9B247">
      <w:pPr>
        <w:snapToGrid w:val="0"/>
        <w:spacing w:line="360" w:lineRule="auto"/>
        <w:ind w:firstLine="480" w:firstLineChars="200"/>
        <w:rPr>
          <w:bCs/>
          <w:kern w:val="0"/>
          <w:sz w:val="24"/>
          <w:szCs w:val="24"/>
        </w:rPr>
      </w:pPr>
      <w:r>
        <w:rPr>
          <w:rFonts w:hint="eastAsia"/>
          <w:bCs/>
          <w:kern w:val="0"/>
          <w:sz w:val="24"/>
          <w:szCs w:val="24"/>
        </w:rPr>
        <w:t>1、内部控制目标</w:t>
      </w:r>
    </w:p>
    <w:p w14:paraId="7484E709">
      <w:pPr>
        <w:snapToGrid w:val="0"/>
        <w:spacing w:line="360" w:lineRule="auto"/>
        <w:ind w:firstLine="480" w:firstLineChars="200"/>
        <w:rPr>
          <w:bCs/>
          <w:kern w:val="0"/>
          <w:sz w:val="24"/>
          <w:szCs w:val="24"/>
        </w:rPr>
      </w:pPr>
      <w:r>
        <w:rPr>
          <w:rFonts w:hint="eastAsia"/>
          <w:bCs/>
          <w:kern w:val="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420CF41F">
      <w:pPr>
        <w:snapToGrid w:val="0"/>
        <w:spacing w:line="360" w:lineRule="auto"/>
        <w:ind w:firstLine="480" w:firstLineChars="200"/>
        <w:rPr>
          <w:bCs/>
          <w:kern w:val="0"/>
          <w:sz w:val="24"/>
          <w:szCs w:val="24"/>
        </w:rPr>
      </w:pPr>
      <w:r>
        <w:rPr>
          <w:rFonts w:hint="eastAsia"/>
          <w:bCs/>
          <w:kern w:val="0"/>
          <w:sz w:val="24"/>
          <w:szCs w:val="24"/>
        </w:rPr>
        <w:t>2、内部控制组织结构</w:t>
      </w:r>
    </w:p>
    <w:p w14:paraId="0611D620">
      <w:pPr>
        <w:snapToGrid w:val="0"/>
        <w:spacing w:line="360" w:lineRule="auto"/>
        <w:ind w:firstLine="480" w:firstLineChars="200"/>
        <w:rPr>
          <w:bCs/>
          <w:kern w:val="0"/>
          <w:sz w:val="24"/>
          <w:szCs w:val="24"/>
        </w:rPr>
      </w:pPr>
      <w:r>
        <w:rPr>
          <w:rFonts w:hint="eastAsia"/>
          <w:bCs/>
          <w:kern w:val="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6254B4FD">
      <w:pPr>
        <w:snapToGrid w:val="0"/>
        <w:spacing w:line="360" w:lineRule="auto"/>
        <w:ind w:firstLine="480" w:firstLineChars="200"/>
        <w:rPr>
          <w:bCs/>
          <w:kern w:val="0"/>
          <w:sz w:val="24"/>
          <w:szCs w:val="24"/>
        </w:rPr>
      </w:pPr>
      <w:r>
        <w:rPr>
          <w:rFonts w:hint="eastAsia"/>
          <w:bCs/>
          <w:kern w:val="0"/>
          <w:sz w:val="24"/>
          <w:szCs w:val="24"/>
        </w:rPr>
        <w:t>3、内部控制制度及措施</w:t>
      </w:r>
    </w:p>
    <w:p w14:paraId="00052642">
      <w:pPr>
        <w:snapToGrid w:val="0"/>
        <w:spacing w:line="360" w:lineRule="auto"/>
        <w:ind w:firstLine="480" w:firstLineChars="200"/>
        <w:rPr>
          <w:bCs/>
          <w:kern w:val="0"/>
          <w:sz w:val="24"/>
          <w:szCs w:val="24"/>
        </w:rPr>
      </w:pPr>
      <w:r>
        <w:rPr>
          <w:rFonts w:hint="eastAsia"/>
          <w:bCs/>
          <w:kern w:val="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F7F22E3">
      <w:pPr>
        <w:widowControl/>
        <w:spacing w:line="360" w:lineRule="auto"/>
        <w:ind w:right="-178" w:rightChars="-85" w:firstLine="482" w:firstLineChars="200"/>
        <w:outlineLvl w:val="1"/>
        <w:rPr>
          <w:rFonts w:ascii="宋体" w:hAnsi="宋体" w:cs="宋体"/>
          <w:b/>
          <w:kern w:val="0"/>
          <w:sz w:val="24"/>
          <w:szCs w:val="24"/>
        </w:rPr>
      </w:pPr>
      <w:r>
        <w:rPr>
          <w:rFonts w:hint="eastAsia" w:ascii="宋体" w:hAnsi="宋体" w:cs="宋体"/>
          <w:b/>
          <w:kern w:val="0"/>
          <w:sz w:val="24"/>
          <w:szCs w:val="24"/>
        </w:rPr>
        <w:t>（三）基金托管人对基金管理人运作基金进行监督的方法和程序</w:t>
      </w:r>
    </w:p>
    <w:p w14:paraId="19A4C9D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676EFE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当基金出现异常交易行为时，基金托管人应当针对不同情况进行以下方式的处理：</w:t>
      </w:r>
    </w:p>
    <w:p w14:paraId="70DC7C2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1、电话提示。对媒体和舆论反映集中的问题，电话提示基金管理人；</w:t>
      </w:r>
    </w:p>
    <w:p w14:paraId="7B41595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2、书面警示。对本基金投资比例接近超标、资金头寸不足等问题，以书面方式对基金管理人进行提示；</w:t>
      </w:r>
    </w:p>
    <w:p w14:paraId="26CBF780">
      <w:pPr>
        <w:adjustRightInd w:val="0"/>
        <w:snapToGrid w:val="0"/>
        <w:spacing w:line="360" w:lineRule="auto"/>
        <w:ind w:firstLine="480" w:firstLineChars="200"/>
        <w:rPr>
          <w:color w:val="000000"/>
          <w:sz w:val="24"/>
          <w:szCs w:val="24"/>
        </w:rPr>
      </w:pPr>
      <w:r>
        <w:rPr>
          <w:rFonts w:hint="eastAsia"/>
          <w:bCs/>
          <w:kern w:val="0"/>
          <w:sz w:val="24"/>
          <w:szCs w:val="24"/>
        </w:rPr>
        <w:t>3、书面报告。对投资比例超标、清算资金透支以及其他涉嫌违规交易等行为，书面提示有关基金管理人并报中国证监会。</w:t>
      </w:r>
    </w:p>
    <w:p w14:paraId="670E9373">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bookmarkStart w:id="11" w:name="_Toc109537383"/>
      <w:r>
        <w:rPr>
          <w:rFonts w:ascii="宋体" w:hAnsi="宋体"/>
          <w:b/>
          <w:kern w:val="0"/>
          <w:sz w:val="30"/>
        </w:rPr>
        <w:br w:type="page"/>
      </w:r>
      <w:bookmarkStart w:id="12" w:name="_Toc48122006"/>
      <w:r>
        <w:rPr>
          <w:rFonts w:hint="eastAsia" w:ascii="宋体" w:hAnsi="宋体"/>
          <w:b/>
          <w:kern w:val="0"/>
          <w:sz w:val="30"/>
        </w:rPr>
        <w:t>五、相关服务机构</w:t>
      </w:r>
      <w:bookmarkEnd w:id="11"/>
      <w:bookmarkEnd w:id="12"/>
    </w:p>
    <w:p w14:paraId="74576C0B">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14:paraId="3C2B8E5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1、直销机构</w:t>
      </w:r>
    </w:p>
    <w:p w14:paraId="7E34F7ED">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14:paraId="31D31FA3">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14:paraId="3AA14EF5">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14:paraId="09A69D3F">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14:paraId="199B1B1B">
      <w:pPr>
        <w:adjustRightInd w:val="0"/>
        <w:snapToGrid w:val="0"/>
        <w:spacing w:line="360" w:lineRule="auto"/>
        <w:ind w:firstLine="465"/>
        <w:rPr>
          <w:rFonts w:hint="eastAsia" w:hAnsi="宋体" w:eastAsia="宋体"/>
          <w:sz w:val="24"/>
          <w:lang w:eastAsia="zh-CN"/>
        </w:rPr>
      </w:pPr>
      <w:r>
        <w:rPr>
          <w:rFonts w:hAnsi="宋体"/>
          <w:sz w:val="24"/>
        </w:rPr>
        <w:t>法定代表人：</w:t>
      </w:r>
      <w:r>
        <w:rPr>
          <w:rFonts w:hint="eastAsia" w:hAnsi="宋体"/>
          <w:sz w:val="24"/>
          <w:lang w:eastAsia="zh-CN"/>
        </w:rPr>
        <w:t>袁庆伟（代任）</w:t>
      </w:r>
    </w:p>
    <w:p w14:paraId="2E36B9C3">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14:paraId="12BE6DEC">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14:paraId="25E347BA">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14:paraId="089B3664">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14:paraId="504FFFD0">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14:paraId="64F1047F">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14:paraId="7152A8B8">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14:paraId="4B9B2DED">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14:paraId="5913CFE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2、除基金管理人之外的其他销售机构</w:t>
      </w:r>
      <w:bookmarkStart w:id="111" w:name="_GoBack"/>
      <w:bookmarkEnd w:id="111"/>
    </w:p>
    <w:p w14:paraId="5FB66871">
      <w:pPr>
        <w:widowControl/>
        <w:adjustRightInd w:val="0"/>
        <w:snapToGrid w:val="0"/>
        <w:spacing w:line="360" w:lineRule="auto"/>
        <w:ind w:firstLine="480" w:firstLineChars="200"/>
        <w:rPr>
          <w:rFonts w:hint="eastAsia"/>
          <w:kern w:val="0"/>
          <w:sz w:val="24"/>
        </w:rPr>
      </w:pPr>
      <w:r>
        <w:rPr>
          <w:rFonts w:hint="eastAsia"/>
          <w:kern w:val="0"/>
          <w:sz w:val="24"/>
        </w:rPr>
        <w:t>（</w:t>
      </w:r>
      <w:r>
        <w:rPr>
          <w:rFonts w:hint="eastAsia"/>
          <w:kern w:val="0"/>
          <w:sz w:val="24"/>
          <w:lang w:val="en-US" w:eastAsia="zh-CN"/>
        </w:rPr>
        <w:t>1</w:t>
      </w:r>
      <w:r>
        <w:rPr>
          <w:rFonts w:hint="eastAsia"/>
          <w:kern w:val="0"/>
          <w:sz w:val="24"/>
        </w:rPr>
        <w:t>）名称：交通银行股份有限公司</w:t>
      </w:r>
    </w:p>
    <w:p w14:paraId="754740B2">
      <w:pPr>
        <w:widowControl/>
        <w:adjustRightInd w:val="0"/>
        <w:snapToGrid w:val="0"/>
        <w:spacing w:line="360" w:lineRule="auto"/>
        <w:ind w:firstLine="480" w:firstLineChars="200"/>
        <w:rPr>
          <w:rFonts w:hint="eastAsia"/>
          <w:kern w:val="0"/>
          <w:sz w:val="24"/>
        </w:rPr>
      </w:pPr>
      <w:r>
        <w:rPr>
          <w:rFonts w:hint="eastAsia"/>
          <w:kern w:val="0"/>
          <w:sz w:val="24"/>
        </w:rPr>
        <w:t>住所：上海市浦东新区银城中路188号</w:t>
      </w:r>
    </w:p>
    <w:p w14:paraId="637A5616">
      <w:pPr>
        <w:widowControl/>
        <w:adjustRightInd w:val="0"/>
        <w:snapToGrid w:val="0"/>
        <w:spacing w:line="360" w:lineRule="auto"/>
        <w:ind w:firstLine="480" w:firstLineChars="200"/>
        <w:rPr>
          <w:rFonts w:hint="eastAsia"/>
          <w:kern w:val="0"/>
          <w:sz w:val="24"/>
        </w:rPr>
      </w:pPr>
      <w:r>
        <w:rPr>
          <w:rFonts w:hint="eastAsia"/>
          <w:kern w:val="0"/>
          <w:sz w:val="24"/>
        </w:rPr>
        <w:t>办公地址：上海市浦东新区银城中路188号</w:t>
      </w:r>
    </w:p>
    <w:p w14:paraId="0B752E8A">
      <w:pPr>
        <w:widowControl/>
        <w:adjustRightInd w:val="0"/>
        <w:snapToGrid w:val="0"/>
        <w:spacing w:line="360" w:lineRule="auto"/>
        <w:ind w:firstLine="480" w:firstLineChars="200"/>
        <w:rPr>
          <w:rFonts w:hint="eastAsia"/>
          <w:kern w:val="0"/>
          <w:sz w:val="24"/>
        </w:rPr>
      </w:pPr>
      <w:r>
        <w:rPr>
          <w:rFonts w:hint="eastAsia"/>
          <w:kern w:val="0"/>
          <w:sz w:val="24"/>
        </w:rPr>
        <w:t>法定代表人：任德奇</w:t>
      </w:r>
    </w:p>
    <w:p w14:paraId="4572DF48">
      <w:pPr>
        <w:widowControl/>
        <w:adjustRightInd w:val="0"/>
        <w:snapToGrid w:val="0"/>
        <w:spacing w:line="360" w:lineRule="auto"/>
        <w:ind w:firstLine="480" w:firstLineChars="200"/>
        <w:rPr>
          <w:rFonts w:hint="eastAsia"/>
          <w:kern w:val="0"/>
          <w:sz w:val="24"/>
        </w:rPr>
      </w:pPr>
      <w:r>
        <w:rPr>
          <w:rFonts w:hint="eastAsia"/>
          <w:kern w:val="0"/>
          <w:sz w:val="24"/>
        </w:rPr>
        <w:t>电话：（021）58781234</w:t>
      </w:r>
    </w:p>
    <w:p w14:paraId="68445B6A">
      <w:pPr>
        <w:widowControl/>
        <w:adjustRightInd w:val="0"/>
        <w:snapToGrid w:val="0"/>
        <w:spacing w:line="360" w:lineRule="auto"/>
        <w:ind w:firstLine="480" w:firstLineChars="200"/>
        <w:rPr>
          <w:rFonts w:hint="eastAsia"/>
          <w:kern w:val="0"/>
          <w:sz w:val="24"/>
        </w:rPr>
      </w:pPr>
      <w:r>
        <w:rPr>
          <w:rFonts w:hint="eastAsia"/>
          <w:kern w:val="0"/>
          <w:sz w:val="24"/>
        </w:rPr>
        <w:t>传真：（021）58408483</w:t>
      </w:r>
    </w:p>
    <w:p w14:paraId="5A3BD32F">
      <w:pPr>
        <w:widowControl/>
        <w:adjustRightInd w:val="0"/>
        <w:snapToGrid w:val="0"/>
        <w:spacing w:line="360" w:lineRule="auto"/>
        <w:ind w:firstLine="480" w:firstLineChars="200"/>
        <w:rPr>
          <w:rFonts w:hint="eastAsia"/>
          <w:kern w:val="0"/>
          <w:sz w:val="24"/>
        </w:rPr>
      </w:pPr>
      <w:r>
        <w:rPr>
          <w:rFonts w:hint="eastAsia"/>
          <w:kern w:val="0"/>
          <w:sz w:val="24"/>
        </w:rPr>
        <w:t>联系人：范瑞波</w:t>
      </w:r>
    </w:p>
    <w:p w14:paraId="2F673ACB">
      <w:pPr>
        <w:widowControl/>
        <w:adjustRightInd w:val="0"/>
        <w:snapToGrid w:val="0"/>
        <w:spacing w:line="360" w:lineRule="auto"/>
        <w:ind w:firstLine="480" w:firstLineChars="200"/>
        <w:rPr>
          <w:rFonts w:hint="eastAsia"/>
          <w:kern w:val="0"/>
          <w:sz w:val="24"/>
        </w:rPr>
      </w:pPr>
      <w:r>
        <w:rPr>
          <w:rFonts w:hint="eastAsia"/>
          <w:kern w:val="0"/>
          <w:sz w:val="24"/>
        </w:rPr>
        <w:t>客户服务电话：95559</w:t>
      </w:r>
    </w:p>
    <w:p w14:paraId="1F6DB77C">
      <w:pPr>
        <w:widowControl/>
        <w:adjustRightInd w:val="0"/>
        <w:snapToGrid w:val="0"/>
        <w:spacing w:line="360" w:lineRule="auto"/>
        <w:ind w:firstLine="480" w:firstLineChars="200"/>
        <w:rPr>
          <w:kern w:val="0"/>
          <w:sz w:val="24"/>
        </w:rPr>
      </w:pPr>
      <w:r>
        <w:rPr>
          <w:rFonts w:hint="eastAsia"/>
          <w:kern w:val="0"/>
          <w:sz w:val="24"/>
        </w:rPr>
        <w:t>网址：www.bankcomm.com</w:t>
      </w:r>
    </w:p>
    <w:p w14:paraId="66BAD182">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14:paraId="541AA26D">
      <w:pPr>
        <w:widowControl/>
        <w:adjustRightInd w:val="0"/>
        <w:snapToGrid w:val="0"/>
        <w:spacing w:line="360" w:lineRule="auto"/>
        <w:ind w:firstLine="482" w:firstLineChars="200"/>
        <w:outlineLvl w:val="1"/>
        <w:rPr>
          <w:b/>
          <w:kern w:val="0"/>
          <w:sz w:val="24"/>
        </w:rPr>
      </w:pPr>
      <w:r>
        <w:rPr>
          <w:rFonts w:hAnsi="宋体"/>
          <w:b/>
          <w:kern w:val="0"/>
          <w:sz w:val="24"/>
        </w:rPr>
        <w:t>（二）登记机构</w:t>
      </w:r>
    </w:p>
    <w:p w14:paraId="30260F3E">
      <w:pPr>
        <w:adjustRightInd w:val="0"/>
        <w:snapToGrid w:val="0"/>
        <w:spacing w:line="360" w:lineRule="auto"/>
        <w:ind w:firstLine="480" w:firstLineChars="200"/>
        <w:rPr>
          <w:rFonts w:hAnsi="宋体"/>
          <w:kern w:val="0"/>
          <w:sz w:val="24"/>
        </w:rPr>
      </w:pPr>
      <w:r>
        <w:rPr>
          <w:rFonts w:hint="eastAsia" w:hAnsi="宋体"/>
          <w:kern w:val="0"/>
          <w:sz w:val="24"/>
        </w:rPr>
        <w:t xml:space="preserve">名称：交银施罗德基金管理有限公司 </w:t>
      </w:r>
    </w:p>
    <w:p w14:paraId="23359BFA">
      <w:pPr>
        <w:adjustRightInd w:val="0"/>
        <w:snapToGrid w:val="0"/>
        <w:spacing w:line="360" w:lineRule="auto"/>
        <w:ind w:firstLine="480" w:firstLineChars="200"/>
        <w:rPr>
          <w:rFonts w:hAnsi="宋体"/>
          <w:kern w:val="0"/>
          <w:sz w:val="24"/>
        </w:rPr>
      </w:pPr>
      <w:r>
        <w:rPr>
          <w:rFonts w:hint="eastAsia" w:hAnsi="宋体"/>
          <w:kern w:val="0"/>
          <w:sz w:val="24"/>
        </w:rPr>
        <w:t>住所：中国（上海）自由贸易试验区银城中路188号交通银行大楼二层（裙）</w:t>
      </w:r>
    </w:p>
    <w:p w14:paraId="4549278C">
      <w:pPr>
        <w:adjustRightInd w:val="0"/>
        <w:snapToGrid w:val="0"/>
        <w:spacing w:line="360" w:lineRule="auto"/>
        <w:ind w:firstLine="480" w:firstLineChars="200"/>
        <w:rPr>
          <w:rFonts w:hAnsi="宋体"/>
          <w:kern w:val="0"/>
          <w:sz w:val="24"/>
        </w:rPr>
      </w:pPr>
      <w:r>
        <w:rPr>
          <w:rFonts w:hint="eastAsia" w:hAnsi="宋体"/>
          <w:kern w:val="0"/>
          <w:sz w:val="24"/>
        </w:rPr>
        <w:t>办公地址：上海市浦东新区世纪大道8号国金中心二期21-22楼</w:t>
      </w:r>
    </w:p>
    <w:p w14:paraId="45A1AD03">
      <w:pPr>
        <w:adjustRightInd w:val="0"/>
        <w:snapToGrid w:val="0"/>
        <w:spacing w:line="360" w:lineRule="auto"/>
        <w:ind w:firstLine="480" w:firstLineChars="200"/>
        <w:rPr>
          <w:rFonts w:hint="eastAsia" w:hAnsi="宋体" w:eastAsia="宋体"/>
          <w:kern w:val="0"/>
          <w:sz w:val="24"/>
          <w:lang w:eastAsia="zh-CN"/>
        </w:rPr>
      </w:pPr>
      <w:r>
        <w:rPr>
          <w:rFonts w:hint="eastAsia" w:hAnsi="宋体"/>
          <w:kern w:val="0"/>
          <w:sz w:val="24"/>
        </w:rPr>
        <w:t>法定代表人：</w:t>
      </w:r>
      <w:r>
        <w:rPr>
          <w:rFonts w:hint="eastAsia" w:hAnsi="宋体"/>
          <w:kern w:val="0"/>
          <w:sz w:val="24"/>
          <w:lang w:eastAsia="zh-CN"/>
        </w:rPr>
        <w:t>袁庆伟（代任）</w:t>
      </w:r>
    </w:p>
    <w:p w14:paraId="0122244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电话：（021）61055461</w:t>
      </w:r>
    </w:p>
    <w:p w14:paraId="7534474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传真：（021）61055064</w:t>
      </w:r>
    </w:p>
    <w:p w14:paraId="03E5890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联系人：陈方强</w:t>
      </w:r>
    </w:p>
    <w:p w14:paraId="009C44F4">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14:paraId="55F8FACA">
      <w:pPr>
        <w:widowControl/>
        <w:adjustRightInd w:val="0"/>
        <w:snapToGrid w:val="0"/>
        <w:spacing w:line="360" w:lineRule="auto"/>
        <w:ind w:firstLine="480" w:firstLineChars="200"/>
        <w:rPr>
          <w:kern w:val="0"/>
          <w:sz w:val="24"/>
        </w:rPr>
      </w:pPr>
      <w:r>
        <w:rPr>
          <w:rFonts w:hAnsi="宋体"/>
          <w:kern w:val="0"/>
          <w:sz w:val="24"/>
        </w:rPr>
        <w:t>名称：上海市通力律师事务所</w:t>
      </w:r>
    </w:p>
    <w:p w14:paraId="221672CD">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014D84A9">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w:t>
      </w:r>
      <w:r>
        <w:rPr>
          <w:rFonts w:hint="eastAsia"/>
          <w:kern w:val="0"/>
          <w:sz w:val="24"/>
        </w:rPr>
        <w:t>8-20</w:t>
      </w:r>
      <w:r>
        <w:rPr>
          <w:rFonts w:hAnsi="宋体"/>
          <w:kern w:val="0"/>
          <w:sz w:val="24"/>
        </w:rPr>
        <w:t>楼</w:t>
      </w:r>
    </w:p>
    <w:p w14:paraId="0FFC4C63">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陈臻</w:t>
      </w:r>
    </w:p>
    <w:p w14:paraId="21CDCB5F">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14:paraId="3F180C6B">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14:paraId="6C0F0ECE">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14:paraId="51F1A018">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14:paraId="30D37583">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14:paraId="0B8C773D">
      <w:pPr>
        <w:widowControl/>
        <w:adjustRightInd w:val="0"/>
        <w:snapToGrid w:val="0"/>
        <w:spacing w:line="360" w:lineRule="auto"/>
        <w:ind w:firstLine="480" w:firstLineChars="200"/>
        <w:rPr>
          <w:rFonts w:hAnsi="宋体"/>
          <w:kern w:val="0"/>
          <w:sz w:val="24"/>
        </w:rPr>
      </w:pPr>
      <w:r>
        <w:rPr>
          <w:rFonts w:hint="eastAsia" w:hAnsi="宋体"/>
          <w:kern w:val="0"/>
          <w:sz w:val="24"/>
        </w:rPr>
        <w:t>名称：毕马威华振会计师事务所(特殊普通合伙)</w:t>
      </w:r>
    </w:p>
    <w:p w14:paraId="2DED58E6">
      <w:pPr>
        <w:widowControl/>
        <w:adjustRightInd w:val="0"/>
        <w:snapToGrid w:val="0"/>
        <w:spacing w:line="360" w:lineRule="auto"/>
        <w:ind w:firstLine="480" w:firstLineChars="200"/>
        <w:rPr>
          <w:rFonts w:hAnsi="宋体"/>
          <w:kern w:val="0"/>
          <w:sz w:val="24"/>
        </w:rPr>
      </w:pPr>
      <w:r>
        <w:rPr>
          <w:rFonts w:hint="eastAsia" w:hAnsi="宋体"/>
          <w:kern w:val="0"/>
          <w:sz w:val="24"/>
        </w:rPr>
        <w:t>住所：北京市东城区东长安街1 号东方广场 2 座办公楼 8 层</w:t>
      </w:r>
    </w:p>
    <w:p w14:paraId="7A92FCAB">
      <w:pPr>
        <w:widowControl/>
        <w:adjustRightInd w:val="0"/>
        <w:snapToGrid w:val="0"/>
        <w:spacing w:line="360" w:lineRule="auto"/>
        <w:ind w:firstLine="480" w:firstLineChars="200"/>
        <w:rPr>
          <w:rFonts w:hAnsi="宋体"/>
          <w:kern w:val="0"/>
          <w:sz w:val="24"/>
        </w:rPr>
      </w:pPr>
      <w:r>
        <w:rPr>
          <w:rFonts w:hint="eastAsia" w:hAnsi="宋体"/>
          <w:kern w:val="0"/>
          <w:sz w:val="24"/>
        </w:rPr>
        <w:t>办公地址：中国上海南京西路1266号恒隆广场2期25楼</w:t>
      </w:r>
    </w:p>
    <w:p w14:paraId="4D28BEE5">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执行事务合伙人：邹俊</w:t>
      </w:r>
    </w:p>
    <w:p w14:paraId="7AF2D79B">
      <w:pPr>
        <w:widowControl/>
        <w:adjustRightInd w:val="0"/>
        <w:snapToGrid w:val="0"/>
        <w:spacing w:line="360" w:lineRule="auto"/>
        <w:ind w:firstLine="480" w:firstLineChars="200"/>
        <w:rPr>
          <w:rFonts w:hAnsi="宋体"/>
          <w:kern w:val="0"/>
          <w:sz w:val="24"/>
        </w:rPr>
      </w:pPr>
      <w:r>
        <w:rPr>
          <w:rFonts w:hint="eastAsia" w:hAnsi="宋体"/>
          <w:kern w:val="0"/>
          <w:sz w:val="24"/>
        </w:rPr>
        <w:t>电话：+86 (21) 2212 2888</w:t>
      </w:r>
    </w:p>
    <w:p w14:paraId="69C6731D">
      <w:pPr>
        <w:widowControl/>
        <w:adjustRightInd w:val="0"/>
        <w:snapToGrid w:val="0"/>
        <w:spacing w:line="360" w:lineRule="auto"/>
        <w:ind w:firstLine="480" w:firstLineChars="200"/>
        <w:rPr>
          <w:rFonts w:hAnsi="宋体"/>
          <w:kern w:val="0"/>
          <w:sz w:val="24"/>
        </w:rPr>
      </w:pPr>
      <w:r>
        <w:rPr>
          <w:rFonts w:hint="eastAsia" w:hAnsi="宋体"/>
          <w:kern w:val="0"/>
          <w:sz w:val="24"/>
        </w:rPr>
        <w:t>传真：+86 (21) 6288 1889</w:t>
      </w:r>
    </w:p>
    <w:p w14:paraId="6331ACE5">
      <w:pPr>
        <w:widowControl/>
        <w:adjustRightInd w:val="0"/>
        <w:snapToGrid w:val="0"/>
        <w:spacing w:line="360" w:lineRule="auto"/>
        <w:ind w:firstLine="480" w:firstLineChars="200"/>
        <w:rPr>
          <w:rFonts w:hAnsi="宋体"/>
          <w:kern w:val="0"/>
          <w:sz w:val="24"/>
        </w:rPr>
      </w:pPr>
      <w:r>
        <w:rPr>
          <w:rFonts w:hint="eastAsia" w:hAnsi="宋体"/>
          <w:kern w:val="0"/>
          <w:sz w:val="24"/>
        </w:rPr>
        <w:t>联系人：侯雯</w:t>
      </w:r>
    </w:p>
    <w:p w14:paraId="57459A19">
      <w:pPr>
        <w:widowControl/>
        <w:adjustRightInd w:val="0"/>
        <w:snapToGrid w:val="0"/>
        <w:spacing w:line="360" w:lineRule="auto"/>
        <w:ind w:firstLine="480" w:firstLineChars="200"/>
        <w:rPr>
          <w:rFonts w:hAnsi="宋体"/>
          <w:kern w:val="0"/>
          <w:sz w:val="24"/>
        </w:rPr>
      </w:pPr>
      <w:r>
        <w:rPr>
          <w:rFonts w:hint="eastAsia" w:hAnsi="宋体"/>
          <w:kern w:val="0"/>
          <w:sz w:val="24"/>
        </w:rPr>
        <w:t>经办注册会计师：王国蓓、侯雯</w:t>
      </w:r>
    </w:p>
    <w:p w14:paraId="6ED1F147">
      <w:pPr>
        <w:widowControl/>
        <w:adjustRightInd w:val="0"/>
        <w:snapToGrid w:val="0"/>
        <w:spacing w:line="360" w:lineRule="auto"/>
        <w:ind w:firstLine="480" w:firstLineChars="200"/>
        <w:rPr>
          <w:rFonts w:hAnsi="宋体"/>
          <w:kern w:val="0"/>
          <w:sz w:val="24"/>
        </w:rPr>
      </w:pPr>
    </w:p>
    <w:p w14:paraId="43BD65F1">
      <w:pPr>
        <w:spacing w:line="360" w:lineRule="auto"/>
        <w:jc w:val="center"/>
        <w:outlineLvl w:val="0"/>
        <w:rPr>
          <w:rFonts w:ascii="宋体" w:hAnsi="宋体"/>
          <w:b/>
          <w:kern w:val="0"/>
          <w:sz w:val="30"/>
        </w:rPr>
      </w:pPr>
      <w:r>
        <w:rPr>
          <w:rFonts w:hAnsi="宋体"/>
          <w:kern w:val="0"/>
          <w:sz w:val="24"/>
        </w:rPr>
        <w:br w:type="page"/>
      </w:r>
      <w:bookmarkStart w:id="13" w:name="_Toc48122007"/>
      <w:r>
        <w:rPr>
          <w:rFonts w:hint="eastAsia" w:ascii="宋体" w:hAnsi="宋体"/>
          <w:b/>
          <w:kern w:val="0"/>
          <w:sz w:val="30"/>
        </w:rPr>
        <w:t>六、基金的募集</w:t>
      </w:r>
      <w:bookmarkEnd w:id="13"/>
    </w:p>
    <w:p w14:paraId="2B4C3CC4">
      <w:pPr>
        <w:adjustRightInd w:val="0"/>
        <w:snapToGrid w:val="0"/>
        <w:spacing w:line="360" w:lineRule="auto"/>
        <w:ind w:firstLine="482" w:firstLineChars="200"/>
        <w:outlineLvl w:val="1"/>
        <w:rPr>
          <w:b/>
          <w:sz w:val="24"/>
          <w:szCs w:val="24"/>
        </w:rPr>
      </w:pPr>
      <w:r>
        <w:rPr>
          <w:b/>
          <w:sz w:val="24"/>
          <w:szCs w:val="24"/>
        </w:rPr>
        <w:t>（一）基金募集的依据</w:t>
      </w:r>
    </w:p>
    <w:p w14:paraId="7ACF04F4">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w:t>
      </w:r>
      <w:r>
        <w:rPr>
          <w:rFonts w:hint="eastAsia"/>
          <w:kern w:val="0"/>
          <w:sz w:val="24"/>
        </w:rPr>
        <w:t>202</w:t>
      </w:r>
      <w:r>
        <w:rPr>
          <w:rFonts w:hint="eastAsia"/>
          <w:kern w:val="0"/>
          <w:sz w:val="24"/>
          <w:lang w:val="en-US" w:eastAsia="zh-CN"/>
        </w:rPr>
        <w:t>6</w:t>
      </w:r>
      <w:r>
        <w:rPr>
          <w:rFonts w:hint="eastAsia"/>
          <w:kern w:val="0"/>
          <w:sz w:val="24"/>
        </w:rPr>
        <w:t>年</w:t>
      </w:r>
      <w:r>
        <w:rPr>
          <w:rFonts w:hint="eastAsia"/>
          <w:kern w:val="0"/>
          <w:sz w:val="24"/>
          <w:lang w:val="en-US" w:eastAsia="zh-CN"/>
        </w:rPr>
        <w:t>6</w:t>
      </w:r>
      <w:r>
        <w:rPr>
          <w:rFonts w:hint="eastAsia"/>
          <w:kern w:val="0"/>
          <w:sz w:val="24"/>
        </w:rPr>
        <w:t>月</w:t>
      </w:r>
      <w:r>
        <w:rPr>
          <w:rFonts w:hint="eastAsia"/>
          <w:kern w:val="0"/>
          <w:sz w:val="24"/>
          <w:lang w:val="en-US" w:eastAsia="zh-CN"/>
        </w:rPr>
        <w:t>16</w:t>
      </w:r>
      <w:r>
        <w:rPr>
          <w:rFonts w:hint="eastAsia"/>
          <w:kern w:val="0"/>
          <w:sz w:val="24"/>
        </w:rPr>
        <w:t>日</w:t>
      </w:r>
      <w:r>
        <w:rPr>
          <w:kern w:val="0"/>
          <w:sz w:val="24"/>
        </w:rPr>
        <w:t>证监许可</w:t>
      </w:r>
      <w:r>
        <w:rPr>
          <w:rFonts w:hint="eastAsia"/>
          <w:kern w:val="0"/>
          <w:sz w:val="24"/>
        </w:rPr>
        <w:t>【202</w:t>
      </w:r>
      <w:r>
        <w:rPr>
          <w:rFonts w:hint="eastAsia"/>
          <w:kern w:val="0"/>
          <w:sz w:val="24"/>
          <w:lang w:val="en-US" w:eastAsia="zh-CN"/>
        </w:rPr>
        <w:t>6</w:t>
      </w:r>
      <w:r>
        <w:rPr>
          <w:rFonts w:hint="eastAsia"/>
          <w:kern w:val="0"/>
          <w:sz w:val="24"/>
        </w:rPr>
        <w:t>】</w:t>
      </w:r>
      <w:r>
        <w:rPr>
          <w:rFonts w:hint="eastAsia"/>
          <w:kern w:val="0"/>
          <w:sz w:val="24"/>
          <w:lang w:val="en-US" w:eastAsia="zh-CN"/>
        </w:rPr>
        <w:t>1529</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14:paraId="40350BCB">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14:paraId="6B271ABF">
      <w:pPr>
        <w:widowControl/>
        <w:adjustRightInd w:val="0"/>
        <w:snapToGrid w:val="0"/>
        <w:spacing w:line="360" w:lineRule="auto"/>
        <w:ind w:firstLine="480" w:firstLineChars="200"/>
        <w:rPr>
          <w:kern w:val="0"/>
          <w:sz w:val="24"/>
        </w:rPr>
      </w:pPr>
      <w:r>
        <w:rPr>
          <w:kern w:val="0"/>
          <w:sz w:val="24"/>
        </w:rPr>
        <w:t>混合型</w:t>
      </w:r>
      <w:r>
        <w:rPr>
          <w:rFonts w:hint="eastAsia"/>
          <w:kern w:val="0"/>
          <w:sz w:val="24"/>
        </w:rPr>
        <w:t>证券投资</w:t>
      </w:r>
      <w:r>
        <w:rPr>
          <w:kern w:val="0"/>
          <w:sz w:val="24"/>
        </w:rPr>
        <w:t>基金</w:t>
      </w:r>
    </w:p>
    <w:p w14:paraId="03B54329">
      <w:pPr>
        <w:adjustRightInd w:val="0"/>
        <w:snapToGrid w:val="0"/>
        <w:spacing w:line="360" w:lineRule="auto"/>
        <w:ind w:firstLine="482" w:firstLineChars="200"/>
        <w:outlineLvl w:val="1"/>
        <w:rPr>
          <w:b/>
          <w:sz w:val="24"/>
          <w:szCs w:val="24"/>
        </w:rPr>
      </w:pPr>
      <w:r>
        <w:rPr>
          <w:b/>
          <w:sz w:val="24"/>
          <w:szCs w:val="24"/>
        </w:rPr>
        <w:t>（三）基金运作方式</w:t>
      </w:r>
    </w:p>
    <w:p w14:paraId="4A356734">
      <w:pPr>
        <w:adjustRightInd w:val="0"/>
        <w:snapToGrid w:val="0"/>
        <w:spacing w:line="360" w:lineRule="auto"/>
        <w:ind w:firstLine="480" w:firstLineChars="200"/>
        <w:rPr>
          <w:sz w:val="24"/>
        </w:rPr>
      </w:pPr>
      <w:r>
        <w:rPr>
          <w:sz w:val="24"/>
        </w:rPr>
        <w:t>契约型开放式</w:t>
      </w:r>
    </w:p>
    <w:p w14:paraId="3E63D8C2">
      <w:pPr>
        <w:adjustRightInd w:val="0"/>
        <w:snapToGrid w:val="0"/>
        <w:spacing w:line="360" w:lineRule="auto"/>
        <w:ind w:firstLine="482" w:firstLineChars="200"/>
        <w:outlineLvl w:val="1"/>
        <w:rPr>
          <w:b/>
          <w:sz w:val="24"/>
          <w:szCs w:val="24"/>
        </w:rPr>
      </w:pPr>
      <w:bookmarkStart w:id="14" w:name="_Hlk49341725"/>
      <w:r>
        <w:rPr>
          <w:b/>
          <w:sz w:val="24"/>
          <w:szCs w:val="24"/>
        </w:rPr>
        <w:t>（四）基金存续期限</w:t>
      </w:r>
    </w:p>
    <w:p w14:paraId="62B1049A">
      <w:pPr>
        <w:adjustRightInd w:val="0"/>
        <w:snapToGrid w:val="0"/>
        <w:spacing w:line="360" w:lineRule="auto"/>
        <w:ind w:firstLine="480" w:firstLineChars="200"/>
        <w:rPr>
          <w:sz w:val="24"/>
        </w:rPr>
      </w:pPr>
      <w:r>
        <w:rPr>
          <w:sz w:val="24"/>
        </w:rPr>
        <w:t>不定期</w:t>
      </w:r>
    </w:p>
    <w:p w14:paraId="3136EC68">
      <w:pPr>
        <w:adjustRightInd w:val="0"/>
        <w:snapToGrid w:val="0"/>
        <w:spacing w:line="360" w:lineRule="auto"/>
        <w:ind w:firstLine="482" w:firstLineChars="200"/>
        <w:outlineLvl w:val="1"/>
        <w:rPr>
          <w:b/>
          <w:bCs/>
          <w:sz w:val="24"/>
        </w:rPr>
      </w:pPr>
      <w:r>
        <w:rPr>
          <w:rFonts w:hint="eastAsia"/>
          <w:b/>
          <w:bCs/>
          <w:sz w:val="24"/>
        </w:rPr>
        <w:t>（五）基金份额类别</w:t>
      </w:r>
    </w:p>
    <w:p w14:paraId="4B382A54">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14:paraId="0A31C869">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41ABF287">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14:paraId="6FD45BB1">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14:paraId="6D742BFE">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14:paraId="3802EB2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1、基金份额的发售时间、方式和对象</w:t>
      </w:r>
    </w:p>
    <w:p w14:paraId="3815B529">
      <w:pPr>
        <w:adjustRightInd w:val="0"/>
        <w:snapToGrid w:val="0"/>
        <w:spacing w:line="360" w:lineRule="auto"/>
        <w:ind w:left="105" w:leftChars="50" w:firstLine="360" w:firstLineChars="150"/>
        <w:rPr>
          <w:sz w:val="24"/>
        </w:rPr>
      </w:pPr>
      <w:r>
        <w:rPr>
          <w:sz w:val="24"/>
        </w:rPr>
        <w:t>（1）募集期限：自基金份额发售之日起不超过3个月。本基金自</w:t>
      </w:r>
      <w:r>
        <w:rPr>
          <w:rFonts w:hint="eastAsia"/>
          <w:kern w:val="0"/>
          <w:sz w:val="24"/>
        </w:rPr>
        <w:t>202</w:t>
      </w:r>
      <w:r>
        <w:rPr>
          <w:rFonts w:hint="eastAsia"/>
          <w:kern w:val="0"/>
          <w:sz w:val="24"/>
          <w:lang w:val="en-US" w:eastAsia="zh-CN"/>
        </w:rPr>
        <w:t>6</w:t>
      </w:r>
      <w:r>
        <w:rPr>
          <w:rFonts w:hint="eastAsia"/>
          <w:kern w:val="0"/>
          <w:sz w:val="24"/>
        </w:rPr>
        <w:t>年</w:t>
      </w:r>
      <w:r>
        <w:rPr>
          <w:rFonts w:hint="eastAsia"/>
          <w:kern w:val="0"/>
          <w:sz w:val="24"/>
          <w:lang w:val="en-US" w:eastAsia="zh-CN"/>
        </w:rPr>
        <w:t>7</w:t>
      </w:r>
      <w:r>
        <w:rPr>
          <w:rFonts w:hint="eastAsia"/>
          <w:kern w:val="0"/>
          <w:sz w:val="24"/>
        </w:rPr>
        <w:t>月</w:t>
      </w:r>
      <w:r>
        <w:rPr>
          <w:rFonts w:hint="eastAsia"/>
          <w:kern w:val="0"/>
          <w:sz w:val="24"/>
          <w:lang w:val="en-US" w:eastAsia="zh-CN"/>
        </w:rPr>
        <w:t>23</w:t>
      </w:r>
      <w:r>
        <w:rPr>
          <w:rFonts w:hint="eastAsia"/>
          <w:kern w:val="0"/>
          <w:sz w:val="24"/>
        </w:rPr>
        <w:t>日起至202</w:t>
      </w:r>
      <w:r>
        <w:rPr>
          <w:rFonts w:hint="eastAsia"/>
          <w:kern w:val="0"/>
          <w:sz w:val="24"/>
          <w:lang w:val="en-US" w:eastAsia="zh-CN"/>
        </w:rPr>
        <w:t>6</w:t>
      </w:r>
      <w:r>
        <w:rPr>
          <w:rFonts w:hint="eastAsia"/>
          <w:kern w:val="0"/>
          <w:sz w:val="24"/>
        </w:rPr>
        <w:t>年</w:t>
      </w:r>
      <w:r>
        <w:rPr>
          <w:rFonts w:hint="eastAsia"/>
          <w:kern w:val="0"/>
          <w:sz w:val="24"/>
          <w:lang w:val="en-US" w:eastAsia="zh-CN"/>
        </w:rPr>
        <w:t>7</w:t>
      </w:r>
      <w:r>
        <w:rPr>
          <w:rFonts w:hint="eastAsia"/>
          <w:kern w:val="0"/>
          <w:sz w:val="24"/>
        </w:rPr>
        <w:t>月</w:t>
      </w:r>
      <w:r>
        <w:rPr>
          <w:rFonts w:hint="eastAsia"/>
          <w:kern w:val="0"/>
          <w:sz w:val="24"/>
          <w:lang w:val="en-US" w:eastAsia="zh-CN"/>
        </w:rPr>
        <w:t>29</w:t>
      </w:r>
      <w:r>
        <w:rPr>
          <w:rFonts w:hint="eastAsia"/>
          <w:kern w:val="0"/>
          <w:sz w:val="24"/>
        </w:rPr>
        <w:t>日</w:t>
      </w:r>
      <w:r>
        <w:rPr>
          <w:sz w:val="24"/>
        </w:rPr>
        <w:t>止通过销售机构公开发售（详见基金份额发售公告及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7F329141">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14:paraId="7727B3DE">
      <w:pPr>
        <w:adjustRightInd w:val="0"/>
        <w:snapToGrid w:val="0"/>
        <w:spacing w:line="360" w:lineRule="auto"/>
        <w:ind w:firstLine="480" w:firstLineChars="200"/>
        <w:rPr>
          <w:sz w:val="24"/>
        </w:rPr>
      </w:pPr>
      <w:r>
        <w:rPr>
          <w:sz w:val="24"/>
        </w:rPr>
        <w:t>（3）销售对象：</w:t>
      </w:r>
      <w:r>
        <w:rPr>
          <w:bCs/>
          <w:sz w:val="24"/>
        </w:rPr>
        <w:t>符合法律法规规定的可投资于证券投资基金的个人投资者、机构投资者</w:t>
      </w:r>
      <w:r>
        <w:rPr>
          <w:rFonts w:hint="eastAsia"/>
          <w:bCs/>
          <w:sz w:val="24"/>
        </w:rPr>
        <w:t>、合格境外投资者、</w:t>
      </w:r>
      <w:r>
        <w:rPr>
          <w:rFonts w:hint="eastAsia"/>
          <w:sz w:val="24"/>
        </w:rPr>
        <w:t>发起资金提供方</w:t>
      </w:r>
      <w:r>
        <w:rPr>
          <w:bCs/>
          <w:sz w:val="24"/>
        </w:rPr>
        <w:t>以及法律法规或中国证监会允许购买证券投资基金的其他投资人</w:t>
      </w:r>
      <w:r>
        <w:rPr>
          <w:sz w:val="24"/>
        </w:rPr>
        <w:t>。</w:t>
      </w:r>
    </w:p>
    <w:p w14:paraId="6BB2AA3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2、基金份额的认购和持有限制</w:t>
      </w:r>
    </w:p>
    <w:p w14:paraId="2EA7BA81">
      <w:pPr>
        <w:adjustRightInd w:val="0"/>
        <w:snapToGrid w:val="0"/>
        <w:spacing w:line="360" w:lineRule="auto"/>
        <w:ind w:firstLine="480" w:firstLineChars="200"/>
        <w:rPr>
          <w:sz w:val="24"/>
        </w:rPr>
      </w:pPr>
      <w:r>
        <w:rPr>
          <w:sz w:val="24"/>
        </w:rPr>
        <w:t>（1）基金份额的认购采用金额认购方式。</w:t>
      </w:r>
    </w:p>
    <w:p w14:paraId="3199BDC0">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14:paraId="28CC257F">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14:paraId="7C61935E">
      <w:pPr>
        <w:adjustRightInd w:val="0"/>
        <w:snapToGrid w:val="0"/>
        <w:spacing w:line="360" w:lineRule="auto"/>
        <w:ind w:firstLine="480" w:firstLineChars="200"/>
        <w:rPr>
          <w:sz w:val="24"/>
        </w:rPr>
      </w:pPr>
      <w:r>
        <w:rPr>
          <w:sz w:val="24"/>
        </w:rPr>
        <w:t>（4）直销机构接受首次认购申请的最低金额为单笔</w:t>
      </w:r>
      <w:r>
        <w:rPr>
          <w:rFonts w:hint="eastAsia"/>
          <w:sz w:val="24"/>
        </w:rPr>
        <w:t>100万元</w:t>
      </w:r>
      <w:r>
        <w:rPr>
          <w:sz w:val="24"/>
        </w:rPr>
        <w:t>，追加认购的最低金额为单笔</w:t>
      </w:r>
      <w:r>
        <w:rPr>
          <w:rFonts w:hint="eastAsia"/>
          <w:sz w:val="24"/>
        </w:rPr>
        <w:t>10万元</w:t>
      </w:r>
      <w:r>
        <w:rPr>
          <w:sz w:val="24"/>
        </w:rPr>
        <w:t>；已在直销机构有认购或申购过本基金管理人管理的其他基金记录的投资人不受首次认购最低金额的限制。通过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14:paraId="30F633DA">
      <w:pPr>
        <w:adjustRightInd w:val="0"/>
        <w:snapToGrid w:val="0"/>
        <w:spacing w:line="360" w:lineRule="auto"/>
        <w:ind w:firstLine="480" w:firstLineChars="200"/>
        <w:rPr>
          <w:sz w:val="24"/>
        </w:rPr>
      </w:pPr>
      <w:r>
        <w:rPr>
          <w:rFonts w:hint="eastAsia"/>
          <w:sz w:val="24"/>
        </w:rPr>
        <w:t>（5）发起资金提供方认购本基金的总金额不少于1000万元人民币，且持有期限自基金合同生效之日起不少于3年，法律法规和监管机构另有规定的除外。本基金发起资金的认购情况见基金管理人届时发布的公告。</w:t>
      </w:r>
    </w:p>
    <w:p w14:paraId="57669CDB">
      <w:pPr>
        <w:adjustRightInd w:val="0"/>
        <w:snapToGrid w:val="0"/>
        <w:spacing w:line="360" w:lineRule="auto"/>
        <w:ind w:firstLine="480" w:firstLineChars="200"/>
        <w:rPr>
          <w:sz w:val="24"/>
        </w:rPr>
      </w:pPr>
      <w:r>
        <w:rPr>
          <w:sz w:val="24"/>
        </w:rPr>
        <w:t>（</w:t>
      </w:r>
      <w:r>
        <w:rPr>
          <w:rFonts w:hint="eastAsia"/>
          <w:sz w:val="24"/>
        </w:rPr>
        <w:t>6</w:t>
      </w:r>
      <w:r>
        <w:rPr>
          <w:sz w:val="24"/>
        </w:rPr>
        <w:t>）</w:t>
      </w:r>
      <w:r>
        <w:rPr>
          <w:rFonts w:hint="eastAsia"/>
          <w:sz w:val="24"/>
        </w:rPr>
        <w:t>基金管理人可以对募集期间的单个投资人的累计认购金额进行限制，具体限制和处理方法请参看相关公告。</w:t>
      </w:r>
    </w:p>
    <w:p w14:paraId="1C75E894">
      <w:pPr>
        <w:adjustRightInd w:val="0"/>
        <w:snapToGrid w:val="0"/>
        <w:spacing w:line="360" w:lineRule="auto"/>
        <w:ind w:firstLine="480" w:firstLineChars="200"/>
        <w:rPr>
          <w:sz w:val="24"/>
        </w:rPr>
      </w:pPr>
      <w:r>
        <w:rPr>
          <w:rFonts w:hint="eastAsia"/>
          <w:sz w:val="24"/>
        </w:rPr>
        <w:t>（7）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基金管理人高级管理人员或基金经理等人员作为发起资金提供方的认购申请不受上述比例限制。</w:t>
      </w:r>
    </w:p>
    <w:p w14:paraId="1DD91AC0">
      <w:pPr>
        <w:adjustRightInd w:val="0"/>
        <w:snapToGrid w:val="0"/>
        <w:spacing w:line="360" w:lineRule="auto"/>
        <w:ind w:firstLine="480" w:firstLineChars="200"/>
        <w:rPr>
          <w:sz w:val="24"/>
        </w:rPr>
      </w:pPr>
      <w:r>
        <w:rPr>
          <w:rFonts w:hint="eastAsia"/>
          <w:sz w:val="24"/>
        </w:rPr>
        <w:t>（8）基金管理人可以对募集期间的本基金募集规模设置上限。募集期内超过募集规模上限时，基金管理人可以采用比例确认或其他方式进行确认，具体办法参见基金份额发售公告。</w:t>
      </w:r>
    </w:p>
    <w:p w14:paraId="75F06EE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3、基金份额的面值、认购费用、认购价格及认购份额的计算公式</w:t>
      </w:r>
    </w:p>
    <w:p w14:paraId="083906E0">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14:paraId="4763839B">
      <w:pPr>
        <w:adjustRightInd w:val="0"/>
        <w:snapToGrid w:val="0"/>
        <w:spacing w:line="360" w:lineRule="auto"/>
        <w:ind w:firstLine="480" w:firstLineChars="200"/>
        <w:rPr>
          <w:sz w:val="24"/>
        </w:rPr>
      </w:pPr>
      <w:r>
        <w:rPr>
          <w:sz w:val="24"/>
        </w:rPr>
        <w:t>（2）认购费率</w:t>
      </w:r>
    </w:p>
    <w:p w14:paraId="5831CC7A">
      <w:pPr>
        <w:adjustRightInd w:val="0"/>
        <w:snapToGrid w:val="0"/>
        <w:spacing w:line="360" w:lineRule="auto"/>
        <w:ind w:firstLine="480" w:firstLineChars="200"/>
        <w:rPr>
          <w:sz w:val="24"/>
        </w:rPr>
      </w:pPr>
      <w:r>
        <w:rPr>
          <w:rFonts w:hint="eastAsia"/>
          <w:sz w:val="24"/>
        </w:rPr>
        <w:t>本基金基金份额分为A类基金份额和C类基金份额。基金投资者认购A类基金份额在认购时支付认购费用（其中，通过直销机构认购时不支付认购费用），基金投资者认购C类基金份额不支付认购费用。</w:t>
      </w:r>
    </w:p>
    <w:p w14:paraId="2385017D">
      <w:pPr>
        <w:adjustRightInd w:val="0"/>
        <w:snapToGrid w:val="0"/>
        <w:spacing w:line="360" w:lineRule="auto"/>
        <w:ind w:firstLine="480" w:firstLineChars="200"/>
        <w:rPr>
          <w:sz w:val="24"/>
        </w:rPr>
      </w:pPr>
      <w:r>
        <w:rPr>
          <w:rFonts w:hint="eastAsia"/>
          <w:sz w:val="24"/>
        </w:rPr>
        <w:t>通过直销机构认购本基金A类基金份额不收取认购费；通过其他销售机构认购本</w:t>
      </w:r>
      <w:r>
        <w:rPr>
          <w:sz w:val="24"/>
        </w:rPr>
        <w:t>基金</w:t>
      </w:r>
      <w:r>
        <w:rPr>
          <w:rFonts w:hint="eastAsia"/>
          <w:color w:val="000000"/>
          <w:kern w:val="0"/>
          <w:sz w:val="24"/>
        </w:rPr>
        <w:t>A类基金份额的，</w:t>
      </w:r>
      <w:r>
        <w:rPr>
          <w:sz w:val="24"/>
        </w:rPr>
        <w:t>认购费用</w:t>
      </w:r>
      <w:r>
        <w:rPr>
          <w:rFonts w:hint="eastAsia"/>
          <w:sz w:val="24"/>
        </w:rPr>
        <w:t>由认购</w:t>
      </w:r>
      <w:r>
        <w:rPr>
          <w:rFonts w:hint="eastAsia"/>
          <w:color w:val="000000"/>
          <w:kern w:val="0"/>
          <w:sz w:val="24"/>
        </w:rPr>
        <w:t>A类</w:t>
      </w:r>
      <w:r>
        <w:rPr>
          <w:rFonts w:hint="eastAsia"/>
          <w:sz w:val="24"/>
        </w:rPr>
        <w:t>基金份额的投资人承担，募集期内投资人可以多次认购本基金，认购费用按A类基金份额的每笔认购申请单独计算。</w:t>
      </w:r>
      <w:r>
        <w:rPr>
          <w:sz w:val="24"/>
        </w:rPr>
        <w:t>认购费用不列入基金财产，主要用于基金的市场推广、销售等募集期间发生的各项费用</w:t>
      </w:r>
      <w:r>
        <w:rPr>
          <w:rFonts w:hint="eastAsia"/>
          <w:sz w:val="24"/>
        </w:rPr>
        <w:t>。</w:t>
      </w:r>
    </w:p>
    <w:p w14:paraId="42AB3531">
      <w:pPr>
        <w:widowControl/>
        <w:adjustRightInd w:val="0"/>
        <w:snapToGrid w:val="0"/>
        <w:spacing w:line="360" w:lineRule="auto"/>
        <w:ind w:firstLine="480" w:firstLineChars="200"/>
        <w:rPr>
          <w:kern w:val="0"/>
          <w:sz w:val="24"/>
        </w:rPr>
      </w:pPr>
      <w:r>
        <w:rPr>
          <w:rFonts w:hint="eastAsia"/>
          <w:kern w:val="0"/>
          <w:sz w:val="24"/>
        </w:rPr>
        <w:t>通过其他销售机构认购</w:t>
      </w:r>
      <w:r>
        <w:rPr>
          <w:kern w:val="0"/>
          <w:sz w:val="24"/>
        </w:rPr>
        <w:t>本基金</w:t>
      </w:r>
      <w:r>
        <w:rPr>
          <w:rFonts w:hint="eastAsia"/>
          <w:kern w:val="0"/>
          <w:sz w:val="24"/>
        </w:rPr>
        <w:t>A类基金份额的</w:t>
      </w:r>
      <w:r>
        <w:rPr>
          <w:kern w:val="0"/>
          <w:sz w:val="24"/>
        </w:rPr>
        <w:t>认购费率如下表：</w:t>
      </w: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14:paraId="67CEA5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14:paraId="00178AED">
            <w:pPr>
              <w:adjustRightInd w:val="0"/>
              <w:snapToGrid w:val="0"/>
              <w:jc w:val="center"/>
              <w:rPr>
                <w:b/>
                <w:sz w:val="24"/>
              </w:rPr>
            </w:pPr>
            <w:r>
              <w:rPr>
                <w:b/>
                <w:sz w:val="24"/>
              </w:rPr>
              <w:t>认购金额（含认购费）</w:t>
            </w:r>
          </w:p>
        </w:tc>
        <w:tc>
          <w:tcPr>
            <w:tcW w:w="3598" w:type="dxa"/>
            <w:shd w:val="clear" w:color="auto" w:fill="FFFFFF"/>
            <w:vAlign w:val="center"/>
          </w:tcPr>
          <w:p w14:paraId="0A89CB0B">
            <w:pPr>
              <w:adjustRightInd w:val="0"/>
              <w:snapToGrid w:val="0"/>
              <w:jc w:val="center"/>
              <w:rPr>
                <w:b/>
                <w:sz w:val="24"/>
              </w:rPr>
            </w:pPr>
            <w:r>
              <w:rPr>
                <w:rFonts w:hint="eastAsia"/>
                <w:b/>
                <w:color w:val="000000"/>
                <w:kern w:val="0"/>
                <w:sz w:val="24"/>
              </w:rPr>
              <w:t>A类基金份额</w:t>
            </w:r>
            <w:r>
              <w:rPr>
                <w:b/>
                <w:sz w:val="24"/>
              </w:rPr>
              <w:t>认购费率</w:t>
            </w:r>
          </w:p>
        </w:tc>
      </w:tr>
      <w:tr w14:paraId="331CF85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77346A68">
            <w:pPr>
              <w:adjustRightInd w:val="0"/>
              <w:snapToGrid w:val="0"/>
              <w:rPr>
                <w:sz w:val="24"/>
              </w:rPr>
            </w:pPr>
            <w:r>
              <w:rPr>
                <w:rFonts w:hint="eastAsia"/>
                <w:sz w:val="24"/>
              </w:rPr>
              <w:t>5</w:t>
            </w:r>
            <w:r>
              <w:rPr>
                <w:sz w:val="24"/>
              </w:rPr>
              <w:t>00万元以下</w:t>
            </w:r>
          </w:p>
        </w:tc>
        <w:tc>
          <w:tcPr>
            <w:tcW w:w="3598" w:type="dxa"/>
          </w:tcPr>
          <w:p w14:paraId="77937A1C">
            <w:pPr>
              <w:adjustRightInd w:val="0"/>
              <w:snapToGrid w:val="0"/>
              <w:jc w:val="center"/>
              <w:rPr>
                <w:sz w:val="24"/>
              </w:rPr>
            </w:pPr>
            <w:r>
              <w:rPr>
                <w:rFonts w:hint="eastAsia"/>
                <w:sz w:val="24"/>
              </w:rPr>
              <w:t>0.8</w:t>
            </w:r>
            <w:r>
              <w:rPr>
                <w:sz w:val="24"/>
              </w:rPr>
              <w:t>%</w:t>
            </w:r>
          </w:p>
        </w:tc>
      </w:tr>
      <w:tr w14:paraId="3A28A2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0FF8E89D">
            <w:pPr>
              <w:adjustRightInd w:val="0"/>
              <w:snapToGrid w:val="0"/>
              <w:rPr>
                <w:sz w:val="24"/>
              </w:rPr>
            </w:pPr>
            <w:r>
              <w:rPr>
                <w:sz w:val="24"/>
              </w:rPr>
              <w:t>500万元以上（含500万元）</w:t>
            </w:r>
          </w:p>
        </w:tc>
        <w:tc>
          <w:tcPr>
            <w:tcW w:w="3598" w:type="dxa"/>
          </w:tcPr>
          <w:p w14:paraId="7D91F5B4">
            <w:pPr>
              <w:adjustRightInd w:val="0"/>
              <w:snapToGrid w:val="0"/>
              <w:jc w:val="center"/>
              <w:rPr>
                <w:sz w:val="24"/>
              </w:rPr>
            </w:pPr>
            <w:r>
              <w:rPr>
                <w:sz w:val="24"/>
              </w:rPr>
              <w:t>每笔交易1000元</w:t>
            </w:r>
          </w:p>
        </w:tc>
      </w:tr>
    </w:tbl>
    <w:p w14:paraId="76F26D7E">
      <w:pPr>
        <w:adjustRightInd w:val="0"/>
        <w:snapToGrid w:val="0"/>
        <w:spacing w:line="360" w:lineRule="auto"/>
        <w:ind w:firstLine="480" w:firstLineChars="200"/>
        <w:rPr>
          <w:sz w:val="24"/>
        </w:rPr>
      </w:pPr>
      <w:r>
        <w:rPr>
          <w:sz w:val="24"/>
        </w:rPr>
        <w:t>（3）认购份额的计算</w:t>
      </w:r>
    </w:p>
    <w:p w14:paraId="35BA0FA4">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14:paraId="6696DBD4">
      <w:pPr>
        <w:adjustRightInd w:val="0"/>
        <w:snapToGrid w:val="0"/>
        <w:spacing w:line="360" w:lineRule="auto"/>
        <w:ind w:firstLine="480" w:firstLineChars="200"/>
        <w:rPr>
          <w:sz w:val="24"/>
        </w:rPr>
      </w:pPr>
      <w:r>
        <w:rPr>
          <w:rFonts w:hint="eastAsia"/>
          <w:sz w:val="24"/>
        </w:rPr>
        <w:t>1）A类基金份额的认购</w:t>
      </w:r>
    </w:p>
    <w:p w14:paraId="4F871AB9">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14:paraId="4142F3B3">
      <w:pPr>
        <w:adjustRightInd w:val="0"/>
        <w:snapToGrid w:val="0"/>
        <w:spacing w:line="360" w:lineRule="auto"/>
        <w:ind w:firstLine="480" w:firstLineChars="200"/>
        <w:rPr>
          <w:sz w:val="24"/>
        </w:rPr>
      </w:pPr>
      <w:r>
        <w:rPr>
          <w:sz w:val="24"/>
        </w:rPr>
        <w:t>认购总金额=申请总金额</w:t>
      </w:r>
    </w:p>
    <w:p w14:paraId="33E63206">
      <w:pPr>
        <w:adjustRightInd w:val="0"/>
        <w:snapToGrid w:val="0"/>
        <w:spacing w:line="360" w:lineRule="auto"/>
        <w:ind w:firstLine="480" w:firstLineChars="200"/>
        <w:rPr>
          <w:sz w:val="24"/>
        </w:rPr>
      </w:pPr>
      <w:r>
        <w:rPr>
          <w:sz w:val="24"/>
        </w:rPr>
        <w:t>净认购金额=认购总金额/（1+认购费率）</w:t>
      </w:r>
    </w:p>
    <w:p w14:paraId="1DB19E32">
      <w:pPr>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对于通过直销机构认购A类基金份额的，认购费率均为0</w:t>
      </w:r>
      <w:r>
        <w:rPr>
          <w:sz w:val="24"/>
        </w:rPr>
        <w:t>）</w:t>
      </w:r>
    </w:p>
    <w:p w14:paraId="0D0C45D4">
      <w:pPr>
        <w:adjustRightInd w:val="0"/>
        <w:snapToGrid w:val="0"/>
        <w:spacing w:line="360" w:lineRule="auto"/>
        <w:ind w:firstLine="480" w:firstLineChars="200"/>
        <w:rPr>
          <w:sz w:val="24"/>
        </w:rPr>
      </w:pPr>
      <w:r>
        <w:rPr>
          <w:sz w:val="24"/>
        </w:rPr>
        <w:t>认购费用=认购总金额-净认购金额</w:t>
      </w:r>
    </w:p>
    <w:p w14:paraId="31503C6F">
      <w:pPr>
        <w:adjustRightInd w:val="0"/>
        <w:snapToGrid w:val="0"/>
        <w:spacing w:line="360" w:lineRule="auto"/>
        <w:ind w:firstLine="480" w:firstLineChars="200"/>
        <w:rPr>
          <w:sz w:val="24"/>
        </w:rPr>
      </w:pPr>
      <w:r>
        <w:rPr>
          <w:sz w:val="24"/>
        </w:rPr>
        <w:t>（注：对于适用固定金额认购费用的认购，认购费用＝固定认购费用金额）</w:t>
      </w:r>
    </w:p>
    <w:p w14:paraId="7B1B2006">
      <w:pPr>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14:paraId="741CE57C">
      <w:pPr>
        <w:adjustRightInd w:val="0"/>
        <w:snapToGrid w:val="0"/>
        <w:spacing w:line="360" w:lineRule="auto"/>
        <w:ind w:firstLine="480" w:firstLineChars="200"/>
        <w:rPr>
          <w:sz w:val="24"/>
        </w:rPr>
      </w:pPr>
      <w:r>
        <w:rPr>
          <w:sz w:val="24"/>
        </w:rPr>
        <w:t>认购份额的计算</w:t>
      </w:r>
      <w:r>
        <w:rPr>
          <w:rFonts w:hint="eastAsia"/>
          <w:sz w:val="24"/>
        </w:rPr>
        <w:t>结果</w:t>
      </w:r>
      <w:r>
        <w:rPr>
          <w:sz w:val="24"/>
        </w:rPr>
        <w:t>保留到小数点后2位，小数点2位以后的部分四舍五入，由此误差产生的收益或损失由基金财产承担。</w:t>
      </w:r>
    </w:p>
    <w:p w14:paraId="4BA9D204">
      <w:pPr>
        <w:adjustRightInd w:val="0"/>
        <w:snapToGrid w:val="0"/>
        <w:spacing w:line="360" w:lineRule="auto"/>
        <w:ind w:firstLine="480" w:firstLineChars="200"/>
        <w:rPr>
          <w:sz w:val="24"/>
        </w:rPr>
      </w:pPr>
      <w:r>
        <w:rPr>
          <w:rFonts w:hint="eastAsia"/>
          <w:sz w:val="24"/>
        </w:rPr>
        <w:t>例一：某投资者通过直销机构认购本基金A类基金份额100,000.00元，且该认购申请被全额确认，假定该笔认购金额产生的利息为10.00元，认购费率为0，则可认购基金份额为：</w:t>
      </w:r>
    </w:p>
    <w:p w14:paraId="28975A96">
      <w:pPr>
        <w:adjustRightInd w:val="0"/>
        <w:snapToGrid w:val="0"/>
        <w:spacing w:line="360" w:lineRule="auto"/>
        <w:ind w:firstLine="480" w:firstLineChars="200"/>
        <w:rPr>
          <w:sz w:val="24"/>
        </w:rPr>
      </w:pPr>
      <w:r>
        <w:rPr>
          <w:rFonts w:hint="eastAsia"/>
          <w:sz w:val="24"/>
        </w:rPr>
        <w:t>认购总金额=100,000.00元</w:t>
      </w:r>
    </w:p>
    <w:p w14:paraId="45CD36EC">
      <w:pPr>
        <w:adjustRightInd w:val="0"/>
        <w:snapToGrid w:val="0"/>
        <w:spacing w:line="360" w:lineRule="auto"/>
        <w:ind w:firstLine="480" w:firstLineChars="200"/>
        <w:rPr>
          <w:sz w:val="24"/>
        </w:rPr>
      </w:pPr>
      <w:r>
        <w:rPr>
          <w:rFonts w:hint="eastAsia"/>
          <w:sz w:val="24"/>
        </w:rPr>
        <w:t>净认购金额＝100,000.00/（1＋0）＝100,000.00元</w:t>
      </w:r>
    </w:p>
    <w:p w14:paraId="765078C6">
      <w:pPr>
        <w:adjustRightInd w:val="0"/>
        <w:snapToGrid w:val="0"/>
        <w:spacing w:line="360" w:lineRule="auto"/>
        <w:ind w:firstLine="480" w:firstLineChars="200"/>
        <w:rPr>
          <w:sz w:val="24"/>
        </w:rPr>
      </w:pPr>
      <w:r>
        <w:rPr>
          <w:rFonts w:hint="eastAsia"/>
          <w:sz w:val="24"/>
        </w:rPr>
        <w:t>认购费用＝100,000.00-100,000.00=0.00元</w:t>
      </w:r>
    </w:p>
    <w:p w14:paraId="6F920C16">
      <w:pPr>
        <w:adjustRightInd w:val="0"/>
        <w:snapToGrid w:val="0"/>
        <w:spacing w:line="360" w:lineRule="auto"/>
        <w:ind w:firstLine="480" w:firstLineChars="200"/>
        <w:rPr>
          <w:sz w:val="24"/>
        </w:rPr>
      </w:pPr>
      <w:r>
        <w:rPr>
          <w:rFonts w:hint="eastAsia"/>
          <w:sz w:val="24"/>
        </w:rPr>
        <w:t>认购份额＝100,000.00/1.00＋10.00/1.00＝100,010.00份</w:t>
      </w:r>
    </w:p>
    <w:p w14:paraId="74BFCAAD">
      <w:pPr>
        <w:adjustRightInd w:val="0"/>
        <w:snapToGrid w:val="0"/>
        <w:spacing w:line="360" w:lineRule="auto"/>
        <w:ind w:firstLine="480" w:firstLineChars="200"/>
        <w:rPr>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14:paraId="525238BE">
      <w:pPr>
        <w:adjustRightInd w:val="0"/>
        <w:snapToGrid w:val="0"/>
        <w:spacing w:line="360" w:lineRule="auto"/>
        <w:ind w:firstLine="480" w:firstLineChars="200"/>
        <w:rPr>
          <w:sz w:val="24"/>
        </w:rPr>
      </w:pPr>
      <w:r>
        <w:rPr>
          <w:sz w:val="24"/>
        </w:rPr>
        <w:t>例</w:t>
      </w:r>
      <w:r>
        <w:rPr>
          <w:rFonts w:hint="eastAsia"/>
          <w:sz w:val="24"/>
        </w:rPr>
        <w:t>二</w:t>
      </w:r>
      <w:r>
        <w:rPr>
          <w:sz w:val="24"/>
        </w:rPr>
        <w:t>：</w:t>
      </w:r>
      <w:r>
        <w:rPr>
          <w:rFonts w:hint="eastAsia"/>
          <w:sz w:val="24"/>
        </w:rPr>
        <w:t>某投资者通过其他销售机构认购本基金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w:t>
      </w:r>
      <w:r>
        <w:rPr>
          <w:sz w:val="24"/>
        </w:rPr>
        <w:t>认购费率为</w:t>
      </w:r>
      <w:r>
        <w:rPr>
          <w:rFonts w:hint="eastAsia"/>
          <w:sz w:val="24"/>
        </w:rPr>
        <w:t>0.8</w:t>
      </w:r>
      <w:r>
        <w:rPr>
          <w:sz w:val="24"/>
        </w:rPr>
        <w:t>%，则可认购基金份额为：</w:t>
      </w:r>
    </w:p>
    <w:p w14:paraId="3A2FAD87">
      <w:pPr>
        <w:adjustRightInd w:val="0"/>
        <w:snapToGrid w:val="0"/>
        <w:spacing w:line="360" w:lineRule="auto"/>
        <w:ind w:firstLine="480" w:firstLineChars="200"/>
        <w:rPr>
          <w:sz w:val="24"/>
        </w:rPr>
      </w:pPr>
      <w:r>
        <w:rPr>
          <w:sz w:val="24"/>
        </w:rPr>
        <w:t>认购总金额=100,000</w:t>
      </w:r>
      <w:r>
        <w:rPr>
          <w:rFonts w:hint="eastAsia"/>
          <w:sz w:val="24"/>
        </w:rPr>
        <w:t>.00</w:t>
      </w:r>
      <w:r>
        <w:rPr>
          <w:sz w:val="24"/>
        </w:rPr>
        <w:t>元</w:t>
      </w:r>
    </w:p>
    <w:p w14:paraId="01F0996E">
      <w:pPr>
        <w:adjustRightInd w:val="0"/>
        <w:snapToGrid w:val="0"/>
        <w:spacing w:line="360" w:lineRule="auto"/>
        <w:ind w:firstLine="480" w:firstLineChars="200"/>
        <w:rPr>
          <w:sz w:val="24"/>
        </w:rPr>
      </w:pPr>
      <w:r>
        <w:rPr>
          <w:rFonts w:hint="eastAsia"/>
          <w:sz w:val="24"/>
        </w:rPr>
        <w:t>净</w:t>
      </w:r>
      <w:r>
        <w:rPr>
          <w:sz w:val="24"/>
        </w:rPr>
        <w:t>认购金额＝100,000</w:t>
      </w:r>
      <w:r>
        <w:rPr>
          <w:rFonts w:hint="eastAsia"/>
          <w:sz w:val="24"/>
        </w:rPr>
        <w:t>.00</w:t>
      </w:r>
      <w:r>
        <w:rPr>
          <w:sz w:val="24"/>
        </w:rPr>
        <w:t>/（1＋</w:t>
      </w:r>
      <w:r>
        <w:rPr>
          <w:rFonts w:hint="eastAsia"/>
          <w:sz w:val="24"/>
        </w:rPr>
        <w:t>0.8</w:t>
      </w:r>
      <w:r>
        <w:rPr>
          <w:sz w:val="24"/>
        </w:rPr>
        <w:t>%）＝</w:t>
      </w:r>
      <w:r>
        <w:rPr>
          <w:rFonts w:hint="eastAsia"/>
          <w:sz w:val="24"/>
        </w:rPr>
        <w:t>99,206.35</w:t>
      </w:r>
      <w:r>
        <w:rPr>
          <w:sz w:val="24"/>
        </w:rPr>
        <w:t>元</w:t>
      </w:r>
    </w:p>
    <w:p w14:paraId="4369B036">
      <w:pPr>
        <w:adjustRightInd w:val="0"/>
        <w:snapToGrid w:val="0"/>
        <w:spacing w:line="360" w:lineRule="auto"/>
        <w:ind w:firstLine="480" w:firstLineChars="200"/>
        <w:rPr>
          <w:sz w:val="24"/>
        </w:rPr>
      </w:pPr>
      <w:r>
        <w:rPr>
          <w:sz w:val="24"/>
        </w:rPr>
        <w:t>认购费用＝100,000</w:t>
      </w:r>
      <w:r>
        <w:rPr>
          <w:rFonts w:hint="eastAsia"/>
          <w:sz w:val="24"/>
        </w:rPr>
        <w:t>.00</w:t>
      </w:r>
      <w:r>
        <w:rPr>
          <w:sz w:val="24"/>
        </w:rPr>
        <w:t>-</w:t>
      </w:r>
      <w:r>
        <w:rPr>
          <w:rFonts w:hint="eastAsia"/>
          <w:sz w:val="24"/>
        </w:rPr>
        <w:t>99,206.35</w:t>
      </w:r>
      <w:r>
        <w:rPr>
          <w:sz w:val="24"/>
        </w:rPr>
        <w:t>＝</w:t>
      </w:r>
      <w:r>
        <w:rPr>
          <w:rFonts w:hint="eastAsia"/>
          <w:sz w:val="24"/>
        </w:rPr>
        <w:t>793.65</w:t>
      </w:r>
      <w:r>
        <w:rPr>
          <w:sz w:val="24"/>
        </w:rPr>
        <w:t>元</w:t>
      </w:r>
    </w:p>
    <w:p w14:paraId="71271DE6">
      <w:pPr>
        <w:adjustRightInd w:val="0"/>
        <w:snapToGrid w:val="0"/>
        <w:spacing w:line="360" w:lineRule="auto"/>
        <w:ind w:firstLine="480" w:firstLineChars="200"/>
        <w:rPr>
          <w:sz w:val="24"/>
        </w:rPr>
      </w:pPr>
      <w:r>
        <w:rPr>
          <w:sz w:val="24"/>
        </w:rPr>
        <w:t>认购份额＝</w:t>
      </w:r>
      <w:r>
        <w:rPr>
          <w:rFonts w:hint="eastAsia"/>
          <w:sz w:val="24"/>
        </w:rPr>
        <w:t>99,206.35</w:t>
      </w:r>
      <w:r>
        <w:rPr>
          <w:sz w:val="24"/>
        </w:rPr>
        <w:t>/1.00＋10.00/1.00＝</w:t>
      </w:r>
      <w:r>
        <w:rPr>
          <w:rFonts w:hint="eastAsia"/>
          <w:sz w:val="24"/>
        </w:rPr>
        <w:t>99,216.35</w:t>
      </w:r>
      <w:r>
        <w:rPr>
          <w:sz w:val="24"/>
        </w:rPr>
        <w:t>份</w:t>
      </w:r>
    </w:p>
    <w:p w14:paraId="35229F02">
      <w:pPr>
        <w:adjustRightInd w:val="0"/>
        <w:snapToGrid w:val="0"/>
        <w:spacing w:line="360" w:lineRule="auto"/>
        <w:ind w:firstLine="480" w:firstLineChars="200"/>
        <w:rPr>
          <w:sz w:val="24"/>
        </w:rPr>
      </w:pPr>
      <w:r>
        <w:rPr>
          <w:rFonts w:hint="eastAsia"/>
          <w:sz w:val="24"/>
        </w:rPr>
        <w:t>即：若该投资者通过其他销售机构认购本基金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元，且该认购申请被全额确认，假定该笔认购金额产生的利息为10.00元，则投资100,000元可得到99,216.35份A类基金份额。</w:t>
      </w:r>
    </w:p>
    <w:p w14:paraId="6AC20EB3">
      <w:pPr>
        <w:adjustRightInd w:val="0"/>
        <w:snapToGrid w:val="0"/>
        <w:spacing w:line="360" w:lineRule="auto"/>
        <w:ind w:firstLine="480" w:firstLineChars="200"/>
        <w:rPr>
          <w:sz w:val="24"/>
        </w:rPr>
      </w:pPr>
      <w:r>
        <w:rPr>
          <w:rFonts w:hint="eastAsia"/>
          <w:sz w:val="24"/>
        </w:rPr>
        <w:t>2） C类基金份额的认购</w:t>
      </w:r>
    </w:p>
    <w:p w14:paraId="7CCCEEC9">
      <w:pPr>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14:paraId="35957CD3">
      <w:pPr>
        <w:adjustRightInd w:val="0"/>
        <w:snapToGrid w:val="0"/>
        <w:spacing w:line="360" w:lineRule="auto"/>
        <w:ind w:firstLine="480" w:firstLineChars="200"/>
        <w:rPr>
          <w:sz w:val="24"/>
        </w:rPr>
      </w:pPr>
      <w:r>
        <w:rPr>
          <w:rFonts w:hint="eastAsia"/>
          <w:sz w:val="24"/>
        </w:rPr>
        <w:t>认购总金额 = 申请总金额</w:t>
      </w:r>
    </w:p>
    <w:p w14:paraId="045DDD4C">
      <w:pPr>
        <w:adjustRightInd w:val="0"/>
        <w:snapToGrid w:val="0"/>
        <w:spacing w:line="360" w:lineRule="auto"/>
        <w:ind w:firstLine="480" w:firstLineChars="200"/>
        <w:rPr>
          <w:sz w:val="24"/>
        </w:rPr>
      </w:pPr>
      <w:r>
        <w:rPr>
          <w:rFonts w:hint="eastAsia"/>
          <w:sz w:val="24"/>
        </w:rPr>
        <w:t>认购份额 = 认购总金额/基金份额初始面值＋认购利息/基金份额初始面值</w:t>
      </w:r>
    </w:p>
    <w:p w14:paraId="72621ACC">
      <w:pPr>
        <w:adjustRightInd w:val="0"/>
        <w:snapToGrid w:val="0"/>
        <w:spacing w:line="360" w:lineRule="auto"/>
        <w:ind w:firstLine="480" w:firstLineChars="200"/>
        <w:rPr>
          <w:sz w:val="24"/>
        </w:rPr>
      </w:pPr>
      <w:r>
        <w:rPr>
          <w:rFonts w:hint="eastAsia"/>
          <w:sz w:val="24"/>
        </w:rPr>
        <w:t>认购份额计算结果保留到小数点后2位，小数点2位以后的部分四舍五入，由此误差产生的收益或损失由基金财产承担。</w:t>
      </w:r>
    </w:p>
    <w:p w14:paraId="69ABAC5B">
      <w:pPr>
        <w:adjustRightInd w:val="0"/>
        <w:snapToGrid w:val="0"/>
        <w:spacing w:line="360" w:lineRule="auto"/>
        <w:ind w:firstLine="480" w:firstLineChars="200"/>
        <w:rPr>
          <w:sz w:val="24"/>
        </w:rPr>
      </w:pPr>
      <w:r>
        <w:rPr>
          <w:rFonts w:hint="eastAsia"/>
          <w:sz w:val="24"/>
        </w:rPr>
        <w:t>例三：某投资者认购本基金C类基金份额100,000</w:t>
      </w:r>
      <w:r>
        <w:rPr>
          <w:rFonts w:hint="eastAsia" w:hAnsi="宋体"/>
          <w:sz w:val="24"/>
          <w:szCs w:val="24"/>
        </w:rPr>
        <w:t>.00</w:t>
      </w:r>
      <w:r>
        <w:rPr>
          <w:rFonts w:hint="eastAsia"/>
          <w:sz w:val="24"/>
        </w:rPr>
        <w:t>元，且该认购申请被全额确认。假定该笔认购金额产生利息50.00元。则认购份额为：</w:t>
      </w:r>
    </w:p>
    <w:p w14:paraId="58CCBB69">
      <w:pPr>
        <w:adjustRightInd w:val="0"/>
        <w:snapToGrid w:val="0"/>
        <w:spacing w:line="360" w:lineRule="auto"/>
        <w:ind w:firstLine="480" w:firstLineChars="200"/>
        <w:rPr>
          <w:sz w:val="24"/>
        </w:rPr>
      </w:pPr>
      <w:r>
        <w:rPr>
          <w:rFonts w:hint="eastAsia"/>
          <w:sz w:val="24"/>
        </w:rPr>
        <w:t>认购总金额=100,000.00元</w:t>
      </w:r>
    </w:p>
    <w:p w14:paraId="65559A13">
      <w:pPr>
        <w:adjustRightInd w:val="0"/>
        <w:snapToGrid w:val="0"/>
        <w:spacing w:line="360" w:lineRule="auto"/>
        <w:ind w:firstLine="480" w:firstLineChars="200"/>
        <w:rPr>
          <w:sz w:val="24"/>
        </w:rPr>
      </w:pPr>
      <w:r>
        <w:rPr>
          <w:rFonts w:hint="eastAsia"/>
          <w:sz w:val="24"/>
        </w:rPr>
        <w:t>认购份额＝100,000.00/1.00＋50.00/1.00＝100,050.00份</w:t>
      </w:r>
    </w:p>
    <w:p w14:paraId="15EE9D2A">
      <w:pPr>
        <w:adjustRightInd w:val="0"/>
        <w:snapToGrid w:val="0"/>
        <w:spacing w:line="360" w:lineRule="auto"/>
        <w:ind w:firstLine="480" w:firstLineChars="200"/>
        <w:rPr>
          <w:sz w:val="24"/>
        </w:rPr>
      </w:pPr>
      <w:r>
        <w:rPr>
          <w:rFonts w:hint="eastAsia"/>
          <w:sz w:val="24"/>
        </w:rPr>
        <w:t>即：若该投资者认购本基金C类基金份额100,000</w:t>
      </w:r>
      <w:r>
        <w:rPr>
          <w:rFonts w:hint="eastAsia" w:hAnsi="宋体"/>
          <w:sz w:val="24"/>
          <w:szCs w:val="24"/>
        </w:rPr>
        <w:t>.00</w:t>
      </w:r>
      <w:r>
        <w:rPr>
          <w:rFonts w:hint="eastAsia"/>
          <w:sz w:val="24"/>
        </w:rPr>
        <w:t>元，且该认购申请被全额确认。假定该笔认购金额产生利息50.00元，可得到100,050.00份C类基金份额。</w:t>
      </w:r>
    </w:p>
    <w:p w14:paraId="0490AD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4、认购的程序</w:t>
      </w:r>
    </w:p>
    <w:p w14:paraId="14186102">
      <w:pPr>
        <w:adjustRightInd w:val="0"/>
        <w:snapToGrid w:val="0"/>
        <w:spacing w:line="360" w:lineRule="auto"/>
        <w:ind w:firstLine="480" w:firstLineChars="200"/>
        <w:rPr>
          <w:sz w:val="24"/>
        </w:rPr>
      </w:pPr>
      <w:r>
        <w:rPr>
          <w:sz w:val="24"/>
        </w:rPr>
        <w:t>（1）申请方式：书面申请或基金管理人公告的其他方式。</w:t>
      </w:r>
    </w:p>
    <w:p w14:paraId="3BD59B4F">
      <w:pPr>
        <w:adjustRightInd w:val="0"/>
        <w:snapToGrid w:val="0"/>
        <w:spacing w:line="360" w:lineRule="auto"/>
        <w:ind w:firstLine="480" w:firstLineChars="200"/>
        <w:rPr>
          <w:sz w:val="24"/>
        </w:rPr>
      </w:pPr>
      <w:r>
        <w:rPr>
          <w:sz w:val="24"/>
        </w:rPr>
        <w:t>（2）认购款项支付：投资人认购时，采用全额缴款方式。</w:t>
      </w:r>
    </w:p>
    <w:p w14:paraId="6645A18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5、认购的确认</w:t>
      </w:r>
    </w:p>
    <w:p w14:paraId="39EFB1F4">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w:t>
      </w:r>
      <w:r>
        <w:rPr>
          <w:sz w:val="24"/>
          <w:szCs w:val="21"/>
        </w:rPr>
        <w:t>。</w:t>
      </w:r>
      <w:r>
        <w:rPr>
          <w:rFonts w:hAnsi="宋体"/>
          <w:sz w:val="24"/>
        </w:rPr>
        <w:t>对于认购申请及认购份额的确认情况，投资人应及时查询。</w:t>
      </w:r>
      <w:r>
        <w:rPr>
          <w:sz w:val="24"/>
          <w:szCs w:val="21"/>
        </w:rPr>
        <w:t>投资人可以在基金合同生效后到原认购网点打印认购成交确认凭证。</w:t>
      </w:r>
    </w:p>
    <w:p w14:paraId="397C725A">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14:paraId="7F3ECD3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6、募集期利息的处理方式</w:t>
      </w:r>
    </w:p>
    <w:p w14:paraId="0544C39F">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14:paraId="0C7ECA8B">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5" w:name="_Hlt91148053"/>
      <w:bookmarkEnd w:id="15"/>
      <w:bookmarkStart w:id="16" w:name="_Hlt91264042"/>
      <w:bookmarkEnd w:id="16"/>
      <w:bookmarkStart w:id="17" w:name="_Hlt90801570"/>
      <w:bookmarkEnd w:id="17"/>
      <w:bookmarkStart w:id="18" w:name="_Hlt90455312"/>
      <w:bookmarkEnd w:id="18"/>
      <w:bookmarkStart w:id="19" w:name="_Hlt91264078"/>
      <w:bookmarkEnd w:id="19"/>
      <w:bookmarkStart w:id="20" w:name="_Toc109537384"/>
      <w:r>
        <w:rPr>
          <w:sz w:val="24"/>
          <w:szCs w:val="21"/>
        </w:rPr>
        <w:t>。</w:t>
      </w:r>
      <w:bookmarkEnd w:id="14"/>
    </w:p>
    <w:p w14:paraId="42F4432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1" w:name="_Toc48122008"/>
      <w:r>
        <w:rPr>
          <w:rFonts w:hint="eastAsia" w:ascii="宋体" w:hAnsi="宋体"/>
          <w:b/>
          <w:kern w:val="0"/>
          <w:sz w:val="30"/>
        </w:rPr>
        <w:t>七、基金合同的生效</w:t>
      </w:r>
      <w:bookmarkEnd w:id="21"/>
    </w:p>
    <w:bookmarkEnd w:id="20"/>
    <w:p w14:paraId="6E71F1D4">
      <w:pPr>
        <w:pStyle w:val="4"/>
        <w:autoSpaceDE w:val="0"/>
        <w:autoSpaceDN w:val="0"/>
        <w:adjustRightInd w:val="0"/>
        <w:snapToGrid w:val="0"/>
        <w:spacing w:line="360" w:lineRule="auto"/>
        <w:ind w:firstLine="482"/>
        <w:outlineLvl w:val="1"/>
        <w:rPr>
          <w:b/>
          <w:sz w:val="24"/>
        </w:rPr>
      </w:pPr>
      <w:bookmarkStart w:id="22" w:name="_Hlt88901074"/>
      <w:bookmarkEnd w:id="22"/>
      <w:bookmarkStart w:id="23" w:name="_Toc79392603"/>
      <w:bookmarkStart w:id="24" w:name="_Toc57530272"/>
      <w:bookmarkStart w:id="25" w:name="_Toc15118260"/>
      <w:bookmarkStart w:id="26" w:name="_Toc109537386"/>
      <w:r>
        <w:rPr>
          <w:rFonts w:hAnsi="宋体"/>
          <w:b/>
          <w:sz w:val="24"/>
        </w:rPr>
        <w:t>（一）基金备案的条件</w:t>
      </w:r>
    </w:p>
    <w:p w14:paraId="3189DA79">
      <w:pPr>
        <w:pStyle w:val="4"/>
        <w:autoSpaceDE w:val="0"/>
        <w:autoSpaceDN w:val="0"/>
        <w:adjustRightInd w:val="0"/>
        <w:snapToGrid w:val="0"/>
        <w:spacing w:line="360" w:lineRule="auto"/>
        <w:ind w:firstLine="480"/>
        <w:rPr>
          <w:rFonts w:hAnsi="宋体"/>
          <w:sz w:val="24"/>
        </w:rPr>
      </w:pPr>
      <w:r>
        <w:rPr>
          <w:rFonts w:hint="eastAsia" w:hAnsi="宋体"/>
          <w:sz w:val="24"/>
        </w:rPr>
        <w:t>本基金自基金份额发售之日起3个月内，</w:t>
      </w:r>
      <w:r>
        <w:rPr>
          <w:rFonts w:hint="eastAsia"/>
          <w:bCs/>
          <w:sz w:val="24"/>
        </w:rPr>
        <w:t>在发起资金提供方使用发起资金认购本基金的金额不少于1000万元人民币且承诺其认购的基金份额持有期限自基金合同生效之日起不少于3年的条件下，</w:t>
      </w:r>
      <w:r>
        <w:rPr>
          <w:rFonts w:hint="eastAsia" w:hAnsi="宋体"/>
          <w:sz w:val="24"/>
        </w:rPr>
        <w:t>基金募集期届满或基金管理人依据法律法规及招募说明书可以决定停止基金发售，并在10日内聘请法定验资机构验资，</w:t>
      </w:r>
      <w:r>
        <w:rPr>
          <w:rFonts w:hint="eastAsia"/>
          <w:bCs/>
          <w:sz w:val="24"/>
        </w:rPr>
        <w:t>验资报告需对发起资金提供方及其持有份额进行专门说明，基金管理人</w:t>
      </w:r>
      <w:r>
        <w:rPr>
          <w:rFonts w:hint="eastAsia" w:hAnsi="宋体"/>
          <w:sz w:val="24"/>
        </w:rPr>
        <w:t>自收到验资报告之日起10日内，向中国证监会办理基金备案手续。</w:t>
      </w:r>
    </w:p>
    <w:p w14:paraId="67C4E542">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1744A2">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14:paraId="4B6FAC77">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14:paraId="74222D92">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14:paraId="6A212DFD">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14:paraId="6314CD37">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14:paraId="20718046">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23"/>
    <w:bookmarkEnd w:id="24"/>
    <w:bookmarkEnd w:id="25"/>
    <w:p w14:paraId="52830666">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《基金合同》生效之日起三年后的对应日，若基金资产净值低于</w:t>
      </w:r>
      <w:r>
        <w:rPr>
          <w:rFonts w:ascii="宋体" w:hAnsi="宋体"/>
          <w:kern w:val="0"/>
          <w:sz w:val="24"/>
          <w:szCs w:val="24"/>
        </w:rPr>
        <w:t>2</w:t>
      </w:r>
      <w:r>
        <w:rPr>
          <w:rFonts w:hint="eastAsia" w:ascii="宋体" w:hAnsi="宋体"/>
          <w:kern w:val="0"/>
          <w:sz w:val="24"/>
          <w:szCs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5141F69F">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0B608446">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14:paraId="05CDA5A2">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7" w:name="_Toc48122009"/>
      <w:r>
        <w:rPr>
          <w:rFonts w:hint="eastAsia" w:ascii="宋体" w:hAnsi="宋体"/>
          <w:b/>
          <w:kern w:val="0"/>
          <w:sz w:val="30"/>
        </w:rPr>
        <w:t>八、基金份额的申购与赎回</w:t>
      </w:r>
      <w:bookmarkEnd w:id="26"/>
      <w:bookmarkEnd w:id="27"/>
    </w:p>
    <w:p w14:paraId="1452905B">
      <w:pPr>
        <w:widowControl/>
        <w:adjustRightInd w:val="0"/>
        <w:snapToGrid w:val="0"/>
        <w:spacing w:line="360" w:lineRule="auto"/>
        <w:ind w:firstLine="482" w:firstLineChars="200"/>
        <w:outlineLvl w:val="1"/>
        <w:rPr>
          <w:b/>
          <w:kern w:val="0"/>
          <w:sz w:val="24"/>
          <w:szCs w:val="24"/>
        </w:rPr>
      </w:pPr>
      <w:bookmarkStart w:id="28" w:name="_Hlk49342362"/>
      <w:r>
        <w:rPr>
          <w:rFonts w:hAnsi="宋体"/>
          <w:b/>
          <w:kern w:val="0"/>
          <w:sz w:val="24"/>
          <w:szCs w:val="24"/>
        </w:rPr>
        <w:t>（一）申购和赎回的场所</w:t>
      </w:r>
    </w:p>
    <w:p w14:paraId="02EE75D5">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34501636">
      <w:pPr>
        <w:pStyle w:val="4"/>
        <w:autoSpaceDE w:val="0"/>
        <w:autoSpaceDN w:val="0"/>
        <w:adjustRightInd w:val="0"/>
        <w:snapToGrid w:val="0"/>
        <w:spacing w:line="360" w:lineRule="auto"/>
        <w:ind w:firstLine="480"/>
        <w:rPr>
          <w:rFonts w:hAnsi="宋体"/>
          <w:sz w:val="24"/>
          <w:szCs w:val="24"/>
        </w:rPr>
      </w:pPr>
      <w:r>
        <w:rPr>
          <w:rFonts w:hAnsi="宋体"/>
          <w:sz w:val="24"/>
          <w:szCs w:val="24"/>
        </w:rPr>
        <w:t>1、本基金管理人的直销机构</w:t>
      </w:r>
    </w:p>
    <w:p w14:paraId="59DC229B">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14:paraId="648BC25C">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14:paraId="03A1158C">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14:paraId="550C7194">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14:paraId="239462E4">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14:paraId="2A195816">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14:paraId="2EDBB8D4">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14:paraId="13CE4A81">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14:paraId="00E838EC">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14:paraId="65D90526">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14:paraId="55A1D978">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14:paraId="28DD55B5">
      <w:pPr>
        <w:pStyle w:val="4"/>
        <w:autoSpaceDE w:val="0"/>
        <w:autoSpaceDN w:val="0"/>
        <w:adjustRightInd w:val="0"/>
        <w:snapToGrid w:val="0"/>
        <w:spacing w:line="360" w:lineRule="auto"/>
        <w:ind w:firstLine="480"/>
        <w:rPr>
          <w:rFonts w:hAnsi="宋体"/>
          <w:sz w:val="24"/>
          <w:szCs w:val="24"/>
        </w:rPr>
      </w:pPr>
      <w:r>
        <w:rPr>
          <w:rFonts w:hAnsi="宋体"/>
          <w:sz w:val="24"/>
          <w:szCs w:val="24"/>
        </w:rPr>
        <w:t>2、除基金管理人之外的其他销售机构</w:t>
      </w:r>
    </w:p>
    <w:p w14:paraId="78D3953F">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14:paraId="5FB26DB4">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760439FD">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7F06FA5F">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14:paraId="318DB543">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1、开放日及开放时间</w:t>
      </w:r>
    </w:p>
    <w:p w14:paraId="1ABAE362">
      <w:pPr>
        <w:adjustRightInd w:val="0"/>
        <w:snapToGrid w:val="0"/>
        <w:spacing w:line="360" w:lineRule="auto"/>
        <w:ind w:firstLine="480" w:firstLineChars="200"/>
        <w:rPr>
          <w:sz w:val="24"/>
          <w:szCs w:val="24"/>
        </w:rPr>
      </w:pPr>
      <w:r>
        <w:rPr>
          <w:rFonts w:hint="eastAsia"/>
          <w:sz w:val="24"/>
          <w:szCs w:val="24"/>
        </w:rPr>
        <w:t>投资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14:paraId="7E0A73F5">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5139F3E4">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2、申购、赎回开始日及业务办理时间</w:t>
      </w:r>
    </w:p>
    <w:p w14:paraId="23741D30">
      <w:pPr>
        <w:adjustRightInd w:val="0"/>
        <w:snapToGrid w:val="0"/>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基金管理人可根据实际情况依法决定本基金开始办理申购的具体日期，具体业务办理时间在申购开始公告中规定。</w:t>
      </w:r>
    </w:p>
    <w:p w14:paraId="41EAD2F1">
      <w:pPr>
        <w:adjustRightInd w:val="0"/>
        <w:snapToGrid w:val="0"/>
        <w:spacing w:line="360" w:lineRule="auto"/>
        <w:ind w:firstLine="480" w:firstLineChars="200"/>
        <w:rPr>
          <w:sz w:val="24"/>
          <w:szCs w:val="24"/>
        </w:rPr>
      </w:pPr>
      <w:r>
        <w:rPr>
          <w:rFonts w:hint="eastAsia"/>
          <w:sz w:val="24"/>
          <w:szCs w:val="24"/>
        </w:rPr>
        <w:t>基金管理人自基金合同生效之日起不超过3个月开始办理赎回，具体业务办理时间在赎回开始公告中规定。</w:t>
      </w:r>
    </w:p>
    <w:p w14:paraId="0AB7D395">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11AF6E4F">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069727B">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14:paraId="22C78894">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14:paraId="0EC3A0FF">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14:paraId="12A536D7">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14:paraId="313EA70C">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4948E0DC">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14:paraId="7D538CAE">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29BCA430">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14:paraId="65155AAF">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14:paraId="52092659">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w:t>
      </w:r>
      <w:r>
        <w:rPr>
          <w:rFonts w:hint="eastAsia"/>
          <w:kern w:val="0"/>
          <w:sz w:val="24"/>
          <w:szCs w:val="24"/>
        </w:rPr>
        <w:t>100万元</w:t>
      </w:r>
      <w:r>
        <w:rPr>
          <w:kern w:val="0"/>
          <w:sz w:val="24"/>
          <w:szCs w:val="24"/>
        </w:rPr>
        <w:t>，追加申购的最低金额为单笔</w:t>
      </w:r>
      <w:r>
        <w:rPr>
          <w:rFonts w:hint="eastAsia"/>
          <w:kern w:val="0"/>
          <w:sz w:val="24"/>
          <w:szCs w:val="24"/>
        </w:rPr>
        <w:t>10万元</w:t>
      </w:r>
      <w:r>
        <w:rPr>
          <w:kern w:val="0"/>
          <w:sz w:val="24"/>
          <w:szCs w:val="24"/>
        </w:rPr>
        <w:t>；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14:paraId="7B8B2B14">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14:paraId="5F56B8B1">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14:paraId="52569AC5">
      <w:pPr>
        <w:widowControl/>
        <w:adjustRightInd w:val="0"/>
        <w:snapToGrid w:val="0"/>
        <w:spacing w:line="360" w:lineRule="auto"/>
        <w:ind w:firstLine="480" w:firstLineChars="200"/>
        <w:rPr>
          <w:kern w:val="0"/>
          <w:sz w:val="24"/>
          <w:szCs w:val="24"/>
        </w:rPr>
      </w:pPr>
      <w:bookmarkStart w:id="29"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bookmarkEnd w:id="29"/>
    <w:p w14:paraId="1823C0DD">
      <w:pPr>
        <w:widowControl/>
        <w:adjustRightInd w:val="0"/>
        <w:snapToGrid w:val="0"/>
        <w:spacing w:line="360" w:lineRule="auto"/>
        <w:ind w:firstLine="480" w:firstLineChars="200"/>
        <w:rPr>
          <w:rFonts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p>
    <w:p w14:paraId="7EDBE5B5">
      <w:pPr>
        <w:widowControl/>
        <w:adjustRightInd w:val="0"/>
        <w:snapToGrid w:val="0"/>
        <w:spacing w:line="360" w:lineRule="auto"/>
        <w:ind w:firstLine="480" w:firstLineChars="200"/>
        <w:rPr>
          <w:rFonts w:hAnsi="宋体"/>
          <w:sz w:val="24"/>
          <w:szCs w:val="24"/>
        </w:rPr>
      </w:pPr>
      <w:r>
        <w:rPr>
          <w:rFonts w:hint="eastAsia" w:hAnsi="宋体"/>
          <w:sz w:val="24"/>
          <w:szCs w:val="24"/>
        </w:rPr>
        <w:t>4、基金管理人可以规定本基金的总规模上限、单个投资人累计持有的基金份额上限，具体规定请参见相关公告。</w:t>
      </w:r>
    </w:p>
    <w:p w14:paraId="4144515E">
      <w:pPr>
        <w:widowControl/>
        <w:adjustRightInd w:val="0"/>
        <w:snapToGrid w:val="0"/>
        <w:spacing w:line="360" w:lineRule="auto"/>
        <w:ind w:firstLine="480" w:firstLineChars="200"/>
        <w:rPr>
          <w:rFonts w:hAnsi="宋体"/>
          <w:sz w:val="24"/>
          <w:szCs w:val="24"/>
        </w:rPr>
      </w:pPr>
      <w:r>
        <w:rPr>
          <w:rFonts w:hint="eastAsia" w:hAnsi="宋体"/>
          <w:sz w:val="24"/>
          <w:szCs w:val="24"/>
        </w:rPr>
        <w:t>5</w:t>
      </w:r>
      <w:r>
        <w:rPr>
          <w:rFonts w:hAnsi="宋体"/>
          <w:sz w:val="24"/>
          <w:szCs w:val="24"/>
        </w:rPr>
        <w:t>、</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38CB2374">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14:paraId="14FF3BDB">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14:paraId="3C5F828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sz w:val="24"/>
          <w:szCs w:val="24"/>
        </w:rPr>
        <w:t>、申购和赎回的申请方式</w:t>
      </w:r>
    </w:p>
    <w:p w14:paraId="17CE1AA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D814EC2">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14:paraId="2688C71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1F51429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7日（包括该日）内支付赎回款项。在发生巨额赎回或基金合同载明的其他暂停赎回或延缓支付赎回款项的情形时，款项的支付办法参照基金合同有关条款处理。</w:t>
      </w:r>
    </w:p>
    <w:p w14:paraId="2A888226">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14:paraId="133AA69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14:paraId="579ABD4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14:paraId="30B327A3">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563BB18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w:t>
      </w:r>
      <w:r>
        <w:rPr>
          <w:rFonts w:hAnsi="宋体"/>
          <w:sz w:val="24"/>
          <w:szCs w:val="24"/>
        </w:rPr>
        <w:t>、申购和赎回的登记</w:t>
      </w:r>
    </w:p>
    <w:p w14:paraId="39F82866">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w:t>
      </w:r>
      <w:r>
        <w:rPr>
          <w:rFonts w:hint="eastAsia" w:hAnsi="宋体"/>
          <w:sz w:val="24"/>
          <w:szCs w:val="24"/>
        </w:rPr>
        <w:t>，投资人自T＋2日起（包括该日）有权赎回该部分基金份额</w:t>
      </w:r>
      <w:r>
        <w:rPr>
          <w:rFonts w:hAnsi="宋体"/>
          <w:sz w:val="24"/>
          <w:szCs w:val="24"/>
        </w:rPr>
        <w:t>。投资人应及时查询有关申请的确认情况。</w:t>
      </w:r>
    </w:p>
    <w:p w14:paraId="15F536D5">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14:paraId="3E74D702">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25EE50F3">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14:paraId="22A7CDAF">
      <w:pPr>
        <w:widowControl/>
        <w:adjustRightInd w:val="0"/>
        <w:snapToGrid w:val="0"/>
        <w:spacing w:line="360" w:lineRule="auto"/>
        <w:ind w:firstLine="480" w:firstLineChars="200"/>
        <w:rPr>
          <w:rFonts w:hAnsi="宋体"/>
          <w:sz w:val="24"/>
          <w:szCs w:val="24"/>
        </w:rPr>
      </w:pPr>
      <w:r>
        <w:rPr>
          <w:rFonts w:hAnsi="宋体"/>
          <w:sz w:val="24"/>
          <w:szCs w:val="24"/>
        </w:rPr>
        <w:t>1、申购费用</w:t>
      </w:r>
    </w:p>
    <w:p w14:paraId="20D630B9">
      <w:pPr>
        <w:widowControl/>
        <w:adjustRightInd w:val="0"/>
        <w:snapToGrid w:val="0"/>
        <w:spacing w:line="360" w:lineRule="auto"/>
        <w:ind w:firstLine="480" w:firstLineChars="200"/>
        <w:rPr>
          <w:rFonts w:hAnsi="宋体"/>
          <w:sz w:val="24"/>
          <w:szCs w:val="24"/>
        </w:rPr>
      </w:pPr>
      <w:r>
        <w:rPr>
          <w:rFonts w:hint="eastAsia" w:hAnsi="宋体"/>
          <w:sz w:val="24"/>
          <w:szCs w:val="24"/>
        </w:rPr>
        <w:t>本基金基金份额分为A类基金份额和C类基金份额。投资人申购A类基金份额在申购时支付申购费用（其中，通过直销机构申购时不支付申购费用），申购C类基金份额不支付申购费用。</w:t>
      </w:r>
    </w:p>
    <w:p w14:paraId="162ED0A5">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A类基金份额不收取申购费；通过其他销售机构申购本基金A类基金份额的，申购费用由申购A类基金份额的投资人承担，投资人可以多次申购本基金，申购费用按A类基金份额的每笔申购申请单独计算。申购费用不列入基金财产，主要用于本基金的市场推广、销售等各项费用。</w:t>
      </w:r>
    </w:p>
    <w:p w14:paraId="5DF7D9F9">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w:t>
      </w:r>
      <w:r>
        <w:rPr>
          <w:rFonts w:hAnsi="宋体"/>
          <w:sz w:val="24"/>
          <w:szCs w:val="24"/>
        </w:rPr>
        <w:t>本基金</w:t>
      </w:r>
      <w:r>
        <w:rPr>
          <w:rFonts w:hint="eastAsia" w:hAnsi="宋体"/>
          <w:sz w:val="24"/>
          <w:szCs w:val="24"/>
        </w:rPr>
        <w:t>A类基金份额</w:t>
      </w:r>
      <w:r>
        <w:rPr>
          <w:rFonts w:hAnsi="宋体"/>
          <w:sz w:val="24"/>
          <w:szCs w:val="24"/>
        </w:rPr>
        <w:t>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4079"/>
      </w:tblGrid>
      <w:tr w14:paraId="703A86B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14:paraId="7CE9E4F9">
            <w:pPr>
              <w:adjustRightInd w:val="0"/>
              <w:snapToGrid w:val="0"/>
              <w:jc w:val="center"/>
              <w:rPr>
                <w:b/>
                <w:sz w:val="24"/>
              </w:rPr>
            </w:pPr>
            <w:r>
              <w:rPr>
                <w:b/>
                <w:sz w:val="24"/>
              </w:rPr>
              <w:t>申购金额（含申购费）</w:t>
            </w:r>
          </w:p>
        </w:tc>
        <w:tc>
          <w:tcPr>
            <w:tcW w:w="4079" w:type="dxa"/>
            <w:shd w:val="clear" w:color="auto" w:fill="FFFFFF"/>
            <w:vAlign w:val="center"/>
          </w:tcPr>
          <w:p w14:paraId="586C1CFF">
            <w:pPr>
              <w:adjustRightInd w:val="0"/>
              <w:snapToGrid w:val="0"/>
              <w:jc w:val="center"/>
              <w:rPr>
                <w:b/>
                <w:sz w:val="24"/>
              </w:rPr>
            </w:pPr>
            <w:r>
              <w:rPr>
                <w:rFonts w:hint="eastAsia"/>
                <w:b/>
                <w:sz w:val="24"/>
              </w:rPr>
              <w:t>A类基金份额</w:t>
            </w:r>
            <w:r>
              <w:rPr>
                <w:b/>
                <w:sz w:val="24"/>
              </w:rPr>
              <w:t>申购费率</w:t>
            </w:r>
          </w:p>
        </w:tc>
      </w:tr>
      <w:tr w14:paraId="0B22AE7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14:paraId="47021D6C">
            <w:pPr>
              <w:adjustRightInd w:val="0"/>
              <w:snapToGrid w:val="0"/>
              <w:rPr>
                <w:sz w:val="24"/>
              </w:rPr>
            </w:pPr>
            <w:r>
              <w:rPr>
                <w:rFonts w:hint="eastAsia"/>
                <w:sz w:val="24"/>
              </w:rPr>
              <w:t>5</w:t>
            </w:r>
            <w:r>
              <w:rPr>
                <w:sz w:val="24"/>
              </w:rPr>
              <w:t>00</w:t>
            </w:r>
            <w:r>
              <w:rPr>
                <w:rFonts w:hAnsi="宋体"/>
                <w:sz w:val="24"/>
              </w:rPr>
              <w:t>万元以下</w:t>
            </w:r>
          </w:p>
        </w:tc>
        <w:tc>
          <w:tcPr>
            <w:tcW w:w="4079" w:type="dxa"/>
          </w:tcPr>
          <w:p w14:paraId="45D59CD6">
            <w:pPr>
              <w:adjustRightInd w:val="0"/>
              <w:snapToGrid w:val="0"/>
              <w:jc w:val="center"/>
              <w:rPr>
                <w:sz w:val="24"/>
              </w:rPr>
            </w:pPr>
            <w:r>
              <w:rPr>
                <w:rFonts w:hint="eastAsia"/>
                <w:sz w:val="24"/>
              </w:rPr>
              <w:t>0.8</w:t>
            </w:r>
            <w:r>
              <w:rPr>
                <w:sz w:val="24"/>
              </w:rPr>
              <w:t>%</w:t>
            </w:r>
          </w:p>
        </w:tc>
      </w:tr>
      <w:tr w14:paraId="673AE3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14:paraId="6C52F78A">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4079" w:type="dxa"/>
          </w:tcPr>
          <w:p w14:paraId="7BA5492F">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14:paraId="19272BE5">
      <w:pPr>
        <w:widowControl/>
        <w:adjustRightInd w:val="0"/>
        <w:snapToGrid w:val="0"/>
        <w:spacing w:line="360" w:lineRule="auto"/>
        <w:ind w:firstLine="480" w:firstLineChars="200"/>
        <w:rPr>
          <w:rFonts w:hAnsi="宋体"/>
          <w:kern w:val="0"/>
          <w:sz w:val="24"/>
          <w:szCs w:val="24"/>
        </w:rPr>
      </w:pPr>
      <w:r>
        <w:rPr>
          <w:rFonts w:hint="eastAsia" w:hAnsi="宋体"/>
          <w:sz w:val="24"/>
          <w:szCs w:val="24"/>
        </w:rPr>
        <w:t>持有A类基金份额的投资人因红利自动再投资而产生的A类基金份额，不收取相应的申购费用。</w:t>
      </w:r>
    </w:p>
    <w:p w14:paraId="21BB1739">
      <w:pPr>
        <w:widowControl/>
        <w:adjustRightInd w:val="0"/>
        <w:snapToGrid w:val="0"/>
        <w:spacing w:line="360" w:lineRule="auto"/>
        <w:ind w:firstLine="480" w:firstLineChars="200"/>
        <w:rPr>
          <w:rFonts w:hAnsi="宋体"/>
          <w:kern w:val="0"/>
          <w:sz w:val="24"/>
          <w:szCs w:val="24"/>
        </w:rPr>
      </w:pPr>
      <w:r>
        <w:rPr>
          <w:rFonts w:hAnsi="宋体"/>
          <w:sz w:val="24"/>
          <w:szCs w:val="24"/>
        </w:rPr>
        <w:t>2、赎回费用</w:t>
      </w:r>
    </w:p>
    <w:p w14:paraId="5FC63345">
      <w:pPr>
        <w:widowControl/>
        <w:adjustRightInd w:val="0"/>
        <w:snapToGrid w:val="0"/>
        <w:spacing w:line="360" w:lineRule="auto"/>
        <w:ind w:firstLine="480" w:firstLineChars="200"/>
        <w:rPr>
          <w:rFonts w:hAnsi="宋体"/>
          <w:kern w:val="0"/>
          <w:sz w:val="24"/>
          <w:szCs w:val="24"/>
        </w:rPr>
      </w:pPr>
      <w:r>
        <w:rPr>
          <w:rFonts w:hint="eastAsia" w:hAnsi="宋体"/>
          <w:sz w:val="24"/>
          <w:szCs w:val="24"/>
        </w:rPr>
        <w:t>本基金A类基金份额和C类基金份额的赎回费用由赎回该类基金份额的基金份额持有人承担，在基金份额持有人赎回基金份额时收取，赎回费用全额计入基金财产</w:t>
      </w:r>
      <w:r>
        <w:rPr>
          <w:rFonts w:hAnsi="宋体"/>
          <w:kern w:val="0"/>
          <w:sz w:val="24"/>
          <w:szCs w:val="24"/>
        </w:rPr>
        <w:t>。</w:t>
      </w:r>
    </w:p>
    <w:p w14:paraId="6692FDD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本基金A类基金份额和C类基金份额的赎回费率相同，具体如下：</w:t>
      </w:r>
    </w:p>
    <w:tbl>
      <w:tblPr>
        <w:tblStyle w:val="28"/>
        <w:tblW w:w="7122"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840"/>
        <w:gridCol w:w="2282"/>
      </w:tblGrid>
      <w:tr w14:paraId="2D64D52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14:paraId="26546107">
            <w:pPr>
              <w:adjustRightInd w:val="0"/>
              <w:snapToGrid w:val="0"/>
              <w:jc w:val="center"/>
              <w:rPr>
                <w:b/>
                <w:sz w:val="24"/>
                <w:szCs w:val="24"/>
              </w:rPr>
            </w:pPr>
            <w:r>
              <w:rPr>
                <w:rFonts w:hint="eastAsia" w:hAnsi="宋体"/>
                <w:b/>
                <w:sz w:val="24"/>
                <w:szCs w:val="24"/>
              </w:rPr>
              <w:t>持有期限</w:t>
            </w:r>
          </w:p>
        </w:tc>
        <w:tc>
          <w:tcPr>
            <w:tcW w:w="2282"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14:paraId="05D1FC7A">
            <w:pPr>
              <w:adjustRightInd w:val="0"/>
              <w:snapToGrid w:val="0"/>
              <w:jc w:val="center"/>
              <w:rPr>
                <w:b/>
                <w:sz w:val="24"/>
                <w:szCs w:val="24"/>
              </w:rPr>
            </w:pPr>
            <w:r>
              <w:rPr>
                <w:rFonts w:hint="eastAsia" w:hAnsi="宋体"/>
                <w:b/>
                <w:sz w:val="24"/>
                <w:szCs w:val="24"/>
              </w:rPr>
              <w:t>赎回费率</w:t>
            </w:r>
          </w:p>
        </w:tc>
      </w:tr>
      <w:tr w14:paraId="2FC6D52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14:paraId="398C68F3">
            <w:pPr>
              <w:adjustRightInd w:val="0"/>
              <w:snapToGrid w:val="0"/>
              <w:jc w:val="center"/>
              <w:rPr>
                <w:sz w:val="24"/>
                <w:szCs w:val="24"/>
              </w:rPr>
            </w:pPr>
            <w:r>
              <w:rPr>
                <w:rFonts w:hint="eastAsia"/>
                <w:sz w:val="24"/>
                <w:szCs w:val="24"/>
              </w:rPr>
              <w:t>7日</w:t>
            </w:r>
            <w:r>
              <w:rPr>
                <w:rFonts w:hint="eastAsia" w:hAnsi="宋体"/>
                <w:sz w:val="24"/>
                <w:szCs w:val="24"/>
              </w:rPr>
              <w:t>以内</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14:paraId="0F59617C">
            <w:pPr>
              <w:adjustRightInd w:val="0"/>
              <w:snapToGrid w:val="0"/>
              <w:jc w:val="center"/>
              <w:rPr>
                <w:sz w:val="24"/>
                <w:szCs w:val="24"/>
              </w:rPr>
            </w:pPr>
            <w:r>
              <w:rPr>
                <w:rFonts w:hint="eastAsia"/>
                <w:sz w:val="24"/>
                <w:szCs w:val="24"/>
              </w:rPr>
              <w:t>1</w:t>
            </w:r>
            <w:r>
              <w:rPr>
                <w:sz w:val="24"/>
                <w:szCs w:val="24"/>
              </w:rPr>
              <w:t>.5%</w:t>
            </w:r>
          </w:p>
        </w:tc>
      </w:tr>
      <w:tr w14:paraId="0154BE2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14:paraId="63804406">
            <w:pPr>
              <w:adjustRightInd w:val="0"/>
              <w:snapToGrid w:val="0"/>
              <w:jc w:val="center"/>
              <w:rPr>
                <w:sz w:val="24"/>
                <w:szCs w:val="24"/>
              </w:rPr>
            </w:pPr>
            <w:r>
              <w:rPr>
                <w:rFonts w:hint="eastAsia"/>
                <w:sz w:val="24"/>
                <w:szCs w:val="24"/>
              </w:rPr>
              <w:t>7日（含）—30日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14:paraId="28328A79">
            <w:pPr>
              <w:adjustRightInd w:val="0"/>
              <w:snapToGrid w:val="0"/>
              <w:jc w:val="center"/>
              <w:rPr>
                <w:sz w:val="24"/>
                <w:szCs w:val="24"/>
              </w:rPr>
            </w:pPr>
            <w:r>
              <w:rPr>
                <w:rFonts w:hint="eastAsia"/>
                <w:sz w:val="24"/>
                <w:szCs w:val="24"/>
              </w:rPr>
              <w:t>1.0%</w:t>
            </w:r>
          </w:p>
        </w:tc>
      </w:tr>
      <w:tr w14:paraId="28E916B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14:paraId="31788520">
            <w:pPr>
              <w:adjustRightInd w:val="0"/>
              <w:snapToGrid w:val="0"/>
              <w:jc w:val="center"/>
              <w:rPr>
                <w:sz w:val="24"/>
                <w:szCs w:val="24"/>
              </w:rPr>
            </w:pPr>
            <w:r>
              <w:rPr>
                <w:rFonts w:hint="eastAsia"/>
                <w:sz w:val="24"/>
                <w:szCs w:val="24"/>
              </w:rPr>
              <w:t>30日（含）—180日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14:paraId="4F181492">
            <w:pPr>
              <w:adjustRightInd w:val="0"/>
              <w:snapToGrid w:val="0"/>
              <w:jc w:val="center"/>
              <w:rPr>
                <w:sz w:val="24"/>
                <w:szCs w:val="24"/>
              </w:rPr>
            </w:pPr>
            <w:r>
              <w:rPr>
                <w:rFonts w:hint="eastAsia"/>
                <w:sz w:val="24"/>
                <w:szCs w:val="24"/>
              </w:rPr>
              <w:t>0.5%</w:t>
            </w:r>
          </w:p>
        </w:tc>
      </w:tr>
      <w:tr w14:paraId="7212554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14:paraId="09AFAA7E">
            <w:pPr>
              <w:adjustRightInd w:val="0"/>
              <w:snapToGrid w:val="0"/>
              <w:jc w:val="center"/>
              <w:rPr>
                <w:sz w:val="24"/>
                <w:szCs w:val="24"/>
              </w:rPr>
            </w:pPr>
            <w:r>
              <w:rPr>
                <w:rFonts w:hint="eastAsia"/>
                <w:sz w:val="24"/>
                <w:szCs w:val="24"/>
              </w:rPr>
              <w:t>180日</w:t>
            </w:r>
            <w:r>
              <w:rPr>
                <w:rFonts w:hint="eastAsia" w:hAnsi="宋体"/>
                <w:sz w:val="24"/>
                <w:szCs w:val="24"/>
              </w:rPr>
              <w:t>以上（含）</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14:paraId="5EC7F485">
            <w:pPr>
              <w:adjustRightInd w:val="0"/>
              <w:snapToGrid w:val="0"/>
              <w:jc w:val="center"/>
              <w:rPr>
                <w:sz w:val="24"/>
                <w:szCs w:val="24"/>
              </w:rPr>
            </w:pPr>
            <w:r>
              <w:rPr>
                <w:sz w:val="24"/>
                <w:szCs w:val="24"/>
              </w:rPr>
              <w:t>0</w:t>
            </w:r>
          </w:p>
        </w:tc>
      </w:tr>
    </w:tbl>
    <w:p w14:paraId="0123ACEF">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14:paraId="252C00F9">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72EAE917">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p w14:paraId="33D27117">
      <w:pPr>
        <w:widowControl/>
        <w:adjustRightInd w:val="0"/>
        <w:snapToGrid w:val="0"/>
        <w:spacing w:line="360" w:lineRule="auto"/>
        <w:ind w:firstLine="482" w:firstLineChars="200"/>
        <w:outlineLvl w:val="1"/>
        <w:rPr>
          <w:b/>
          <w:kern w:val="0"/>
          <w:sz w:val="24"/>
          <w:szCs w:val="24"/>
        </w:rPr>
      </w:pPr>
      <w:bookmarkStart w:id="30" w:name="_Hlt81024033"/>
      <w:bookmarkEnd w:id="30"/>
      <w:bookmarkStart w:id="31" w:name="_Hlt90458725"/>
      <w:bookmarkEnd w:id="31"/>
      <w:bookmarkStart w:id="32" w:name="_Hlt91144389"/>
      <w:bookmarkEnd w:id="32"/>
      <w:r>
        <w:rPr>
          <w:rFonts w:hAnsi="宋体"/>
          <w:b/>
          <w:kern w:val="0"/>
          <w:sz w:val="24"/>
          <w:szCs w:val="24"/>
        </w:rPr>
        <w:t>（七）申购和赎回的数额和价格</w:t>
      </w:r>
    </w:p>
    <w:p w14:paraId="1C7663DB">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1、申购和赎回数额、余额的处理方式</w:t>
      </w:r>
    </w:p>
    <w:p w14:paraId="67BE1758">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0DB00CE5">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w:t>
      </w:r>
      <w:r>
        <w:rPr>
          <w:rFonts w:hint="eastAsia" w:hAnsi="宋体"/>
          <w:kern w:val="0"/>
          <w:sz w:val="24"/>
          <w:szCs w:val="24"/>
        </w:rPr>
        <w:t>A类基金份额或C类基金份额的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w:t>
      </w:r>
      <w:r>
        <w:rPr>
          <w:rFonts w:hint="eastAsia" w:hAnsi="宋体"/>
          <w:kern w:val="0"/>
          <w:sz w:val="24"/>
          <w:szCs w:val="24"/>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0C52BF90">
      <w:pPr>
        <w:widowControl/>
        <w:adjustRightInd w:val="0"/>
        <w:snapToGrid w:val="0"/>
        <w:spacing w:line="360" w:lineRule="auto"/>
        <w:ind w:firstLine="480" w:firstLineChars="200"/>
        <w:rPr>
          <w:rFonts w:hAnsi="宋体"/>
          <w:kern w:val="0"/>
          <w:sz w:val="24"/>
          <w:szCs w:val="24"/>
        </w:rPr>
      </w:pPr>
      <w:r>
        <w:rPr>
          <w:rFonts w:hAnsi="宋体"/>
          <w:kern w:val="0"/>
          <w:sz w:val="24"/>
          <w:szCs w:val="24"/>
        </w:rPr>
        <w:t>2、申购份额的计算</w:t>
      </w:r>
    </w:p>
    <w:p w14:paraId="5CBA6BF6">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本基金采用金额申购的方式。</w:t>
      </w:r>
    </w:p>
    <w:p w14:paraId="44F2B3B9">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A类基金份额的申购</w:t>
      </w:r>
    </w:p>
    <w:p w14:paraId="15FF13C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14:paraId="2E62FC0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14:paraId="263A818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②对于通过直销机构申购A类基金份额的，申购费率均为0</w:t>
      </w:r>
      <w:r>
        <w:rPr>
          <w:rFonts w:hint="eastAsia" w:hAnsi="宋体"/>
          <w:kern w:val="0"/>
          <w:sz w:val="24"/>
          <w:szCs w:val="24"/>
        </w:rPr>
        <w:t>）</w:t>
      </w:r>
    </w:p>
    <w:p w14:paraId="144DC45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14:paraId="3CA76B5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14:paraId="5C04CBB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14:paraId="65E7A67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例四：某投资者通过直销机构投资40,000.00元申购本基金A类基金份额，假设申购当日A类基金份额净值为1.0400元，申购费率为0，则其可得到的申购份额为：</w:t>
      </w:r>
    </w:p>
    <w:p w14:paraId="2070CAE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14:paraId="59B35B8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14:paraId="7977E51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14:paraId="232B02D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14:paraId="52F89EB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即：该投资者通过直销机构投资40,000.00元申购本基金A类基金份额，假设申购当日A类基金份额净值为1.0400元，则其可得到38,461.54份A类基金份额。</w:t>
      </w:r>
    </w:p>
    <w:p w14:paraId="457150D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w:t>
      </w:r>
      <w:r>
        <w:rPr>
          <w:rFonts w:hAnsi="宋体"/>
          <w:kern w:val="0"/>
          <w:sz w:val="24"/>
          <w:szCs w:val="24"/>
        </w:rPr>
        <w:t>0</w:t>
      </w:r>
      <w:r>
        <w:rPr>
          <w:rFonts w:hint="eastAsia" w:hAnsi="宋体"/>
          <w:kern w:val="0"/>
          <w:sz w:val="24"/>
          <w:szCs w:val="24"/>
        </w:rPr>
        <w:t>0元，申购费率为0.8%，则其可得到的申购份额为：</w:t>
      </w:r>
    </w:p>
    <w:p w14:paraId="09F0B40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14:paraId="2CF2E6F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w:t>
      </w:r>
      <w:bookmarkStart w:id="33" w:name="OLE_LINK2"/>
      <w:r>
        <w:rPr>
          <w:rFonts w:hint="eastAsia" w:hAnsi="宋体"/>
          <w:kern w:val="0"/>
          <w:sz w:val="24"/>
          <w:szCs w:val="24"/>
        </w:rPr>
        <w:t>40,000.00/（1+0.8%）</w:t>
      </w:r>
      <w:bookmarkEnd w:id="33"/>
      <w:r>
        <w:rPr>
          <w:rFonts w:hint="eastAsia" w:hAnsi="宋体"/>
          <w:kern w:val="0"/>
          <w:sz w:val="24"/>
          <w:szCs w:val="24"/>
        </w:rPr>
        <w:t>=39,682.54元</w:t>
      </w:r>
    </w:p>
    <w:p w14:paraId="26F7EB3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w:t>
      </w:r>
      <w:bookmarkStart w:id="34" w:name="OLE_LINK3"/>
      <w:r>
        <w:rPr>
          <w:rFonts w:hint="eastAsia" w:hAnsi="宋体"/>
          <w:kern w:val="0"/>
          <w:sz w:val="24"/>
          <w:szCs w:val="24"/>
        </w:rPr>
        <w:t>40,000.00-39,682.54</w:t>
      </w:r>
      <w:bookmarkEnd w:id="34"/>
      <w:r>
        <w:rPr>
          <w:rFonts w:hint="eastAsia" w:hAnsi="宋体"/>
          <w:kern w:val="0"/>
          <w:sz w:val="24"/>
          <w:szCs w:val="24"/>
        </w:rPr>
        <w:t>=317.46元</w:t>
      </w:r>
    </w:p>
    <w:p w14:paraId="1DF603A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bookmarkStart w:id="35" w:name="OLE_LINK4"/>
      <w:r>
        <w:rPr>
          <w:rFonts w:hint="eastAsia" w:hAnsi="宋体"/>
          <w:kern w:val="0"/>
          <w:sz w:val="24"/>
          <w:szCs w:val="24"/>
        </w:rPr>
        <w:t>39,682.54/1.0400</w:t>
      </w:r>
      <w:bookmarkEnd w:id="35"/>
      <w:r>
        <w:rPr>
          <w:rFonts w:hint="eastAsia" w:hAnsi="宋体"/>
          <w:kern w:val="0"/>
          <w:sz w:val="24"/>
          <w:szCs w:val="24"/>
        </w:rPr>
        <w:t>=38,156.29份</w:t>
      </w:r>
    </w:p>
    <w:p w14:paraId="30B4CC5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元申购本基金A类基金份额，假设申购当日A类基金份额净值为1.0400元，则其可得到38,156.29份A类基金份额。</w:t>
      </w:r>
    </w:p>
    <w:p w14:paraId="61FA2E93">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C类基金份额的申购</w:t>
      </w:r>
    </w:p>
    <w:p w14:paraId="31037C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如果投资者选择申购C类基金份额，则申购份额的计算方法如下： </w:t>
      </w:r>
    </w:p>
    <w:p w14:paraId="383C7CC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14:paraId="2C748F2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申购份额=申购总金额/T日C类基金份额净值 </w:t>
      </w:r>
    </w:p>
    <w:p w14:paraId="586E57D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例六：某投资者投资100,000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元申购本基金的C类基金份额，假设申购当日C类基金份额净值为1.0400元，则其可得到的申购份额为：</w:t>
      </w:r>
    </w:p>
    <w:p w14:paraId="6168D5F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申购总金额=100,000.00元</w:t>
      </w:r>
    </w:p>
    <w:p w14:paraId="37B2DD9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申购份额＝100,000.00/1.0400＝96,153.85份</w:t>
      </w:r>
    </w:p>
    <w:p w14:paraId="272EBDB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元申购本基金的C类基金份额，假设申购当日C类基金份额净值为1.0400元，则其可得到96,153.85份C类基金份额。</w:t>
      </w:r>
    </w:p>
    <w:p w14:paraId="2468F3C1">
      <w:pPr>
        <w:widowControl/>
        <w:adjustRightInd w:val="0"/>
        <w:snapToGrid w:val="0"/>
        <w:spacing w:line="360" w:lineRule="auto"/>
        <w:ind w:firstLine="480" w:firstLineChars="200"/>
        <w:rPr>
          <w:rFonts w:hAnsi="宋体"/>
          <w:kern w:val="0"/>
          <w:sz w:val="24"/>
          <w:szCs w:val="24"/>
        </w:rPr>
      </w:pPr>
      <w:r>
        <w:rPr>
          <w:rFonts w:hAnsi="宋体"/>
          <w:sz w:val="24"/>
          <w:szCs w:val="24"/>
        </w:rPr>
        <w:t>3、</w:t>
      </w:r>
      <w:r>
        <w:rPr>
          <w:rFonts w:hint="eastAsia" w:hAnsi="宋体"/>
          <w:kern w:val="0"/>
          <w:sz w:val="24"/>
          <w:szCs w:val="24"/>
        </w:rPr>
        <w:t>赎回金额的计算</w:t>
      </w:r>
    </w:p>
    <w:p w14:paraId="133E8EF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14:paraId="53D73E2D">
      <w:pPr>
        <w:widowControl/>
        <w:adjustRightInd w:val="0"/>
        <w:snapToGrid w:val="0"/>
        <w:spacing w:line="360" w:lineRule="auto"/>
        <w:ind w:firstLine="480" w:firstLineChars="200"/>
        <w:rPr>
          <w:rFonts w:hAnsi="宋体"/>
          <w:sz w:val="24"/>
          <w:szCs w:val="24"/>
        </w:rPr>
      </w:pPr>
      <w:r>
        <w:rPr>
          <w:rFonts w:hint="eastAsia" w:hAnsi="宋体"/>
          <w:sz w:val="24"/>
          <w:szCs w:val="24"/>
        </w:rPr>
        <w:t>如果投资者赎回基金份额，则赎回金额的计算方法如下：</w:t>
      </w:r>
    </w:p>
    <w:p w14:paraId="4A616274">
      <w:pPr>
        <w:widowControl/>
        <w:adjustRightInd w:val="0"/>
        <w:snapToGrid w:val="0"/>
        <w:spacing w:line="360" w:lineRule="auto"/>
        <w:ind w:firstLine="480" w:firstLineChars="200"/>
        <w:rPr>
          <w:rFonts w:hAnsi="宋体"/>
          <w:sz w:val="24"/>
          <w:szCs w:val="24"/>
        </w:rPr>
      </w:pPr>
      <w:r>
        <w:rPr>
          <w:rFonts w:hint="eastAsia" w:hAnsi="宋体"/>
          <w:sz w:val="24"/>
          <w:szCs w:val="24"/>
        </w:rPr>
        <w:t>赎回费用=赎回份额×T日该类基金份额净值×赎回费率</w:t>
      </w:r>
    </w:p>
    <w:p w14:paraId="108BB349">
      <w:pPr>
        <w:widowControl/>
        <w:adjustRightInd w:val="0"/>
        <w:snapToGrid w:val="0"/>
        <w:spacing w:line="360" w:lineRule="auto"/>
        <w:ind w:firstLine="480" w:firstLineChars="200"/>
        <w:rPr>
          <w:rFonts w:hAnsi="宋体"/>
          <w:sz w:val="24"/>
          <w:szCs w:val="24"/>
        </w:rPr>
      </w:pPr>
      <w:r>
        <w:rPr>
          <w:rFonts w:hint="eastAsia" w:hAnsi="宋体"/>
          <w:sz w:val="24"/>
          <w:szCs w:val="24"/>
        </w:rPr>
        <w:t>赎回金额=赎回份额×T日该类基金份额净值-赎回费用+该笔赎回确认应返还投资者的销售服务费（如有）</w:t>
      </w:r>
    </w:p>
    <w:p w14:paraId="2EB60C9D">
      <w:pPr>
        <w:widowControl/>
        <w:adjustRightInd w:val="0"/>
        <w:snapToGrid w:val="0"/>
        <w:spacing w:line="360" w:lineRule="auto"/>
        <w:ind w:firstLine="480" w:firstLineChars="200"/>
        <w:rPr>
          <w:rFonts w:hAnsi="宋体"/>
          <w:sz w:val="24"/>
          <w:szCs w:val="24"/>
        </w:rPr>
      </w:pPr>
      <w:r>
        <w:rPr>
          <w:rFonts w:hint="eastAsia" w:hAnsi="宋体"/>
          <w:sz w:val="24"/>
          <w:szCs w:val="24"/>
        </w:rPr>
        <w:t>对于投资者通过直销机构认购/申购的C类基金份额所计提的销售服务费，或者通过其他销售机构认购/申购的C类基金份额持续持有超过一年后所计提的销售服务费，将在投资者赎回相应基金份额时随赎回款一并返还给投资者。</w:t>
      </w:r>
    </w:p>
    <w:p w14:paraId="4581F9FC">
      <w:pPr>
        <w:widowControl/>
        <w:adjustRightInd w:val="0"/>
        <w:snapToGrid w:val="0"/>
        <w:spacing w:line="360" w:lineRule="auto"/>
        <w:ind w:firstLine="480" w:firstLineChars="200"/>
        <w:rPr>
          <w:rFonts w:hAnsi="宋体"/>
          <w:sz w:val="24"/>
          <w:szCs w:val="24"/>
        </w:rPr>
      </w:pPr>
      <w:r>
        <w:rPr>
          <w:rFonts w:hint="eastAsia" w:hAnsi="宋体"/>
          <w:sz w:val="24"/>
          <w:szCs w:val="24"/>
        </w:rPr>
        <w:t>例七：某投资者赎回持有的10,000.00份A类基金份额，持有期限为30日，对应的赎回费率为0.5%，假设赎回当日A类基金份额净值是1.0160元，则其可得到的赎回金额为：</w:t>
      </w:r>
    </w:p>
    <w:p w14:paraId="742B9EBB">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14:paraId="5C641B3F">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赎回金额=10,000.00×1.0160-50.80＝10,109.20元</w:t>
      </w:r>
    </w:p>
    <w:p w14:paraId="05025CFE">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w:t>
      </w:r>
      <w:r>
        <w:rPr>
          <w:rFonts w:hAnsi="宋体"/>
          <w:sz w:val="24"/>
          <w:szCs w:val="24"/>
        </w:rPr>
        <w:t>.00</w:t>
      </w:r>
      <w:r>
        <w:rPr>
          <w:rFonts w:hint="eastAsia" w:hAnsi="宋体"/>
          <w:sz w:val="24"/>
          <w:szCs w:val="24"/>
        </w:rPr>
        <w:t>份A类基金份额，持有期限为30日，对应的赎回费率为0.5%，假设赎回当日A类基金份额净值是1.0160元，则其可得到的赎回金额为10,109.20元。</w:t>
      </w:r>
    </w:p>
    <w:p w14:paraId="4C25A0E2">
      <w:pPr>
        <w:widowControl/>
        <w:adjustRightInd w:val="0"/>
        <w:snapToGrid w:val="0"/>
        <w:spacing w:line="360" w:lineRule="auto"/>
        <w:ind w:firstLine="480" w:firstLineChars="200"/>
        <w:rPr>
          <w:rFonts w:hAnsi="宋体"/>
          <w:sz w:val="24"/>
          <w:szCs w:val="24"/>
        </w:rPr>
      </w:pPr>
      <w:r>
        <w:rPr>
          <w:rFonts w:hint="eastAsia" w:hAnsi="宋体"/>
          <w:sz w:val="24"/>
          <w:szCs w:val="24"/>
        </w:rPr>
        <w:t>例八：某投资者赎回持有的10,000.00份C类基金份额（通过直销机构认购/申购获得），持有期限为30日，对应的赎回费率为0.5%，假设赎回当日C类基金份额净值是1.0160元，且假设该笔赎回确认应返还的销售服务费为5.00元（即通过直销机构认购/申购的C类基金份额所计提的销售服务费，在投资者赎回相应基金份额时随赎回款一并返还），则其可得到的赎回金额为：</w:t>
      </w:r>
    </w:p>
    <w:p w14:paraId="48467045">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14:paraId="57FDE002">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赎回金额=10,000.00×1.0160-50.80+5.00＝10,114.20元</w:t>
      </w:r>
    </w:p>
    <w:p w14:paraId="16B41A00">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10,000.00份C类基金份额（通过直销机构认购/申购获得），持有期限为30日，对应的赎回费率为0.5%，假设赎回当日C类基金份额净值是1.0160元，且假设该笔赎回确认应返还的销售服务费为5.00元，则其可得到的赎回金额为10,114.20元。</w:t>
      </w:r>
    </w:p>
    <w:p w14:paraId="44404BE6">
      <w:pPr>
        <w:widowControl/>
        <w:adjustRightInd w:val="0"/>
        <w:snapToGrid w:val="0"/>
        <w:spacing w:line="360" w:lineRule="auto"/>
        <w:ind w:firstLine="480" w:firstLineChars="200"/>
        <w:rPr>
          <w:rFonts w:hAnsi="宋体"/>
          <w:sz w:val="24"/>
          <w:szCs w:val="24"/>
        </w:rPr>
      </w:pPr>
      <w:r>
        <w:rPr>
          <w:rFonts w:hint="eastAsia" w:hAnsi="宋体"/>
          <w:sz w:val="24"/>
          <w:szCs w:val="24"/>
        </w:rPr>
        <w:t>例九：某投资者赎回持有的10,000.00份C类基金份额（通过其他销售机构认购/申购获得），持有期限为450日，</w:t>
      </w:r>
      <w:bookmarkStart w:id="36" w:name="_Hlk218934777"/>
      <w:r>
        <w:rPr>
          <w:rFonts w:hint="eastAsia" w:hAnsi="宋体"/>
          <w:sz w:val="24"/>
          <w:szCs w:val="24"/>
        </w:rPr>
        <w:t>对应的赎回费率为0，</w:t>
      </w:r>
      <w:bookmarkEnd w:id="36"/>
      <w:r>
        <w:rPr>
          <w:rFonts w:hint="eastAsia" w:hAnsi="宋体"/>
          <w:sz w:val="24"/>
          <w:szCs w:val="24"/>
        </w:rPr>
        <w:t>假设赎回当日C类基金份额净值是1.0160元，且假设该笔赎回确认应返还的销售服务费为10.00元（即通过其他销售机构认购/申购的C类基金份额持续持有超过一年后所计提的销售服务费，在投资者赎回相应基金份额时随赎回款一并返还），则其可得到的赎回金额为：</w:t>
      </w:r>
    </w:p>
    <w:p w14:paraId="1353759F">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赎回费用=10,000.00×1.0160×0＝0.00元</w:t>
      </w:r>
    </w:p>
    <w:p w14:paraId="4291AE1C">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赎回金额=10,000.00×1.0160-0.00+10.00＝10,170.00元</w:t>
      </w:r>
    </w:p>
    <w:p w14:paraId="186EAB29">
      <w:pPr>
        <w:widowControl/>
        <w:adjustRightInd w:val="0"/>
        <w:snapToGrid w:val="0"/>
        <w:spacing w:line="360" w:lineRule="auto"/>
        <w:ind w:firstLine="480" w:firstLineChars="200"/>
        <w:rPr>
          <w:rFonts w:hAnsi="宋体"/>
          <w:kern w:val="0"/>
          <w:sz w:val="24"/>
          <w:szCs w:val="24"/>
        </w:rPr>
      </w:pPr>
      <w:r>
        <w:rPr>
          <w:rFonts w:hint="eastAsia" w:hAnsi="宋体"/>
          <w:sz w:val="24"/>
          <w:szCs w:val="24"/>
        </w:rPr>
        <w:t>即：该投资者赎回本基金10,000.00份C类基金份额（通过其他销售机构认购/申购获得），持有期限为450日，对应的赎回费率为0，假设赎回当日C类基金份额净值是1.0160元，且假设该笔赎回确认应返还的销售服务费为10.00元，则其可得到的赎回金额为10,170.00元。</w:t>
      </w:r>
    </w:p>
    <w:p w14:paraId="79506A03">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14:paraId="5757353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A类基金份额净值＝A类基金份额的基金资产净值总额/发行在外的A类基金份额总数</w:t>
      </w:r>
    </w:p>
    <w:p w14:paraId="3022866B">
      <w:pPr>
        <w:widowControl/>
        <w:adjustRightInd w:val="0"/>
        <w:snapToGrid w:val="0"/>
        <w:spacing w:line="360" w:lineRule="auto"/>
        <w:ind w:firstLine="480" w:firstLineChars="200"/>
        <w:rPr>
          <w:kern w:val="0"/>
          <w:sz w:val="24"/>
          <w:szCs w:val="24"/>
        </w:rPr>
      </w:pPr>
      <w:r>
        <w:rPr>
          <w:rFonts w:hint="eastAsia" w:hAnsi="宋体"/>
          <w:kern w:val="0"/>
          <w:sz w:val="24"/>
          <w:szCs w:val="24"/>
        </w:rPr>
        <w:t>C类基金份额净值＝C类基金份额的基金资产净值总额/发行在外的C类基金份额总数</w:t>
      </w:r>
    </w:p>
    <w:p w14:paraId="1806DB48">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A类基金份额和C类基金份额的基金</w:t>
      </w:r>
      <w:r>
        <w:rPr>
          <w:rFonts w:hAnsi="宋体"/>
          <w:sz w:val="24"/>
          <w:szCs w:val="24"/>
        </w:rPr>
        <w:t>份额净值的计算，</w:t>
      </w:r>
      <w:r>
        <w:rPr>
          <w:rFonts w:hint="eastAsia" w:hAnsi="宋体"/>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14:paraId="42F360F7">
      <w:pPr>
        <w:adjustRightInd w:val="0"/>
        <w:snapToGrid w:val="0"/>
        <w:spacing w:line="360" w:lineRule="auto"/>
        <w:ind w:firstLine="482" w:firstLineChars="200"/>
        <w:outlineLvl w:val="1"/>
        <w:rPr>
          <w:rFonts w:hAnsi="宋体"/>
          <w:kern w:val="0"/>
          <w:sz w:val="24"/>
          <w:szCs w:val="24"/>
        </w:rPr>
      </w:pPr>
      <w:bookmarkStart w:id="37" w:name="_Toc79392615"/>
      <w:r>
        <w:rPr>
          <w:rFonts w:hAnsi="宋体"/>
          <w:b/>
          <w:kern w:val="0"/>
          <w:sz w:val="24"/>
          <w:szCs w:val="24"/>
        </w:rPr>
        <w:t>（八）拒绝或暂停申购的情形</w:t>
      </w:r>
      <w:bookmarkEnd w:id="37"/>
    </w:p>
    <w:p w14:paraId="4645FB2D">
      <w:pPr>
        <w:widowControl/>
        <w:adjustRightInd w:val="0"/>
        <w:snapToGrid w:val="0"/>
        <w:spacing w:line="360" w:lineRule="auto"/>
        <w:ind w:firstLine="480" w:firstLineChars="200"/>
        <w:rPr>
          <w:rFonts w:hAnsi="宋体"/>
          <w:kern w:val="0"/>
          <w:sz w:val="24"/>
          <w:szCs w:val="24"/>
        </w:rPr>
      </w:pPr>
      <w:bookmarkStart w:id="38" w:name="_Hlt70481650"/>
      <w:bookmarkEnd w:id="38"/>
      <w:r>
        <w:rPr>
          <w:rFonts w:hint="eastAsia" w:hAnsi="宋体"/>
          <w:kern w:val="0"/>
          <w:sz w:val="24"/>
          <w:szCs w:val="24"/>
        </w:rPr>
        <w:t>发生下列情况时，基金管理人可拒绝或暂停接受投资人的申购申请：</w:t>
      </w:r>
    </w:p>
    <w:p w14:paraId="4BAAB44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14:paraId="45D63FA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14:paraId="17127ED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14:paraId="489ADBD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4、接受某笔或某些申购申请可能会影响或损害现有基金份额持有人利益时。</w:t>
      </w:r>
    </w:p>
    <w:p w14:paraId="5F82897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14:paraId="4627AB0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6、基金销售机构、基金销售支付结算机构或登记机构的异常情况导致基金销售系统、基金销售支付结算系统、基金注册登记系统或基金会计系统无法正常运行。</w:t>
      </w:r>
    </w:p>
    <w:p w14:paraId="6921D07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15DF432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2F28A52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基金管理人接受某笔或者某些申购申请有可能导致单一投资者（基金管理人、基金管理人高级管理人员或基金经理等人员作为发起资金提供方除外）持有基金份额的比例超过50%，或者变相规避50%集中度的。出现上述情形时，基金管理人有权将上述申购申请全部或部分确认失败。</w:t>
      </w:r>
    </w:p>
    <w:p w14:paraId="725F59C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10、法律法规规定、中国证监会认定或基金合同约定的其他情形。</w:t>
      </w:r>
    </w:p>
    <w:p w14:paraId="0851A59B">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发生上述第</w:t>
      </w:r>
      <w:r>
        <w:rPr>
          <w:bCs/>
          <w:sz w:val="24"/>
        </w:rPr>
        <w:t>1、2、</w:t>
      </w:r>
      <w:r>
        <w:rPr>
          <w:rFonts w:hint="eastAsia"/>
          <w:bCs/>
          <w:sz w:val="24"/>
        </w:rPr>
        <w:t>3</w:t>
      </w:r>
      <w:r>
        <w:rPr>
          <w:bCs/>
          <w:sz w:val="24"/>
        </w:rPr>
        <w:t>、5</w:t>
      </w:r>
      <w:r>
        <w:rPr>
          <w:rFonts w:hint="eastAsia"/>
          <w:bCs/>
          <w:sz w:val="24"/>
        </w:rPr>
        <w:t>、6、7</w:t>
      </w:r>
      <w:r>
        <w:rPr>
          <w:bCs/>
          <w:sz w:val="24"/>
        </w:rPr>
        <w:t>、</w:t>
      </w:r>
      <w:r>
        <w:rPr>
          <w:rFonts w:hint="eastAsia"/>
          <w:bCs/>
          <w:sz w:val="24"/>
        </w:rPr>
        <w:t>8、10</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68947815">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14:paraId="7129F7B4">
      <w:pPr>
        <w:widowControl/>
        <w:adjustRightInd w:val="0"/>
        <w:snapToGrid w:val="0"/>
        <w:spacing w:line="360" w:lineRule="auto"/>
        <w:ind w:firstLine="480" w:firstLineChars="200"/>
        <w:rPr>
          <w:rFonts w:hAnsi="宋体"/>
          <w:kern w:val="0"/>
          <w:sz w:val="24"/>
          <w:szCs w:val="24"/>
        </w:rPr>
      </w:pPr>
      <w:bookmarkStart w:id="39" w:name="_Toc79392616"/>
      <w:r>
        <w:rPr>
          <w:rFonts w:hint="eastAsia" w:hAnsi="宋体"/>
          <w:kern w:val="0"/>
          <w:sz w:val="24"/>
          <w:szCs w:val="24"/>
        </w:rPr>
        <w:t>发生下列情形时，基金管理人可暂停接受投资人的赎回申请或延缓支付赎回款项：</w:t>
      </w:r>
    </w:p>
    <w:p w14:paraId="786E6FB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14:paraId="3455BCE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14:paraId="0636164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14:paraId="440E3C8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4、连续两个或两个以上开放日发生巨额赎回。</w:t>
      </w:r>
    </w:p>
    <w:p w14:paraId="1985AC8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14:paraId="0F3771AB">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5A20B023">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14:paraId="32D8F1FD">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EE7CC8D">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39"/>
    </w:p>
    <w:p w14:paraId="783D3BD0">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14:paraId="56CFADC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625EC6A0">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14:paraId="46FB8C7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2461957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51AD050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6376F37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7B7BA9A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14:paraId="607DCAA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5AADD74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0BB814E0">
      <w:pPr>
        <w:widowControl/>
        <w:adjustRightInd w:val="0"/>
        <w:snapToGrid w:val="0"/>
        <w:spacing w:line="360" w:lineRule="auto"/>
        <w:ind w:firstLine="480" w:firstLineChars="200"/>
        <w:outlineLvl w:val="2"/>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14:paraId="2E40D055">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14:paraId="38BEE12E">
      <w:pPr>
        <w:widowControl/>
        <w:adjustRightInd w:val="0"/>
        <w:snapToGrid w:val="0"/>
        <w:spacing w:line="360" w:lineRule="auto"/>
        <w:ind w:firstLine="482" w:firstLineChars="200"/>
        <w:outlineLvl w:val="1"/>
        <w:rPr>
          <w:b/>
          <w:kern w:val="0"/>
          <w:sz w:val="24"/>
          <w:szCs w:val="24"/>
        </w:rPr>
      </w:pPr>
      <w:bookmarkStart w:id="40" w:name="_Toc79392617"/>
      <w:r>
        <w:rPr>
          <w:rFonts w:hAnsi="宋体"/>
          <w:b/>
          <w:kern w:val="0"/>
          <w:sz w:val="24"/>
          <w:szCs w:val="24"/>
        </w:rPr>
        <w:t>（十一）暂停申购或赎回的公告和重新开放申购或赎回的公告</w:t>
      </w:r>
      <w:bookmarkEnd w:id="40"/>
    </w:p>
    <w:p w14:paraId="36366AD4">
      <w:pPr>
        <w:widowControl/>
        <w:adjustRightInd w:val="0"/>
        <w:snapToGrid w:val="0"/>
        <w:spacing w:line="360" w:lineRule="auto"/>
        <w:ind w:firstLine="480" w:firstLineChars="200"/>
        <w:rPr>
          <w:rFonts w:hAnsi="宋体"/>
          <w:kern w:val="0"/>
          <w:sz w:val="24"/>
          <w:szCs w:val="24"/>
        </w:rPr>
      </w:pPr>
      <w:bookmarkStart w:id="41" w:name="_Toc15118274"/>
      <w:bookmarkStart w:id="42" w:name="_Toc59441259"/>
      <w:bookmarkStart w:id="43" w:name="_Toc79392618"/>
      <w:r>
        <w:rPr>
          <w:rFonts w:hint="eastAsia" w:hAnsi="宋体"/>
          <w:kern w:val="0"/>
          <w:sz w:val="24"/>
          <w:szCs w:val="24"/>
        </w:rPr>
        <w:t>1、发生上述暂停申购或赎回情况的，基金管理人应在规定期限内在规定媒介上刊登暂停公告。</w:t>
      </w:r>
    </w:p>
    <w:p w14:paraId="6625270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2、如发生暂停的时间为1日，基金管理人应于重新开放日，在规定媒介上刊登基金重新开放申购或赎回公告，并公布最近1个开放日各类基金份额的基金份额净值。</w:t>
      </w:r>
    </w:p>
    <w:p w14:paraId="4DAC069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1"/>
    <w:bookmarkEnd w:id="42"/>
    <w:bookmarkEnd w:id="43"/>
    <w:p w14:paraId="25C73A84">
      <w:pPr>
        <w:widowControl/>
        <w:adjustRightInd w:val="0"/>
        <w:snapToGrid w:val="0"/>
        <w:spacing w:line="360" w:lineRule="auto"/>
        <w:ind w:firstLine="482" w:firstLineChars="200"/>
        <w:outlineLvl w:val="1"/>
        <w:rPr>
          <w:b/>
          <w:kern w:val="0"/>
          <w:sz w:val="24"/>
          <w:szCs w:val="24"/>
        </w:rPr>
      </w:pPr>
      <w:bookmarkStart w:id="44" w:name="_Toc79392621"/>
      <w:r>
        <w:rPr>
          <w:rFonts w:hAnsi="宋体"/>
          <w:b/>
          <w:kern w:val="0"/>
          <w:sz w:val="24"/>
          <w:szCs w:val="24"/>
        </w:rPr>
        <w:t>（十二）基金转换</w:t>
      </w:r>
    </w:p>
    <w:p w14:paraId="7F10BD8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775FD674">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14:paraId="07AA782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14:paraId="468FDCA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4D29C6A">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44"/>
    </w:p>
    <w:p w14:paraId="10D1AD12">
      <w:pPr>
        <w:widowControl/>
        <w:adjustRightInd w:val="0"/>
        <w:snapToGrid w:val="0"/>
        <w:spacing w:line="360" w:lineRule="auto"/>
        <w:ind w:firstLine="480" w:firstLineChars="200"/>
        <w:rPr>
          <w:rFonts w:hAnsi="宋体"/>
          <w:kern w:val="0"/>
          <w:sz w:val="24"/>
          <w:szCs w:val="24"/>
        </w:rPr>
      </w:pPr>
      <w:bookmarkStart w:id="45" w:name="_Toc79392620"/>
      <w:r>
        <w:rPr>
          <w:rFonts w:hint="eastAsia" w:hAnsi="宋体"/>
          <w:kern w:val="0"/>
          <w:sz w:val="24"/>
          <w:szCs w:val="24"/>
        </w:rPr>
        <w:t>基金份额持有人可办理已持有基金份额在不同销售机构之间的转托管，基金销售机构可以按照规定的标准收取转托管费。</w:t>
      </w:r>
    </w:p>
    <w:p w14:paraId="30D7CCE1">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14:paraId="7A59BA7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745BBDA">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45"/>
    </w:p>
    <w:p w14:paraId="02111FF7">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p>
    <w:p w14:paraId="7755F461">
      <w:pPr>
        <w:adjustRightInd w:val="0"/>
        <w:snapToGrid w:val="0"/>
        <w:spacing w:line="360" w:lineRule="auto"/>
        <w:ind w:firstLine="482" w:firstLineChars="200"/>
        <w:outlineLvl w:val="1"/>
        <w:rPr>
          <w:rFonts w:hAnsi="宋体"/>
          <w:b/>
          <w:sz w:val="24"/>
          <w:szCs w:val="24"/>
        </w:rPr>
      </w:pPr>
      <w:bookmarkStart w:id="46" w:name="_Toc66720082"/>
      <w:bookmarkStart w:id="47" w:name="_Toc66719557"/>
      <w:bookmarkStart w:id="48" w:name="_Toc109059024"/>
      <w:r>
        <w:rPr>
          <w:rFonts w:hint="eastAsia" w:hAnsi="宋体"/>
          <w:b/>
          <w:sz w:val="24"/>
          <w:szCs w:val="24"/>
        </w:rPr>
        <w:t>（十七）基金份额的转让</w:t>
      </w:r>
    </w:p>
    <w:p w14:paraId="66C18ABB">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FEC1DD9">
      <w:pPr>
        <w:adjustRightInd w:val="0"/>
        <w:snapToGrid w:val="0"/>
        <w:spacing w:line="360" w:lineRule="auto"/>
        <w:ind w:firstLine="482" w:firstLineChars="200"/>
        <w:outlineLvl w:val="1"/>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14:paraId="01DAAA45">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14:paraId="3478954F">
      <w:pPr>
        <w:adjustRightInd w:val="0"/>
        <w:snapToGrid w:val="0"/>
        <w:spacing w:line="360" w:lineRule="auto"/>
        <w:ind w:firstLine="482" w:firstLineChars="200"/>
        <w:outlineLvl w:val="1"/>
        <w:rPr>
          <w:rFonts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14:paraId="4F26F4DD">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28"/>
    </w:p>
    <w:p w14:paraId="100B9D8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49" w:name="_Toc48122010"/>
      <w:r>
        <w:rPr>
          <w:rFonts w:hint="eastAsia" w:ascii="宋体" w:hAnsi="宋体"/>
          <w:b/>
          <w:kern w:val="0"/>
          <w:sz w:val="30"/>
        </w:rPr>
        <w:t>九、基金的投资</w:t>
      </w:r>
      <w:bookmarkEnd w:id="49"/>
    </w:p>
    <w:p w14:paraId="2FF48133">
      <w:pPr>
        <w:adjustRightInd w:val="0"/>
        <w:snapToGrid w:val="0"/>
        <w:spacing w:line="360" w:lineRule="auto"/>
        <w:ind w:firstLine="482" w:firstLineChars="200"/>
        <w:outlineLvl w:val="1"/>
        <w:rPr>
          <w:rFonts w:hAnsi="宋体"/>
          <w:kern w:val="0"/>
          <w:sz w:val="24"/>
          <w:szCs w:val="24"/>
        </w:rPr>
      </w:pPr>
      <w:bookmarkStart w:id="50" w:name="_Hlk50018503"/>
      <w:r>
        <w:rPr>
          <w:rFonts w:hint="eastAsia"/>
          <w:b/>
          <w:bCs/>
          <w:sz w:val="24"/>
        </w:rPr>
        <w:t>（一）投资目标</w:t>
      </w:r>
    </w:p>
    <w:p w14:paraId="59E8B54D">
      <w:pPr>
        <w:adjustRightInd w:val="0"/>
        <w:snapToGrid w:val="0"/>
        <w:spacing w:line="360" w:lineRule="auto"/>
        <w:ind w:firstLine="482"/>
        <w:rPr>
          <w:bCs/>
          <w:sz w:val="24"/>
        </w:rPr>
      </w:pPr>
      <w:r>
        <w:rPr>
          <w:rFonts w:hint="eastAsia"/>
          <w:bCs/>
          <w:sz w:val="24"/>
        </w:rPr>
        <w:t>本基金主要投资于消费主题相关上市公司，在合理控制风险的前提下，充分发挥专业研究与管理能力，力争为投资者提供长期稳健的投资回报。</w:t>
      </w:r>
    </w:p>
    <w:p w14:paraId="00C4FEB2">
      <w:pPr>
        <w:adjustRightInd w:val="0"/>
        <w:snapToGrid w:val="0"/>
        <w:spacing w:line="360" w:lineRule="auto"/>
        <w:ind w:firstLine="482"/>
        <w:outlineLvl w:val="1"/>
        <w:rPr>
          <w:b/>
          <w:bCs/>
          <w:sz w:val="24"/>
        </w:rPr>
      </w:pPr>
      <w:r>
        <w:rPr>
          <w:rFonts w:hint="eastAsia"/>
          <w:b/>
          <w:bCs/>
          <w:sz w:val="24"/>
        </w:rPr>
        <w:t>（二）投资范围</w:t>
      </w:r>
    </w:p>
    <w:p w14:paraId="6E48888D">
      <w:pPr>
        <w:adjustRightInd w:val="0"/>
        <w:snapToGrid w:val="0"/>
        <w:spacing w:line="360" w:lineRule="auto"/>
        <w:ind w:firstLine="482"/>
        <w:rPr>
          <w:rFonts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w:t>
      </w:r>
      <w:r>
        <w:rPr>
          <w:rFonts w:hint="eastAsia"/>
          <w:bCs/>
          <w:sz w:val="24"/>
        </w:rPr>
        <w:t>或注册</w:t>
      </w:r>
      <w:r>
        <w:rPr>
          <w:rFonts w:hint="eastAsia" w:ascii="宋体" w:hAnsi="宋体"/>
          <w:bCs/>
          <w:sz w:val="24"/>
          <w:szCs w:val="24"/>
        </w:rPr>
        <w:t>上市的股票、存托凭证）、</w:t>
      </w:r>
      <w:r>
        <w:rPr>
          <w:rFonts w:hint="eastAsia"/>
          <w:bCs/>
          <w:sz w:val="24"/>
        </w:rPr>
        <w:t>港股通标的股票、</w:t>
      </w:r>
      <w:r>
        <w:rPr>
          <w:rFonts w:hint="eastAsia" w:ascii="宋体" w:hAnsi="宋体"/>
          <w:bCs/>
          <w:sz w:val="24"/>
          <w:szCs w:val="24"/>
        </w:rPr>
        <w:t>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4A77C2D0">
      <w:pPr>
        <w:adjustRightInd w:val="0"/>
        <w:snapToGrid w:val="0"/>
        <w:spacing w:line="360" w:lineRule="auto"/>
        <w:ind w:firstLine="482"/>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14:paraId="5DA9C9A3">
      <w:pPr>
        <w:adjustRightInd w:val="0"/>
        <w:snapToGrid w:val="0"/>
        <w:spacing w:line="360" w:lineRule="auto"/>
        <w:ind w:firstLine="482"/>
        <w:rPr>
          <w:rFonts w:ascii="宋体" w:hAnsi="宋体"/>
          <w:bCs/>
          <w:sz w:val="24"/>
          <w:szCs w:val="24"/>
        </w:rPr>
      </w:pPr>
      <w:r>
        <w:rPr>
          <w:rFonts w:hint="eastAsia" w:ascii="宋体" w:hAnsi="宋体"/>
          <w:bCs/>
          <w:sz w:val="24"/>
          <w:szCs w:val="24"/>
        </w:rPr>
        <w:t>基金的投资组合比例为：</w:t>
      </w:r>
      <w:r>
        <w:rPr>
          <w:rFonts w:hint="eastAsia"/>
          <w:bCs/>
          <w:sz w:val="24"/>
        </w:rPr>
        <w:t>股票投资（含存托凭证）占基金资产的比例为60%-95%（其中投资于港股通标的股票的比例占股票资产的0%-50%），投资于消费主题相关股票（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30C829E5">
      <w:pPr>
        <w:adjustRightInd w:val="0"/>
        <w:snapToGrid w:val="0"/>
        <w:spacing w:line="360" w:lineRule="auto"/>
        <w:ind w:firstLine="482"/>
        <w:rPr>
          <w:bCs/>
          <w:sz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14:paraId="49304CE1">
      <w:pPr>
        <w:adjustRightInd w:val="0"/>
        <w:snapToGrid w:val="0"/>
        <w:spacing w:line="360" w:lineRule="auto"/>
        <w:ind w:firstLine="482" w:firstLineChars="200"/>
        <w:outlineLvl w:val="1"/>
        <w:rPr>
          <w:rFonts w:hAnsi="宋体"/>
          <w:kern w:val="0"/>
          <w:sz w:val="24"/>
          <w:szCs w:val="24"/>
        </w:rPr>
      </w:pPr>
      <w:r>
        <w:rPr>
          <w:rFonts w:hint="eastAsia"/>
          <w:b/>
          <w:bCs/>
          <w:sz w:val="24"/>
        </w:rPr>
        <w:t>（三）投资策略</w:t>
      </w:r>
    </w:p>
    <w:p w14:paraId="2919BFC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w:t>
      </w:r>
      <w:r>
        <w:rPr>
          <w:rFonts w:hint="eastAsia"/>
          <w:bCs/>
          <w:sz w:val="24"/>
        </w:rPr>
        <w:t>个股和</w:t>
      </w:r>
      <w:r>
        <w:rPr>
          <w:rFonts w:hint="eastAsia" w:ascii="宋体" w:hAnsi="宋体"/>
          <w:bCs/>
          <w:sz w:val="24"/>
          <w:szCs w:val="24"/>
        </w:rPr>
        <w:t>个券；在保持总体风险水平相对稳定的基础上，力争获取投资组合的较高回报。</w:t>
      </w:r>
    </w:p>
    <w:p w14:paraId="1F3FDA0E">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1、大类资产配置</w:t>
      </w:r>
    </w:p>
    <w:p w14:paraId="164C009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本基金利用经交银施罗德研究团队修正后的投资时钟分析框架，通过“自上而下”的定性分析和定量分析相结合形成对不同资产市场表现的预测和判断，确定基金资产在</w:t>
      </w:r>
      <w:r>
        <w:rPr>
          <w:rFonts w:hint="eastAsia"/>
          <w:bCs/>
          <w:sz w:val="24"/>
        </w:rPr>
        <w:t>沪深A股、港股通标的股票</w:t>
      </w:r>
      <w:r>
        <w:rPr>
          <w:rFonts w:hint="eastAsia" w:ascii="宋体" w:hAnsi="宋体"/>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14:paraId="319BC3DA">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2、股票投资策略</w:t>
      </w:r>
    </w:p>
    <w:p w14:paraId="79655F9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61463B8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（1）消费主题的界定</w:t>
      </w:r>
    </w:p>
    <w:p w14:paraId="02EC566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本基金所界定的消费主题，聚焦于在经济发展、社会文化变迁、技术变革的背景下，随着消费人群的变化，消费方式和场景的创新，消费内容的迭代所带来的消费机遇。</w:t>
      </w:r>
    </w:p>
    <w:p w14:paraId="00CB5B2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所指消费主题相关行业，既包含满足居民日常生活基本需求的行业，如食品饮料、农林牧渔、商贸零售、家用电器、纺织服饰、轻工制造、交通运输、医药生物等，也包含满足新时代居民更高层次物质或精神需求的行业，如美容护理、社会服务、传媒、汽车等。</w:t>
      </w:r>
    </w:p>
    <w:p w14:paraId="1C70E00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结合经济发展、人口结构、社会生活习惯、产业结构、科技发展及国家相关政策等多重因素，综合研判各行业、企业未来能否成为消费行业发展的增长动力，动态调整消费主题相关行业的覆盖范围。对于部分传统行业，若其能借助新技术、新产品、新模式适配人们多元化的消费需求，也将被纳入本基金的消费主题行业范畴。在履行适当程序后，本基金将根据实际情况对主题的界定范围进行调整，并在招募说明书中更新并公告。</w:t>
      </w:r>
    </w:p>
    <w:p w14:paraId="5E031CE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（2）个股投资策略</w:t>
      </w:r>
    </w:p>
    <w:p w14:paraId="2935CAF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1）品质筛选</w:t>
      </w:r>
    </w:p>
    <w:p w14:paraId="52A578B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筛选出在公司治理、财务及管理品质上符合基本品质要求的公司，构建备选股票池。主要筛选指标包括：</w:t>
      </w:r>
    </w:p>
    <w:p w14:paraId="1F3B3A63">
      <w:pPr>
        <w:numPr>
          <w:ilvl w:val="0"/>
          <w:numId w:val="1"/>
        </w:numPr>
        <w:adjustRightInd w:val="0"/>
        <w:snapToGrid w:val="0"/>
        <w:spacing w:line="360" w:lineRule="auto"/>
        <w:rPr>
          <w:rFonts w:ascii="宋体" w:hAnsi="宋体"/>
          <w:bCs/>
          <w:sz w:val="24"/>
          <w:szCs w:val="24"/>
        </w:rPr>
      </w:pPr>
      <w:r>
        <w:rPr>
          <w:rFonts w:hint="eastAsia" w:ascii="宋体" w:hAnsi="宋体"/>
          <w:bCs/>
          <w:sz w:val="24"/>
          <w:szCs w:val="24"/>
        </w:rPr>
        <w:t>盈利能力指标：如营业利润率（OPM）、每股收益（EPS）、每股现金流（CFPS）、每股自由现金流（FCFPS）与每股息税前利润（EBITPS）等；</w:t>
      </w:r>
    </w:p>
    <w:p w14:paraId="5E6F3011">
      <w:pPr>
        <w:numPr>
          <w:ilvl w:val="0"/>
          <w:numId w:val="1"/>
        </w:numPr>
        <w:adjustRightInd w:val="0"/>
        <w:snapToGrid w:val="0"/>
        <w:spacing w:line="360" w:lineRule="auto"/>
        <w:rPr>
          <w:rFonts w:ascii="宋体" w:hAnsi="宋体"/>
          <w:bCs/>
          <w:sz w:val="24"/>
          <w:szCs w:val="24"/>
        </w:rPr>
      </w:pPr>
      <w:r>
        <w:rPr>
          <w:rFonts w:hint="eastAsia" w:ascii="宋体" w:hAnsi="宋体"/>
          <w:bCs/>
          <w:sz w:val="24"/>
          <w:szCs w:val="24"/>
        </w:rPr>
        <w:t>经营效率指标：如净资产收益率（ROE）、资产收益率（ROA）、经营资产收益率（ROOA）与资产周转率（ATR）等；</w:t>
      </w:r>
    </w:p>
    <w:p w14:paraId="64E73E4F">
      <w:pPr>
        <w:numPr>
          <w:ilvl w:val="0"/>
          <w:numId w:val="1"/>
        </w:numPr>
        <w:adjustRightInd w:val="0"/>
        <w:snapToGrid w:val="0"/>
        <w:spacing w:line="360" w:lineRule="auto"/>
        <w:rPr>
          <w:rFonts w:ascii="宋体" w:hAnsi="宋体"/>
          <w:bCs/>
          <w:sz w:val="24"/>
          <w:szCs w:val="24"/>
        </w:rPr>
      </w:pPr>
      <w:r>
        <w:rPr>
          <w:rFonts w:hint="eastAsia" w:ascii="宋体" w:hAnsi="宋体"/>
          <w:bCs/>
          <w:sz w:val="24"/>
          <w:szCs w:val="24"/>
        </w:rPr>
        <w:t>财务状况指标：如资产负债率（D/A）、流动比率（CR）等；</w:t>
      </w:r>
    </w:p>
    <w:p w14:paraId="44BC7CC8">
      <w:pPr>
        <w:numPr>
          <w:ilvl w:val="0"/>
          <w:numId w:val="1"/>
        </w:numPr>
        <w:adjustRightInd w:val="0"/>
        <w:snapToGrid w:val="0"/>
        <w:spacing w:line="360" w:lineRule="auto"/>
        <w:rPr>
          <w:rFonts w:ascii="宋体" w:hAnsi="宋体"/>
          <w:bCs/>
          <w:sz w:val="24"/>
          <w:szCs w:val="24"/>
        </w:rPr>
      </w:pPr>
      <w:r>
        <w:rPr>
          <w:rFonts w:hint="eastAsia" w:ascii="宋体" w:hAnsi="宋体"/>
          <w:bCs/>
          <w:sz w:val="24"/>
          <w:szCs w:val="24"/>
        </w:rPr>
        <w:t>研发投入指标：如研发投入与营业收入比率、科研人员数量及占比、专利数量及在同行业的占比等。</w:t>
      </w:r>
    </w:p>
    <w:p w14:paraId="2E9CF57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2）价值评估</w:t>
      </w:r>
    </w:p>
    <w:p w14:paraId="771ECC9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7799E7E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（3）港股通标的股票投资策略</w:t>
      </w:r>
    </w:p>
    <w:p w14:paraId="54FFE2C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本基金可通过内地与香港股票市场交易互联互通机制投资于香港股票市场。本基金优先将基本面健康、业绩向上弹性较大、具有估值优势且符合本基金消费主题界定的港股通标的股票纳入本基金的股票投资组合。</w:t>
      </w:r>
    </w:p>
    <w:p w14:paraId="09CD2B7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1AA676C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（4）存托凭证的投资策略</w:t>
      </w:r>
    </w:p>
    <w:p w14:paraId="0F427BA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本基金投资存托凭证的策略依照境内上市交易的股票投资策略执行。</w:t>
      </w:r>
    </w:p>
    <w:p w14:paraId="40164226">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3、债券投资策略</w:t>
      </w:r>
    </w:p>
    <w:p w14:paraId="178F7B2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14:paraId="33DE724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w:t>
      </w:r>
      <w:r>
        <w:rPr>
          <w:rFonts w:hint="eastAsia"/>
          <w:bCs/>
          <w:sz w:val="24"/>
        </w:rPr>
        <w:t>类属配置策略、</w:t>
      </w:r>
      <w:r>
        <w:rPr>
          <w:rFonts w:hint="eastAsia" w:ascii="宋体" w:hAnsi="宋体"/>
          <w:bCs/>
          <w:sz w:val="24"/>
          <w:szCs w:val="24"/>
        </w:rPr>
        <w:t>期限结构配置策略、</w:t>
      </w:r>
      <w:r>
        <w:rPr>
          <w:rFonts w:hint="eastAsia"/>
          <w:bCs/>
          <w:sz w:val="24"/>
        </w:rPr>
        <w:t>回购策略、信用债券投资策略、可转换债券投资策略</w:t>
      </w:r>
      <w:r>
        <w:rPr>
          <w:rFonts w:hint="eastAsia" w:ascii="宋体" w:hAnsi="宋体"/>
          <w:bCs/>
          <w:sz w:val="24"/>
          <w:szCs w:val="24"/>
        </w:rPr>
        <w:t>等多种策略，以期获取债券市场的长期稳定收益。</w:t>
      </w:r>
    </w:p>
    <w:p w14:paraId="6C50B36E">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4、资产支持证券投资策略</w:t>
      </w:r>
    </w:p>
    <w:p w14:paraId="3C36356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60FA4B5">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5</w:t>
      </w:r>
      <w:r>
        <w:rPr>
          <w:rFonts w:hint="eastAsia" w:ascii="宋体" w:hAnsi="宋体"/>
          <w:bCs/>
          <w:sz w:val="24"/>
          <w:szCs w:val="24"/>
        </w:rPr>
        <w:t>、股指期货投资策略</w:t>
      </w:r>
    </w:p>
    <w:p w14:paraId="24824B4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2C1EE2F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18A14077">
      <w:pPr>
        <w:adjustRightInd w:val="0"/>
        <w:snapToGrid w:val="0"/>
        <w:spacing w:line="360" w:lineRule="auto"/>
        <w:ind w:firstLine="482" w:firstLineChars="200"/>
        <w:outlineLvl w:val="1"/>
        <w:rPr>
          <w:rFonts w:hAnsi="宋体"/>
          <w:kern w:val="0"/>
          <w:sz w:val="24"/>
        </w:rPr>
      </w:pPr>
      <w:r>
        <w:rPr>
          <w:rFonts w:hint="eastAsia"/>
          <w:b/>
          <w:bCs/>
          <w:sz w:val="24"/>
        </w:rPr>
        <w:t>（四）投资限制</w:t>
      </w:r>
    </w:p>
    <w:p w14:paraId="7CD7A505">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1、组合限制</w:t>
      </w:r>
    </w:p>
    <w:p w14:paraId="3D994B77">
      <w:pPr>
        <w:adjustRightInd w:val="0"/>
        <w:snapToGrid w:val="0"/>
        <w:spacing w:line="360" w:lineRule="auto"/>
        <w:ind w:firstLine="480" w:firstLineChars="200"/>
        <w:rPr>
          <w:rFonts w:ascii="宋体" w:hAnsi="宋体"/>
          <w:bCs/>
          <w:sz w:val="24"/>
          <w:szCs w:val="24"/>
        </w:rPr>
      </w:pPr>
      <w:r>
        <w:rPr>
          <w:rFonts w:ascii="宋体" w:hAnsi="宋体"/>
          <w:bCs/>
          <w:sz w:val="24"/>
          <w:szCs w:val="24"/>
        </w:rPr>
        <w:t>基金的投资组合应遵循以下限制：</w:t>
      </w:r>
    </w:p>
    <w:p w14:paraId="6CE9F64C">
      <w:pPr>
        <w:adjustRightInd w:val="0"/>
        <w:snapToGrid w:val="0"/>
        <w:spacing w:line="360" w:lineRule="auto"/>
        <w:ind w:firstLine="480" w:firstLineChars="200"/>
        <w:rPr>
          <w:bCs/>
          <w:sz w:val="24"/>
        </w:rPr>
      </w:pPr>
      <w:r>
        <w:rPr>
          <w:rFonts w:hint="eastAsia"/>
          <w:bCs/>
          <w:sz w:val="24"/>
        </w:rPr>
        <w:t>（1）股票投资（含存托凭证）占基金资产的比例为60%-95%（其中投资于港股通标的股票的比例占股票资产的0%-50%），投资于消费主题相关股票（含存托凭证）的比例不低于非现金基金资产的80%；</w:t>
      </w:r>
    </w:p>
    <w:p w14:paraId="68DB75B9">
      <w:pPr>
        <w:adjustRightInd w:val="0"/>
        <w:snapToGrid w:val="0"/>
        <w:spacing w:line="360" w:lineRule="auto"/>
        <w:ind w:firstLine="480" w:firstLineChars="200"/>
        <w:rPr>
          <w:bCs/>
          <w:sz w:val="24"/>
        </w:rPr>
      </w:pPr>
      <w:r>
        <w:rPr>
          <w:rFonts w:hint="eastAsia"/>
          <w:bCs/>
          <w:sz w:val="24"/>
        </w:rPr>
        <w:t>（2）每个交易日日终在扣除股指期货合约需缴纳的交易保证金后，本基金持有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的比例合计不低于基金资产净值的5%，</w:t>
      </w:r>
      <w:r>
        <w:rPr>
          <w:bCs/>
          <w:sz w:val="24"/>
        </w:rPr>
        <w:t>其中现金不包括结算备付金、存出保证金</w:t>
      </w:r>
      <w:r>
        <w:rPr>
          <w:rFonts w:hint="eastAsia"/>
          <w:bCs/>
          <w:sz w:val="24"/>
        </w:rPr>
        <w:t>、</w:t>
      </w:r>
      <w:r>
        <w:rPr>
          <w:bCs/>
          <w:sz w:val="24"/>
        </w:rPr>
        <w:t>应收申购款等</w:t>
      </w:r>
      <w:r>
        <w:rPr>
          <w:rFonts w:hint="eastAsia"/>
          <w:bCs/>
          <w:sz w:val="24"/>
        </w:rPr>
        <w:t>；</w:t>
      </w:r>
    </w:p>
    <w:p w14:paraId="4F913DCD">
      <w:pPr>
        <w:adjustRightInd w:val="0"/>
        <w:snapToGrid w:val="0"/>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14:paraId="0641CD6E">
      <w:pPr>
        <w:adjustRightInd w:val="0"/>
        <w:snapToGrid w:val="0"/>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0D9122C8">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615D55BF">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14:paraId="63B4EC4F">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5F9ECB68">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0475D135">
      <w:pPr>
        <w:adjustRightInd w:val="0"/>
        <w:snapToGrid w:val="0"/>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4839AB74">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14:paraId="7DAD5A32">
      <w:pPr>
        <w:adjustRightInd w:val="0"/>
        <w:snapToGrid w:val="0"/>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DC67C14">
      <w:pPr>
        <w:adjustRightInd w:val="0"/>
        <w:snapToGrid w:val="0"/>
        <w:spacing w:line="360" w:lineRule="auto"/>
        <w:ind w:firstLine="480" w:firstLineChars="200"/>
        <w:rPr>
          <w:bCs/>
          <w:sz w:val="24"/>
        </w:rPr>
      </w:pPr>
      <w:r>
        <w:rPr>
          <w:rFonts w:hint="eastAsia"/>
          <w:bCs/>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41C1ABA">
      <w:pPr>
        <w:adjustRightInd w:val="0"/>
        <w:snapToGrid w:val="0"/>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（13）本基金与私募类证券资管产品及中国证监会认定的其他主体为交易对手开展逆回购交易的，可接受质押品的资质要求应当与基金合同约定的投资范围保持一致；</w:t>
      </w:r>
    </w:p>
    <w:p w14:paraId="6B296DA8">
      <w:pPr>
        <w:adjustRightInd w:val="0"/>
        <w:snapToGrid w:val="0"/>
        <w:spacing w:line="360" w:lineRule="auto"/>
        <w:ind w:firstLine="480" w:firstLineChars="200"/>
        <w:rPr>
          <w:bCs/>
          <w:sz w:val="24"/>
        </w:rPr>
      </w:pPr>
      <w:r>
        <w:rPr>
          <w:rFonts w:hint="eastAsia"/>
          <w:bCs/>
          <w:sz w:val="24"/>
        </w:rPr>
        <w:t>（14）若本基金参与股指期货交易，则：</w:t>
      </w:r>
    </w:p>
    <w:p w14:paraId="7BD5DB80">
      <w:pPr>
        <w:adjustRightInd w:val="0"/>
        <w:snapToGrid w:val="0"/>
        <w:spacing w:line="360" w:lineRule="auto"/>
        <w:ind w:firstLine="480" w:firstLineChars="200"/>
        <w:rPr>
          <w:bCs/>
          <w:sz w:val="24"/>
        </w:rPr>
      </w:pPr>
      <w:r>
        <w:rPr>
          <w:rFonts w:hint="eastAsia"/>
          <w:bCs/>
          <w:sz w:val="24"/>
        </w:rPr>
        <w:t>1）本基金在任何交易日日终，持有的买入股指期货合约价值，不得超过基金资产净值的10%；</w:t>
      </w:r>
    </w:p>
    <w:p w14:paraId="3C4A656D">
      <w:pPr>
        <w:adjustRightInd w:val="0"/>
        <w:snapToGrid w:val="0"/>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2E9A0C3">
      <w:pPr>
        <w:adjustRightInd w:val="0"/>
        <w:snapToGrid w:val="0"/>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14:paraId="34909CEF">
      <w:pPr>
        <w:adjustRightInd w:val="0"/>
        <w:snapToGrid w:val="0"/>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14:paraId="6E5738A1">
      <w:pPr>
        <w:adjustRightInd w:val="0"/>
        <w:snapToGrid w:val="0"/>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14:paraId="5B517E37">
      <w:pPr>
        <w:adjustRightInd w:val="0"/>
        <w:snapToGrid w:val="0"/>
        <w:spacing w:line="360" w:lineRule="auto"/>
        <w:ind w:firstLine="480" w:firstLineChars="200"/>
        <w:rPr>
          <w:bCs/>
          <w:sz w:val="24"/>
        </w:rPr>
      </w:pPr>
      <w:r>
        <w:rPr>
          <w:rFonts w:hint="eastAsia"/>
          <w:bCs/>
          <w:sz w:val="24"/>
        </w:rPr>
        <w:t>（15）本基金资产总值不超过基金资产净值的140%；</w:t>
      </w:r>
    </w:p>
    <w:p w14:paraId="5CBB850B">
      <w:pPr>
        <w:adjustRightInd w:val="0"/>
        <w:snapToGrid w:val="0"/>
        <w:spacing w:line="360" w:lineRule="auto"/>
        <w:ind w:firstLine="480" w:firstLineChars="200"/>
        <w:rPr>
          <w:bCs/>
          <w:sz w:val="24"/>
        </w:rPr>
      </w:pPr>
      <w:r>
        <w:rPr>
          <w:rFonts w:hint="eastAsia"/>
          <w:bCs/>
          <w:sz w:val="24"/>
        </w:rPr>
        <w:t>（16）本基金投资存托凭证的比例限制依照境内上市交易的股票执行；</w:t>
      </w:r>
    </w:p>
    <w:p w14:paraId="634C2B1F">
      <w:pPr>
        <w:adjustRightInd w:val="0"/>
        <w:snapToGrid w:val="0"/>
        <w:spacing w:line="360" w:lineRule="auto"/>
        <w:ind w:firstLine="480" w:firstLineChars="200"/>
        <w:rPr>
          <w:bCs/>
          <w:sz w:val="24"/>
        </w:rPr>
      </w:pPr>
      <w:r>
        <w:rPr>
          <w:rFonts w:hint="eastAsia"/>
          <w:bCs/>
          <w:sz w:val="24"/>
        </w:rPr>
        <w:t>（17）法律法规及中国证监会规定的和《基金合同》约定的其他投资限制。</w:t>
      </w:r>
    </w:p>
    <w:p w14:paraId="5E603C8A">
      <w:pPr>
        <w:adjustRightInd w:val="0"/>
        <w:snapToGrid w:val="0"/>
        <w:spacing w:line="360" w:lineRule="auto"/>
        <w:ind w:firstLine="480" w:firstLineChars="200"/>
        <w:rPr>
          <w:bCs/>
          <w:sz w:val="24"/>
        </w:rPr>
      </w:pPr>
      <w:r>
        <w:rPr>
          <w:rFonts w:hint="eastAsia"/>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D5FE042">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CC40E44">
      <w:pPr>
        <w:snapToGrid w:val="0"/>
        <w:spacing w:line="360" w:lineRule="auto"/>
        <w:ind w:firstLine="480" w:firstLineChars="200"/>
        <w:rPr>
          <w:bCs/>
          <w:sz w:val="24"/>
        </w:rPr>
      </w:pPr>
      <w:r>
        <w:rPr>
          <w:rFonts w:hint="eastAsia"/>
          <w:bCs/>
          <w:sz w:val="24"/>
        </w:rPr>
        <w:t>法律法规或监管部门取消或者变更上述限制，如适用于本基金，基金管理人在履行适当程序后，则本基金投资不再受相关限制或以变更后的规定为准。</w:t>
      </w:r>
    </w:p>
    <w:p w14:paraId="64F0F507">
      <w:pPr>
        <w:snapToGrid w:val="0"/>
        <w:spacing w:line="360" w:lineRule="auto"/>
        <w:ind w:firstLine="480" w:firstLineChars="200"/>
        <w:outlineLvl w:val="2"/>
        <w:rPr>
          <w:rFonts w:ascii="宋体" w:hAnsi="宋体"/>
          <w:sz w:val="24"/>
          <w:szCs w:val="24"/>
        </w:rPr>
      </w:pPr>
      <w:r>
        <w:rPr>
          <w:rFonts w:hint="eastAsia" w:ascii="宋体" w:hAnsi="宋体"/>
          <w:sz w:val="24"/>
          <w:szCs w:val="24"/>
        </w:rPr>
        <w:t>2、禁止行为</w:t>
      </w:r>
    </w:p>
    <w:p w14:paraId="14B0B7EB">
      <w:pPr>
        <w:snapToGrid w:val="0"/>
        <w:spacing w:line="360" w:lineRule="auto"/>
        <w:ind w:firstLine="480" w:firstLineChars="200"/>
        <w:rPr>
          <w:rFonts w:ascii="宋体" w:hAnsi="宋体"/>
          <w:sz w:val="24"/>
          <w:szCs w:val="24"/>
        </w:rPr>
      </w:pPr>
      <w:r>
        <w:rPr>
          <w:rFonts w:hint="eastAsia" w:ascii="宋体" w:hAnsi="宋体"/>
          <w:sz w:val="24"/>
          <w:szCs w:val="24"/>
        </w:rPr>
        <w:t>为维护基金份额持有人的合法权益，基金财产不得用于下列投资或者活动：</w:t>
      </w:r>
    </w:p>
    <w:p w14:paraId="3D6173C5">
      <w:pPr>
        <w:snapToGrid w:val="0"/>
        <w:spacing w:line="360" w:lineRule="auto"/>
        <w:ind w:firstLine="480" w:firstLineChars="200"/>
        <w:rPr>
          <w:rFonts w:ascii="宋体" w:hAnsi="宋体"/>
          <w:sz w:val="24"/>
          <w:szCs w:val="24"/>
        </w:rPr>
      </w:pPr>
      <w:r>
        <w:rPr>
          <w:rFonts w:hint="eastAsia" w:ascii="宋体" w:hAnsi="宋体"/>
          <w:sz w:val="24"/>
          <w:szCs w:val="24"/>
        </w:rPr>
        <w:t>（1）承销证券；</w:t>
      </w:r>
    </w:p>
    <w:p w14:paraId="70A0CF9F">
      <w:pPr>
        <w:snapToGrid w:val="0"/>
        <w:spacing w:line="360" w:lineRule="auto"/>
        <w:ind w:firstLine="480" w:firstLineChars="200"/>
        <w:rPr>
          <w:rFonts w:ascii="宋体" w:hAnsi="宋体"/>
          <w:sz w:val="24"/>
          <w:szCs w:val="24"/>
        </w:rPr>
      </w:pPr>
      <w:r>
        <w:rPr>
          <w:rFonts w:hint="eastAsia" w:ascii="宋体" w:hAnsi="宋体"/>
          <w:sz w:val="24"/>
          <w:szCs w:val="24"/>
        </w:rPr>
        <w:t>（2）违反规定向他人贷款或者提供担保；</w:t>
      </w:r>
    </w:p>
    <w:p w14:paraId="7A9BAE74">
      <w:pPr>
        <w:snapToGrid w:val="0"/>
        <w:spacing w:line="360" w:lineRule="auto"/>
        <w:ind w:firstLine="480" w:firstLineChars="200"/>
        <w:rPr>
          <w:rFonts w:ascii="宋体" w:hAnsi="宋体"/>
          <w:sz w:val="24"/>
          <w:szCs w:val="24"/>
        </w:rPr>
      </w:pPr>
      <w:r>
        <w:rPr>
          <w:rFonts w:hint="eastAsia" w:ascii="宋体" w:hAnsi="宋体"/>
          <w:sz w:val="24"/>
          <w:szCs w:val="24"/>
        </w:rPr>
        <w:t>（3）从事承担无限责任的投资；</w:t>
      </w:r>
    </w:p>
    <w:p w14:paraId="4AF85640">
      <w:pPr>
        <w:snapToGrid w:val="0"/>
        <w:spacing w:line="360" w:lineRule="auto"/>
        <w:ind w:firstLine="480" w:firstLineChars="200"/>
        <w:rPr>
          <w:rFonts w:ascii="宋体" w:hAnsi="宋体"/>
          <w:sz w:val="24"/>
          <w:szCs w:val="24"/>
        </w:rPr>
      </w:pPr>
      <w:r>
        <w:rPr>
          <w:rFonts w:hint="eastAsia" w:ascii="宋体" w:hAnsi="宋体"/>
          <w:sz w:val="24"/>
          <w:szCs w:val="24"/>
        </w:rPr>
        <w:t>（4）买卖其他基金份额，但是中国证监会另有规定的除外；</w:t>
      </w:r>
    </w:p>
    <w:p w14:paraId="0E870016">
      <w:pPr>
        <w:snapToGrid w:val="0"/>
        <w:spacing w:line="360" w:lineRule="auto"/>
        <w:ind w:firstLine="480" w:firstLineChars="200"/>
        <w:rPr>
          <w:rFonts w:ascii="宋体" w:hAnsi="宋体"/>
          <w:sz w:val="24"/>
          <w:szCs w:val="24"/>
        </w:rPr>
      </w:pPr>
      <w:r>
        <w:rPr>
          <w:rFonts w:hint="eastAsia" w:ascii="宋体" w:hAnsi="宋体"/>
          <w:sz w:val="24"/>
          <w:szCs w:val="24"/>
        </w:rPr>
        <w:t>（5）向其基金管理人、基金托管人出资；</w:t>
      </w:r>
    </w:p>
    <w:p w14:paraId="4381D924">
      <w:pPr>
        <w:snapToGrid w:val="0"/>
        <w:spacing w:line="360" w:lineRule="auto"/>
        <w:ind w:firstLine="480" w:firstLineChars="200"/>
        <w:rPr>
          <w:rFonts w:ascii="宋体" w:hAnsi="宋体"/>
          <w:sz w:val="24"/>
          <w:szCs w:val="24"/>
        </w:rPr>
      </w:pPr>
      <w:r>
        <w:rPr>
          <w:rFonts w:hint="eastAsia" w:ascii="宋体" w:hAnsi="宋体"/>
          <w:sz w:val="24"/>
          <w:szCs w:val="24"/>
        </w:rPr>
        <w:t>（6）从事内幕交易、操纵证券交易价格及其他不正当的证券交易活动；</w:t>
      </w:r>
    </w:p>
    <w:p w14:paraId="6BF8EA67">
      <w:pPr>
        <w:snapToGrid w:val="0"/>
        <w:spacing w:line="360" w:lineRule="auto"/>
        <w:ind w:firstLine="480" w:firstLineChars="200"/>
        <w:rPr>
          <w:rFonts w:ascii="宋体" w:hAnsi="宋体"/>
          <w:sz w:val="24"/>
          <w:szCs w:val="24"/>
        </w:rPr>
      </w:pPr>
      <w:r>
        <w:rPr>
          <w:rFonts w:hint="eastAsia" w:ascii="宋体" w:hAnsi="宋体"/>
          <w:sz w:val="24"/>
          <w:szCs w:val="24"/>
        </w:rPr>
        <w:t>（7）法律、行政法规和中国证监会规定禁止的其他活动。</w:t>
      </w:r>
    </w:p>
    <w:p w14:paraId="7B5E2CC7">
      <w:pPr>
        <w:snapToGrid w:val="0"/>
        <w:spacing w:line="360" w:lineRule="auto"/>
        <w:ind w:firstLine="480" w:firstLineChars="20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3CE5549">
      <w:pPr>
        <w:snapToGrid w:val="0"/>
        <w:spacing w:line="360" w:lineRule="auto"/>
        <w:ind w:firstLine="480" w:firstLineChars="20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14:paraId="1BECA383">
      <w:pPr>
        <w:adjustRightInd w:val="0"/>
        <w:snapToGrid w:val="0"/>
        <w:spacing w:line="360" w:lineRule="auto"/>
        <w:ind w:firstLine="482" w:firstLineChars="200"/>
        <w:outlineLvl w:val="1"/>
        <w:rPr>
          <w:rFonts w:hAnsi="宋体"/>
          <w:kern w:val="0"/>
          <w:sz w:val="24"/>
        </w:rPr>
      </w:pPr>
      <w:r>
        <w:rPr>
          <w:rFonts w:hint="eastAsia"/>
          <w:b/>
          <w:bCs/>
          <w:sz w:val="24"/>
        </w:rPr>
        <w:t>（五）业绩比较基准</w:t>
      </w:r>
    </w:p>
    <w:p w14:paraId="2AB8B09C">
      <w:pPr>
        <w:adjustRightInd w:val="0"/>
        <w:snapToGrid w:val="0"/>
        <w:spacing w:line="360" w:lineRule="auto"/>
        <w:ind w:firstLine="480" w:firstLineChars="200"/>
        <w:rPr>
          <w:bCs/>
          <w:sz w:val="24"/>
        </w:rPr>
      </w:pPr>
      <w:r>
        <w:rPr>
          <w:rFonts w:hint="eastAsia"/>
          <w:bCs/>
          <w:sz w:val="24"/>
        </w:rPr>
        <w:t>本基金业绩比较基准：中证内地消费主题指数收益率×60%+中证港股通消费主题指数（人民币）收益率×20%+中债-综合全价（总值）指数收益率×20%。</w:t>
      </w:r>
    </w:p>
    <w:p w14:paraId="77C4555A">
      <w:pPr>
        <w:adjustRightInd w:val="0"/>
        <w:snapToGrid w:val="0"/>
        <w:spacing w:line="360" w:lineRule="auto"/>
        <w:ind w:firstLine="480" w:firstLineChars="200"/>
        <w:rPr>
          <w:bCs/>
          <w:sz w:val="24"/>
        </w:rPr>
      </w:pPr>
      <w:r>
        <w:rPr>
          <w:rFonts w:hint="eastAsia"/>
          <w:bCs/>
          <w:sz w:val="24"/>
        </w:rPr>
        <w:t>1、业绩比较基准设定的原因</w:t>
      </w:r>
    </w:p>
    <w:p w14:paraId="4433A29A">
      <w:pPr>
        <w:adjustRightInd w:val="0"/>
        <w:snapToGrid w:val="0"/>
        <w:spacing w:line="360" w:lineRule="auto"/>
        <w:ind w:firstLine="480" w:firstLineChars="200"/>
        <w:rPr>
          <w:bCs/>
          <w:sz w:val="24"/>
        </w:rPr>
      </w:pPr>
      <w:r>
        <w:rPr>
          <w:rFonts w:hint="eastAsia"/>
          <w:bCs/>
          <w:sz w:val="24"/>
        </w:rPr>
        <w:t>（1）基于基金投资范围以及预期投资的主要资产类别，本基金主要投资于A股股票、港股通股票、债券等资产，相应选取与之匹配的A股指数、港股通指数与债券指数作为基准要素；同时基于基金投资股票资产（含存托凭证）占基金资产的比例为60%-95%（其中港股通股票不超过股票资产的50%）、投资于消费主题相关股票（含存托凭证）的资产不低于非现金基金资产的 80%等投资比例限制，以及预期的资产配置比例，本基金将股票资产与债券资产所对应的基准要素权重分别设置为80%与20%，其中将股票资产中的A股股票与港股通股票所对应的基准要素权重分别设置为60%与20%。</w:t>
      </w:r>
    </w:p>
    <w:p w14:paraId="530129C4">
      <w:pPr>
        <w:adjustRightInd w:val="0"/>
        <w:snapToGrid w:val="0"/>
        <w:spacing w:line="360" w:lineRule="auto"/>
        <w:ind w:firstLine="480" w:firstLineChars="200"/>
        <w:rPr>
          <w:bCs/>
          <w:sz w:val="24"/>
        </w:rPr>
      </w:pPr>
      <w:r>
        <w:rPr>
          <w:rFonts w:hint="eastAsia"/>
          <w:bCs/>
          <w:sz w:val="24"/>
        </w:rPr>
        <w:t>（2）基于基金投资目标、投资范围和投资策略，本基金的股票资产主要投向消费主题相关公司，并在消费主题相关领域中精选在公司治理、财务及管理品质上符合基本品质要求、估值具有吸引力的优质公司，从而力争在控制风险的基础上追求超越业绩比较基准的投资回报。综合考虑基准指数与产品定位、投资风格与主题库的匹配度，同时兼顾考虑基准指数的表征性、认可度，以及指数主题界定、市值覆盖、行业与个股分布等，本基金选取中证内地消费主题指数和中证港股通消费主题指数（人民币）分别作为A股和港股通股票部分的基准要素，具体情况如下：</w:t>
      </w:r>
    </w:p>
    <w:p w14:paraId="5F4774B1">
      <w:pPr>
        <w:adjustRightInd w:val="0"/>
        <w:snapToGrid w:val="0"/>
        <w:spacing w:line="360" w:lineRule="auto"/>
        <w:ind w:firstLine="480" w:firstLineChars="200"/>
        <w:rPr>
          <w:bCs/>
          <w:sz w:val="24"/>
        </w:rPr>
      </w:pPr>
      <w:r>
        <w:rPr>
          <w:rFonts w:hint="eastAsia"/>
          <w:bCs/>
          <w:sz w:val="24"/>
        </w:rPr>
        <w:t>中证内地消费主题指数从中证800指数样本中选取消费行业中市值排名前50的证券作为指数样本，以反映A股范围内消费主题类上市公司证券的整体表现，适合作为本基金A股股票部分的业绩比较基准要素。</w:t>
      </w:r>
    </w:p>
    <w:p w14:paraId="2C413DF3">
      <w:pPr>
        <w:adjustRightInd w:val="0"/>
        <w:snapToGrid w:val="0"/>
        <w:spacing w:line="360" w:lineRule="auto"/>
        <w:ind w:firstLine="480" w:firstLineChars="200"/>
        <w:rPr>
          <w:bCs/>
          <w:sz w:val="24"/>
        </w:rPr>
      </w:pPr>
      <w:r>
        <w:rPr>
          <w:rFonts w:hint="eastAsia"/>
          <w:bCs/>
          <w:sz w:val="24"/>
        </w:rPr>
        <w:t>中证港股通消费主题指数（人民币）从港股通范围内选取流动性较好、市值较大的50只消费主题相关证券作为指数样本，以反映港股通内消费主题类上市公司证券的整体表现，适合作为本基金港股通股票部分的业绩比较基准要素。</w:t>
      </w:r>
    </w:p>
    <w:p w14:paraId="3B69B5CD">
      <w:pPr>
        <w:adjustRightInd w:val="0"/>
        <w:snapToGrid w:val="0"/>
        <w:spacing w:line="360" w:lineRule="auto"/>
        <w:ind w:firstLine="480" w:firstLineChars="200"/>
        <w:rPr>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49D2FBE1">
      <w:pPr>
        <w:adjustRightInd w:val="0"/>
        <w:snapToGrid w:val="0"/>
        <w:spacing w:line="360" w:lineRule="auto"/>
        <w:ind w:firstLine="480" w:firstLineChars="200"/>
        <w:rPr>
          <w:bCs/>
          <w:sz w:val="24"/>
        </w:rPr>
      </w:pPr>
      <w:r>
        <w:rPr>
          <w:rFonts w:hint="eastAsia"/>
          <w:bCs/>
          <w:sz w:val="24"/>
        </w:rPr>
        <w:t>中债-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14:paraId="0774F8CF">
      <w:pPr>
        <w:adjustRightInd w:val="0"/>
        <w:snapToGrid w:val="0"/>
        <w:spacing w:line="360" w:lineRule="auto"/>
        <w:ind w:firstLine="480" w:firstLineChars="200"/>
        <w:rPr>
          <w:bCs/>
          <w:sz w:val="24"/>
        </w:rPr>
      </w:pPr>
      <w:r>
        <w:rPr>
          <w:rFonts w:hint="eastAsia"/>
          <w:bCs/>
          <w:sz w:val="24"/>
        </w:rPr>
        <w:t>综上，本基金选取的业绩比较基准与基金投资目标、投资范围、投资策略、投资比例限制相匹配。</w:t>
      </w:r>
    </w:p>
    <w:p w14:paraId="1F653017">
      <w:pPr>
        <w:adjustRightInd w:val="0"/>
        <w:snapToGrid w:val="0"/>
        <w:spacing w:line="360" w:lineRule="auto"/>
        <w:ind w:firstLine="480" w:firstLineChars="200"/>
        <w:rPr>
          <w:bCs/>
          <w:sz w:val="24"/>
        </w:rPr>
      </w:pPr>
      <w:r>
        <w:rPr>
          <w:rFonts w:hint="eastAsia"/>
          <w:bCs/>
          <w:sz w:val="24"/>
        </w:rPr>
        <w:t>2、业绩比较基准要素的基本信息</w:t>
      </w:r>
    </w:p>
    <w:p w14:paraId="6A2C977A">
      <w:pPr>
        <w:adjustRightInd w:val="0"/>
        <w:snapToGrid w:val="0"/>
        <w:spacing w:line="360" w:lineRule="auto"/>
        <w:ind w:firstLine="480" w:firstLineChars="200"/>
        <w:rPr>
          <w:bCs/>
          <w:sz w:val="24"/>
        </w:rPr>
      </w:pPr>
      <w:r>
        <w:rPr>
          <w:rFonts w:hint="eastAsia"/>
          <w:bCs/>
          <w:sz w:val="24"/>
        </w:rPr>
        <w:t>中证内地消费主题指数由中证指数有限公司编制发布，指数代码为000942，指数具体信息详见中证指数有限公司网站，网址：www.csindex.com.cn。</w:t>
      </w:r>
    </w:p>
    <w:p w14:paraId="3634EA15">
      <w:pPr>
        <w:adjustRightInd w:val="0"/>
        <w:snapToGrid w:val="0"/>
        <w:spacing w:line="360" w:lineRule="auto"/>
        <w:ind w:firstLine="480" w:firstLineChars="200"/>
        <w:rPr>
          <w:bCs/>
          <w:sz w:val="24"/>
        </w:rPr>
      </w:pPr>
      <w:r>
        <w:rPr>
          <w:rFonts w:hint="eastAsia"/>
          <w:bCs/>
          <w:sz w:val="24"/>
        </w:rPr>
        <w:t>中证港股通消费主题指数（人民币）由中证指数有限公司编制发布，指数代码为931455，指数具体信息详见中证指数有限公司网站，网址：www.csindex.com.cn。</w:t>
      </w:r>
    </w:p>
    <w:p w14:paraId="00ED9928">
      <w:pPr>
        <w:adjustRightInd w:val="0"/>
        <w:snapToGrid w:val="0"/>
        <w:spacing w:line="360" w:lineRule="auto"/>
        <w:ind w:firstLine="480" w:firstLineChars="200"/>
        <w:rPr>
          <w:bCs/>
          <w:sz w:val="24"/>
        </w:rPr>
      </w:pPr>
      <w:r>
        <w:rPr>
          <w:rFonts w:hint="eastAsia"/>
          <w:bCs/>
          <w:sz w:val="24"/>
        </w:rPr>
        <w:t>中债-综合全价（总值）指数由中债金融估值中心有限公司编制发布，指数代码为CBA00203，指数具体信息详见中国债券信息网，网址：www.chinabond.com.cn。</w:t>
      </w:r>
    </w:p>
    <w:p w14:paraId="0A86C89C">
      <w:pPr>
        <w:adjustRightInd w:val="0"/>
        <w:snapToGrid w:val="0"/>
        <w:spacing w:line="360" w:lineRule="auto"/>
        <w:ind w:firstLine="480" w:firstLineChars="200"/>
        <w:rPr>
          <w:bCs/>
          <w:sz w:val="24"/>
        </w:rPr>
      </w:pPr>
      <w:r>
        <w:rPr>
          <w:rFonts w:hint="eastAsia"/>
          <w:bCs/>
          <w:sz w:val="24"/>
        </w:rPr>
        <w:t>3、业绩比较基准的计算方法</w:t>
      </w:r>
    </w:p>
    <w:p w14:paraId="3CBDBFB9">
      <w:pPr>
        <w:adjustRightInd w:val="0"/>
        <w:snapToGrid w:val="0"/>
        <w:spacing w:line="360" w:lineRule="auto"/>
        <w:ind w:firstLine="480" w:firstLineChars="200"/>
        <w:rPr>
          <w:bCs/>
          <w:sz w:val="24"/>
        </w:rPr>
      </w:pPr>
      <w:r>
        <w:rPr>
          <w:rFonts w:hint="eastAsia"/>
          <w:bCs/>
          <w:sz w:val="24"/>
        </w:rPr>
        <w:t>本基金业绩比较基准收益率的计算方法以每日收益率为基础，以时间加权为计算原则。本基金先分别计算业绩比较基准中中证内地消费主题指数、中证港股通消费主题指数（人民币）、中债-综合全价（总值）指数的每日收益率，再按照预设权重比例计算当日组合要素基准的日收益率，并连乘每日收益率。</w:t>
      </w:r>
    </w:p>
    <w:p w14:paraId="790B0587">
      <w:pPr>
        <w:adjustRightInd w:val="0"/>
        <w:snapToGrid w:val="0"/>
        <w:spacing w:line="360" w:lineRule="auto"/>
        <w:ind w:firstLine="480" w:firstLineChars="200"/>
        <w:rPr>
          <w:bCs/>
          <w:sz w:val="24"/>
        </w:rPr>
      </w:pPr>
      <w:r>
        <w:rPr>
          <w:rFonts w:hint="eastAsia"/>
          <w:bCs/>
          <w:sz w:val="24"/>
        </w:rPr>
        <w:t>4、管理投资偏离业绩比较基准的定性或定量方法</w:t>
      </w:r>
    </w:p>
    <w:p w14:paraId="7E5C4F62">
      <w:pPr>
        <w:adjustRightInd w:val="0"/>
        <w:snapToGrid w:val="0"/>
        <w:spacing w:line="360" w:lineRule="auto"/>
        <w:ind w:firstLine="480" w:firstLineChars="200"/>
        <w:rPr>
          <w:bCs/>
          <w:sz w:val="24"/>
        </w:rPr>
      </w:pPr>
      <w:r>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保持主要配置消费主题的上市公司，从而力争在控制风险的基础上追求超越业绩比较基准的投资回报。</w:t>
      </w:r>
    </w:p>
    <w:p w14:paraId="4A7D9F6E">
      <w:pPr>
        <w:adjustRightInd w:val="0"/>
        <w:snapToGrid w:val="0"/>
        <w:spacing w:line="360" w:lineRule="auto"/>
        <w:ind w:firstLine="480" w:firstLineChars="200"/>
        <w:rPr>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DDE2972">
      <w:pPr>
        <w:adjustRightInd w:val="0"/>
        <w:snapToGrid w:val="0"/>
        <w:spacing w:line="360" w:lineRule="auto"/>
        <w:ind w:firstLine="480" w:firstLineChars="200"/>
        <w:rPr>
          <w:bCs/>
          <w:sz w:val="24"/>
        </w:rPr>
      </w:pPr>
      <w:r>
        <w:rPr>
          <w:rFonts w:hint="eastAsia"/>
          <w:bCs/>
          <w:sz w:val="24"/>
        </w:rPr>
        <w:t>5、未来可能变更业绩比较基准的情况和程序</w:t>
      </w:r>
    </w:p>
    <w:p w14:paraId="2DF8D11F">
      <w:pPr>
        <w:adjustRightInd w:val="0"/>
        <w:snapToGrid w:val="0"/>
        <w:spacing w:line="360" w:lineRule="auto"/>
        <w:ind w:firstLine="480" w:firstLineChars="20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64C1574D">
      <w:pPr>
        <w:adjustRightInd w:val="0"/>
        <w:snapToGrid w:val="0"/>
        <w:spacing w:line="360" w:lineRule="auto"/>
        <w:ind w:firstLine="480" w:firstLineChars="200"/>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14C2599">
      <w:pPr>
        <w:adjustRightInd w:val="0"/>
        <w:snapToGrid w:val="0"/>
        <w:spacing w:line="360" w:lineRule="auto"/>
        <w:ind w:firstLine="480" w:firstLineChars="200"/>
        <w:rPr>
          <w:bCs/>
          <w:sz w:val="24"/>
        </w:rPr>
      </w:pPr>
      <w:r>
        <w:rPr>
          <w:rFonts w:hint="eastAsia"/>
          <w:bCs/>
          <w:sz w:val="24"/>
        </w:rPr>
        <w:t>（2）调整业绩比较基准的要素权重、更换相同或相近特征的要素等，使新业绩比较基准代表性更强，且符合相关法律法规规定的；</w:t>
      </w:r>
    </w:p>
    <w:p w14:paraId="675424FA">
      <w:pPr>
        <w:adjustRightInd w:val="0"/>
        <w:snapToGrid w:val="0"/>
        <w:spacing w:line="360" w:lineRule="auto"/>
        <w:ind w:firstLine="480" w:firstLineChars="200"/>
        <w:rPr>
          <w:bCs/>
          <w:sz w:val="24"/>
        </w:rPr>
      </w:pPr>
      <w:r>
        <w:rPr>
          <w:rFonts w:hint="eastAsia"/>
          <w:bCs/>
          <w:sz w:val="24"/>
        </w:rPr>
        <w:t>（3）中国证监会认可的其他情形。</w:t>
      </w:r>
    </w:p>
    <w:p w14:paraId="141E3BF5">
      <w:pPr>
        <w:adjustRightInd w:val="0"/>
        <w:snapToGrid w:val="0"/>
        <w:spacing w:line="360" w:lineRule="auto"/>
        <w:ind w:firstLine="480" w:firstLineChars="20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6819D9DD">
      <w:pPr>
        <w:adjustRightInd w:val="0"/>
        <w:snapToGrid w:val="0"/>
        <w:spacing w:line="360" w:lineRule="auto"/>
        <w:ind w:firstLine="480" w:firstLineChars="200"/>
        <w:rPr>
          <w:bCs/>
          <w:sz w:val="24"/>
        </w:rPr>
      </w:pPr>
      <w:r>
        <w:rPr>
          <w:rFonts w:hint="eastAsia"/>
          <w:bCs/>
          <w:sz w:val="24"/>
        </w:rPr>
        <w:t>（1）基金投资目标、投资范围、投资策略、投资比例等拟进行重大调整，并变更业绩比较基准的；</w:t>
      </w:r>
    </w:p>
    <w:p w14:paraId="43E614A6">
      <w:pPr>
        <w:adjustRightInd w:val="0"/>
        <w:snapToGrid w:val="0"/>
        <w:spacing w:line="360" w:lineRule="auto"/>
        <w:ind w:firstLine="480" w:firstLineChars="200"/>
        <w:outlineLvl w:val="1"/>
        <w:rPr>
          <w:b/>
          <w:bCs/>
          <w:sz w:val="24"/>
        </w:rPr>
      </w:pPr>
      <w:r>
        <w:rPr>
          <w:rFonts w:hint="eastAsia"/>
          <w:bCs/>
          <w:sz w:val="24"/>
        </w:rPr>
        <w:t>（2）其他对基金份额持有人利益产生重大实质性影响的情形。</w:t>
      </w:r>
    </w:p>
    <w:p w14:paraId="2CA066FC">
      <w:pPr>
        <w:adjustRightInd w:val="0"/>
        <w:snapToGrid w:val="0"/>
        <w:spacing w:line="360" w:lineRule="auto"/>
        <w:ind w:firstLine="482" w:firstLineChars="200"/>
        <w:outlineLvl w:val="1"/>
        <w:rPr>
          <w:rFonts w:hAnsi="宋体"/>
          <w:kern w:val="0"/>
          <w:sz w:val="24"/>
        </w:rPr>
      </w:pPr>
      <w:r>
        <w:rPr>
          <w:rFonts w:hint="eastAsia"/>
          <w:b/>
          <w:bCs/>
          <w:sz w:val="24"/>
        </w:rPr>
        <w:t>（六）风险收益特征</w:t>
      </w:r>
    </w:p>
    <w:p w14:paraId="1CFC3DE9">
      <w:pPr>
        <w:adjustRightInd w:val="0"/>
        <w:snapToGrid w:val="0"/>
        <w:spacing w:line="360" w:lineRule="auto"/>
        <w:ind w:firstLine="480" w:firstLineChars="200"/>
        <w:rPr>
          <w:rFonts w:ascii="宋体" w:hAnsi="宋体"/>
          <w:sz w:val="24"/>
        </w:rPr>
      </w:pPr>
      <w:r>
        <w:rPr>
          <w:rFonts w:hint="eastAsia" w:ascii="宋体" w:hAnsi="宋体"/>
          <w:sz w:val="24"/>
        </w:rPr>
        <w:t>本基金是一只混合型基金，其预期风险和预期收益理论上高于债券型基金和货币市场基金，低于股票型基金。</w:t>
      </w:r>
    </w:p>
    <w:p w14:paraId="5A057E8B">
      <w:pPr>
        <w:adjustRightInd w:val="0"/>
        <w:snapToGrid w:val="0"/>
        <w:spacing w:line="360" w:lineRule="auto"/>
        <w:ind w:firstLine="480" w:firstLineChars="200"/>
        <w:rPr>
          <w:rFonts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14:paraId="03C1A2F6">
      <w:pPr>
        <w:adjustRightInd w:val="0"/>
        <w:snapToGrid w:val="0"/>
        <w:spacing w:line="360" w:lineRule="auto"/>
        <w:ind w:firstLine="482" w:firstLineChars="200"/>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14:paraId="5AD98BEA">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1、基金管理人按照国家有关规定代表基金独立行使股东或债权人权利，保护基金份额持有人的利益；</w:t>
      </w:r>
    </w:p>
    <w:p w14:paraId="054CBC45">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14:paraId="013F21F7">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14:paraId="7FB2A3E7">
      <w:pPr>
        <w:adjustRightInd w:val="0"/>
        <w:snapToGrid w:val="0"/>
        <w:spacing w:line="360" w:lineRule="auto"/>
        <w:ind w:firstLine="480" w:firstLineChars="200"/>
        <w:rPr>
          <w:rFonts w:ascii="宋体" w:hAnsi="宋体"/>
          <w:sz w:val="24"/>
        </w:rPr>
      </w:pPr>
      <w:r>
        <w:rPr>
          <w:rFonts w:hint="eastAsia" w:ascii="宋体" w:hAnsi="宋体"/>
          <w:sz w:val="24"/>
        </w:rPr>
        <w:t>4、不通过关联交易为自身、雇员、授权代理人或任何存在利害关系的第三人牟取任何不当利益。</w:t>
      </w:r>
    </w:p>
    <w:bookmarkEnd w:id="46"/>
    <w:bookmarkEnd w:id="47"/>
    <w:bookmarkEnd w:id="48"/>
    <w:p w14:paraId="2B729BC0">
      <w:pPr>
        <w:adjustRightInd w:val="0"/>
        <w:snapToGrid w:val="0"/>
        <w:spacing w:line="360" w:lineRule="auto"/>
        <w:ind w:firstLine="482" w:firstLineChars="200"/>
        <w:outlineLvl w:val="1"/>
        <w:rPr>
          <w:rFonts w:hAnsi="宋体"/>
          <w:b/>
          <w:sz w:val="24"/>
          <w:szCs w:val="24"/>
        </w:rPr>
      </w:pPr>
      <w:bookmarkStart w:id="51" w:name="_Toc109059037"/>
      <w:bookmarkEnd w:id="51"/>
      <w:bookmarkStart w:id="52" w:name="_Hlt5604240"/>
      <w:bookmarkEnd w:id="52"/>
      <w:bookmarkStart w:id="53" w:name="_Hlt81033424"/>
      <w:bookmarkEnd w:id="53"/>
      <w:bookmarkStart w:id="54" w:name="_Toc109059036"/>
      <w:bookmarkEnd w:id="54"/>
      <w:bookmarkStart w:id="55" w:name="_Toc109059025"/>
      <w:bookmarkEnd w:id="55"/>
      <w:bookmarkStart w:id="56" w:name="_Hlt88281392"/>
      <w:bookmarkEnd w:id="56"/>
      <w:bookmarkStart w:id="57" w:name="_Hlt81033092"/>
      <w:bookmarkEnd w:id="57"/>
      <w:bookmarkStart w:id="58" w:name="_Hlt5528681"/>
      <w:bookmarkEnd w:id="58"/>
      <w:bookmarkStart w:id="59" w:name="_Toc155690783"/>
      <w:bookmarkStart w:id="60" w:name="_Toc154909614"/>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14:paraId="0AF5199D">
      <w:pPr>
        <w:adjustRightInd w:val="0"/>
        <w:snapToGrid w:val="0"/>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8B37248">
      <w:pPr>
        <w:adjustRightInd w:val="0"/>
        <w:snapToGrid w:val="0"/>
        <w:spacing w:line="360" w:lineRule="auto"/>
        <w:ind w:firstLine="480" w:firstLineChars="200"/>
        <w:rPr>
          <w:rFonts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14:paraId="71F15C38">
      <w:pPr>
        <w:adjustRightInd w:val="0"/>
        <w:snapToGrid w:val="0"/>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0"/>
    <w:p w14:paraId="217602DD">
      <w:pPr>
        <w:widowControl/>
        <w:adjustRightInd w:val="0"/>
        <w:snapToGrid w:val="0"/>
        <w:spacing w:before="143" w:beforeLines="50" w:after="143" w:afterLines="50" w:line="360" w:lineRule="auto"/>
        <w:jc w:val="center"/>
        <w:outlineLvl w:val="0"/>
        <w:rPr>
          <w:rFonts w:ascii="宋体" w:hAnsi="宋体"/>
          <w:b/>
          <w:kern w:val="0"/>
          <w:sz w:val="30"/>
        </w:rPr>
      </w:pPr>
      <w:bookmarkStart w:id="61" w:name="_Toc78208364"/>
      <w:r>
        <w:rPr>
          <w:rFonts w:hAnsi="宋体"/>
          <w:sz w:val="24"/>
          <w:szCs w:val="24"/>
        </w:rPr>
        <w:br w:type="page"/>
      </w:r>
      <w:bookmarkStart w:id="62" w:name="_Toc48122011"/>
      <w:r>
        <w:rPr>
          <w:rFonts w:hint="eastAsia" w:ascii="宋体" w:hAnsi="宋体"/>
          <w:b/>
          <w:kern w:val="0"/>
          <w:sz w:val="30"/>
        </w:rPr>
        <w:t>十、基金的财产</w:t>
      </w:r>
      <w:bookmarkEnd w:id="62"/>
    </w:p>
    <w:p w14:paraId="6EEF9C36">
      <w:pPr>
        <w:adjustRightInd w:val="0"/>
        <w:snapToGrid w:val="0"/>
        <w:spacing w:line="360" w:lineRule="auto"/>
        <w:ind w:firstLine="482"/>
        <w:outlineLvl w:val="1"/>
        <w:rPr>
          <w:b/>
          <w:bCs/>
          <w:sz w:val="24"/>
        </w:rPr>
      </w:pPr>
      <w:bookmarkStart w:id="63" w:name="_Hlk49343903"/>
      <w:r>
        <w:rPr>
          <w:b/>
          <w:bCs/>
          <w:sz w:val="24"/>
        </w:rPr>
        <w:t>（一）基金资产总值</w:t>
      </w:r>
    </w:p>
    <w:p w14:paraId="2EBCF9F6">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基金资产总值是指基金拥有的各类有价证券、股指期货合约、银行存款本息、基金应收款</w:t>
      </w:r>
      <w:r>
        <w:rPr>
          <w:rFonts w:hint="eastAsia"/>
          <w:bCs/>
          <w:sz w:val="24"/>
        </w:rPr>
        <w:t>项</w:t>
      </w:r>
      <w:r>
        <w:rPr>
          <w:rFonts w:hint="eastAsia" w:hAnsi="宋体"/>
          <w:sz w:val="24"/>
          <w:szCs w:val="21"/>
        </w:rPr>
        <w:t>及其他资产的价值总和。</w:t>
      </w:r>
      <w:bookmarkEnd w:id="61"/>
      <w:bookmarkStart w:id="64" w:name="_Toc311810245"/>
    </w:p>
    <w:p w14:paraId="744700E5">
      <w:pPr>
        <w:adjustRightInd w:val="0"/>
        <w:snapToGrid w:val="0"/>
        <w:spacing w:line="360" w:lineRule="auto"/>
        <w:ind w:firstLine="482"/>
        <w:outlineLvl w:val="1"/>
        <w:rPr>
          <w:b/>
          <w:bCs/>
          <w:sz w:val="24"/>
        </w:rPr>
      </w:pPr>
      <w:r>
        <w:rPr>
          <w:b/>
          <w:bCs/>
          <w:sz w:val="24"/>
        </w:rPr>
        <w:t>（二）基金资</w:t>
      </w:r>
      <w:bookmarkEnd w:id="64"/>
      <w:r>
        <w:rPr>
          <w:b/>
          <w:bCs/>
          <w:sz w:val="24"/>
        </w:rPr>
        <w:t>产</w:t>
      </w:r>
      <w:bookmarkEnd w:id="59"/>
      <w:bookmarkEnd w:id="60"/>
      <w:r>
        <w:rPr>
          <w:b/>
          <w:bCs/>
          <w:sz w:val="24"/>
        </w:rPr>
        <w:t>净</w:t>
      </w:r>
      <w:bookmarkStart w:id="65" w:name="_Toc109537391"/>
      <w:r>
        <w:rPr>
          <w:b/>
          <w:bCs/>
          <w:sz w:val="24"/>
        </w:rPr>
        <w:t>值</w:t>
      </w:r>
    </w:p>
    <w:p w14:paraId="1DEDB19F">
      <w:pPr>
        <w:widowControl/>
        <w:adjustRightInd w:val="0"/>
        <w:snapToGrid w:val="0"/>
        <w:spacing w:line="360" w:lineRule="auto"/>
        <w:ind w:firstLine="480" w:firstLineChars="200"/>
        <w:rPr>
          <w:rFonts w:hAnsi="宋体"/>
          <w:sz w:val="24"/>
          <w:szCs w:val="21"/>
        </w:rPr>
      </w:pPr>
      <w:r>
        <w:rPr>
          <w:rFonts w:hAnsi="宋体"/>
          <w:sz w:val="24"/>
          <w:szCs w:val="21"/>
        </w:rPr>
        <w:t>基</w:t>
      </w:r>
      <w:bookmarkEnd w:id="65"/>
      <w:r>
        <w:rPr>
          <w:rFonts w:hAnsi="宋体"/>
          <w:sz w:val="24"/>
          <w:szCs w:val="21"/>
        </w:rPr>
        <w:t>金资产净值是指基金资产总值</w:t>
      </w:r>
      <w:bookmarkStart w:id="66" w:name="_Toc79556449"/>
      <w:bookmarkStart w:id="67" w:name="_Toc79392635"/>
      <w:r>
        <w:rPr>
          <w:rFonts w:hAnsi="宋体"/>
          <w:sz w:val="24"/>
          <w:szCs w:val="21"/>
        </w:rPr>
        <w:t>减去基金负债后的价值。</w:t>
      </w:r>
    </w:p>
    <w:p w14:paraId="0CB58225">
      <w:pPr>
        <w:adjustRightInd w:val="0"/>
        <w:snapToGrid w:val="0"/>
        <w:spacing w:line="360" w:lineRule="auto"/>
        <w:ind w:firstLine="482"/>
        <w:outlineLvl w:val="1"/>
        <w:rPr>
          <w:b/>
          <w:bCs/>
          <w:sz w:val="24"/>
        </w:rPr>
      </w:pPr>
      <w:r>
        <w:rPr>
          <w:b/>
          <w:bCs/>
          <w:sz w:val="24"/>
        </w:rPr>
        <w:t>（三）基金财产的账户</w:t>
      </w:r>
    </w:p>
    <w:p w14:paraId="269AD852">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66"/>
      <w:bookmarkEnd w:id="67"/>
      <w:r>
        <w:rPr>
          <w:bCs/>
          <w:sz w:val="24"/>
        </w:rPr>
        <w:t>金托管人、基金销售机构和基金登记机构自有的财产账户以及其他基金财产账户相独立。</w:t>
      </w:r>
    </w:p>
    <w:p w14:paraId="1C3F98B2">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14:paraId="3EA12348">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6CE16CE">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3"/>
    </w:p>
    <w:p w14:paraId="0CC52577">
      <w:pPr>
        <w:widowControl/>
        <w:adjustRightInd w:val="0"/>
        <w:snapToGrid w:val="0"/>
        <w:spacing w:line="360" w:lineRule="auto"/>
        <w:ind w:firstLine="200"/>
        <w:rPr>
          <w:rFonts w:ascii="宋体" w:hAnsi="宋体"/>
          <w:kern w:val="0"/>
          <w:sz w:val="24"/>
        </w:rPr>
      </w:pPr>
    </w:p>
    <w:p w14:paraId="696B2F50">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68" w:name="_Toc48122012"/>
      <w:r>
        <w:rPr>
          <w:rFonts w:hint="eastAsia" w:ascii="宋体" w:hAnsi="宋体"/>
          <w:b/>
          <w:kern w:val="0"/>
          <w:sz w:val="30"/>
        </w:rPr>
        <w:t>十一、基金资产的估值</w:t>
      </w:r>
      <w:bookmarkEnd w:id="68"/>
    </w:p>
    <w:p w14:paraId="5FBE7A93">
      <w:pPr>
        <w:adjustRightInd w:val="0"/>
        <w:snapToGrid w:val="0"/>
        <w:spacing w:line="360" w:lineRule="auto"/>
        <w:ind w:firstLine="482" w:firstLineChars="200"/>
        <w:outlineLvl w:val="1"/>
        <w:rPr>
          <w:b/>
          <w:sz w:val="24"/>
          <w:szCs w:val="24"/>
        </w:rPr>
      </w:pPr>
      <w:bookmarkStart w:id="69" w:name="_Hlk50017869"/>
      <w:bookmarkStart w:id="70" w:name="_Hlk54606108"/>
      <w:r>
        <w:rPr>
          <w:rFonts w:hAnsi="宋体"/>
          <w:b/>
          <w:sz w:val="24"/>
          <w:szCs w:val="24"/>
        </w:rPr>
        <w:t>（一）估值日</w:t>
      </w:r>
    </w:p>
    <w:p w14:paraId="297805C6">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14:paraId="0FD7D1EF">
      <w:pPr>
        <w:adjustRightInd w:val="0"/>
        <w:snapToGrid w:val="0"/>
        <w:spacing w:line="360" w:lineRule="auto"/>
        <w:ind w:firstLine="482" w:firstLineChars="200"/>
        <w:outlineLvl w:val="1"/>
        <w:rPr>
          <w:b/>
          <w:bCs/>
          <w:sz w:val="24"/>
          <w:szCs w:val="24"/>
        </w:rPr>
      </w:pPr>
      <w:r>
        <w:rPr>
          <w:b/>
          <w:bCs/>
          <w:sz w:val="24"/>
          <w:szCs w:val="24"/>
        </w:rPr>
        <w:t>（二）估值对象</w:t>
      </w:r>
    </w:p>
    <w:p w14:paraId="50F7776A">
      <w:pPr>
        <w:adjustRightInd w:val="0"/>
        <w:snapToGrid w:val="0"/>
        <w:spacing w:line="360" w:lineRule="auto"/>
        <w:ind w:firstLine="480" w:firstLineChars="200"/>
        <w:rPr>
          <w:bCs/>
          <w:sz w:val="24"/>
          <w:szCs w:val="24"/>
        </w:rPr>
      </w:pPr>
      <w:r>
        <w:rPr>
          <w:rFonts w:hint="eastAsia"/>
          <w:bCs/>
          <w:sz w:val="24"/>
          <w:szCs w:val="24"/>
        </w:rPr>
        <w:t>基金所拥有的股票、债券、资产支持证券、股指期货和其他投资等持续以公允价值计量的金融资产及负债。</w:t>
      </w:r>
    </w:p>
    <w:p w14:paraId="0B86A04A">
      <w:pPr>
        <w:adjustRightInd w:val="0"/>
        <w:snapToGrid w:val="0"/>
        <w:spacing w:line="360" w:lineRule="auto"/>
        <w:ind w:firstLine="482" w:firstLineChars="200"/>
        <w:outlineLvl w:val="1"/>
        <w:rPr>
          <w:rFonts w:hAnsi="宋体"/>
          <w:b/>
          <w:sz w:val="24"/>
          <w:szCs w:val="24"/>
        </w:rPr>
      </w:pPr>
      <w:r>
        <w:rPr>
          <w:rFonts w:hAnsi="宋体"/>
          <w:b/>
          <w:sz w:val="24"/>
          <w:szCs w:val="24"/>
        </w:rPr>
        <w:t>（三）估值</w:t>
      </w:r>
      <w:r>
        <w:rPr>
          <w:rFonts w:hint="eastAsia" w:hAnsi="宋体"/>
          <w:b/>
          <w:sz w:val="24"/>
          <w:szCs w:val="24"/>
        </w:rPr>
        <w:t>原则</w:t>
      </w:r>
    </w:p>
    <w:p w14:paraId="67A9FAC2">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6DDF9AD7">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75A737B">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8247E20">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9BB2DC">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14:paraId="6BF4C78D">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14:paraId="64F40D70">
      <w:pPr>
        <w:adjustRightInd w:val="0"/>
        <w:snapToGrid w:val="0"/>
        <w:spacing w:line="360" w:lineRule="auto"/>
        <w:ind w:firstLine="480" w:firstLineChars="200"/>
        <w:rPr>
          <w:sz w:val="24"/>
          <w:szCs w:val="24"/>
        </w:rPr>
      </w:pPr>
      <w:r>
        <w:rPr>
          <w:rFonts w:hint="eastAsia"/>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C7898E5">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14:paraId="2C5CE8A2">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14:paraId="7BCEAD0E">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14:paraId="2F015393">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5B71ECC">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14:paraId="6E4932D4">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14:paraId="04E772F5">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43091D6">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B73F9BA">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14:paraId="4E0F0CF5">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w:t>
      </w:r>
    </w:p>
    <w:p w14:paraId="3471CDC2">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14:paraId="18F7FD91">
      <w:pPr>
        <w:adjustRightInd w:val="0"/>
        <w:snapToGrid w:val="0"/>
        <w:spacing w:line="360" w:lineRule="auto"/>
        <w:ind w:firstLine="480" w:firstLineChars="200"/>
        <w:rPr>
          <w:sz w:val="24"/>
          <w:szCs w:val="24"/>
        </w:rPr>
      </w:pPr>
      <w:r>
        <w:rPr>
          <w:rFonts w:hint="eastAsia"/>
          <w:sz w:val="24"/>
          <w:szCs w:val="24"/>
        </w:rPr>
        <w:t>9、估值计算中涉及港币对人民币汇率的，将依据下列信息提供机构所提供的汇率为基准：当日中国人民银行或其授权机构公布的人民币与港币的中间价。</w:t>
      </w:r>
    </w:p>
    <w:p w14:paraId="39184D59">
      <w:pPr>
        <w:adjustRightInd w:val="0"/>
        <w:snapToGrid w:val="0"/>
        <w:spacing w:line="360" w:lineRule="auto"/>
        <w:ind w:firstLine="480" w:firstLineChars="200"/>
        <w:rPr>
          <w:sz w:val="24"/>
          <w:szCs w:val="24"/>
        </w:rPr>
      </w:pPr>
      <w:r>
        <w:rPr>
          <w:rFonts w:hint="eastAsia"/>
          <w:sz w:val="24"/>
          <w:szCs w:val="24"/>
        </w:rPr>
        <w:t>10、对于因税收规定调整或其他原因导致本基金实际交纳税金与估算的应交税金有差异的，本基金将在相关税金调整日或实际支付日进行相应的会计处理。</w:t>
      </w:r>
    </w:p>
    <w:p w14:paraId="3886CCC6">
      <w:pPr>
        <w:adjustRightInd w:val="0"/>
        <w:snapToGrid w:val="0"/>
        <w:spacing w:line="360" w:lineRule="auto"/>
        <w:ind w:firstLine="480" w:firstLineChars="200"/>
        <w:rPr>
          <w:sz w:val="24"/>
          <w:szCs w:val="24"/>
        </w:rPr>
      </w:pPr>
      <w:r>
        <w:rPr>
          <w:rFonts w:hint="eastAsia"/>
          <w:sz w:val="24"/>
          <w:szCs w:val="24"/>
        </w:rPr>
        <w:t>11、本基金投资存托凭证的估值核算依照境内上市交易的股票执行。</w:t>
      </w:r>
    </w:p>
    <w:p w14:paraId="282A7A64">
      <w:pPr>
        <w:adjustRightInd w:val="0"/>
        <w:snapToGrid w:val="0"/>
        <w:spacing w:line="360" w:lineRule="auto"/>
        <w:ind w:firstLine="480" w:firstLineChars="200"/>
        <w:rPr>
          <w:sz w:val="24"/>
          <w:szCs w:val="24"/>
        </w:rPr>
      </w:pPr>
      <w:r>
        <w:rPr>
          <w:rFonts w:hint="eastAsia"/>
          <w:sz w:val="24"/>
          <w:szCs w:val="24"/>
        </w:rPr>
        <w:t>12、如有确凿证据表明按上述方法进行估值不能客观反映其公允价值的，基金管理人可根据具体情况与基金托管人商定后，按最能反映公允价值的价格估值。</w:t>
      </w:r>
    </w:p>
    <w:p w14:paraId="19A2CFF9">
      <w:pPr>
        <w:adjustRightInd w:val="0"/>
        <w:snapToGrid w:val="0"/>
        <w:spacing w:line="360" w:lineRule="auto"/>
        <w:ind w:firstLine="480" w:firstLineChars="200"/>
        <w:rPr>
          <w:sz w:val="24"/>
          <w:szCs w:val="24"/>
        </w:rPr>
      </w:pPr>
      <w:r>
        <w:rPr>
          <w:rFonts w:hint="eastAsia"/>
          <w:sz w:val="24"/>
          <w:szCs w:val="24"/>
        </w:rPr>
        <w:t>13、当发生大额申购或赎回情形时，基金管理人可以采用摆动定价机制，以确保基金估值的公平性。</w:t>
      </w:r>
    </w:p>
    <w:p w14:paraId="0EB17A0D">
      <w:pPr>
        <w:adjustRightInd w:val="0"/>
        <w:snapToGrid w:val="0"/>
        <w:spacing w:line="360" w:lineRule="auto"/>
        <w:ind w:firstLine="480" w:firstLineChars="200"/>
        <w:rPr>
          <w:sz w:val="24"/>
          <w:szCs w:val="24"/>
        </w:rPr>
      </w:pPr>
      <w:r>
        <w:rPr>
          <w:rFonts w:hint="eastAsia"/>
          <w:sz w:val="24"/>
          <w:szCs w:val="24"/>
        </w:rPr>
        <w:t>14、相关法律法规以及监管部门有强制规定的，从其规定。如有新增事项，按国家最新规定估值。</w:t>
      </w:r>
    </w:p>
    <w:p w14:paraId="7E2A6F9E">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AEF11D0">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bCs/>
          <w:sz w:val="24"/>
        </w:rPr>
        <w:t>净值信息</w:t>
      </w:r>
      <w:r>
        <w:rPr>
          <w:rFonts w:hint="eastAsia"/>
          <w:sz w:val="24"/>
          <w:szCs w:val="24"/>
        </w:rPr>
        <w:t>的计算结果对外予以公布。</w:t>
      </w:r>
    </w:p>
    <w:p w14:paraId="6EB35B2D">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14:paraId="71428916">
      <w:pPr>
        <w:adjustRightInd w:val="0"/>
        <w:snapToGrid w:val="0"/>
        <w:spacing w:line="360" w:lineRule="auto"/>
        <w:ind w:firstLine="480" w:firstLineChars="200"/>
        <w:rPr>
          <w:sz w:val="24"/>
          <w:szCs w:val="24"/>
        </w:rPr>
      </w:pPr>
      <w:r>
        <w:rPr>
          <w:rFonts w:hint="eastAsia"/>
          <w:sz w:val="24"/>
          <w:szCs w:val="24"/>
        </w:rPr>
        <w:t>1、</w:t>
      </w:r>
      <w:r>
        <w:rPr>
          <w:rFonts w:hint="eastAsia"/>
          <w:bCs/>
          <w:sz w:val="24"/>
        </w:rPr>
        <w:t>各类</w:t>
      </w:r>
      <w:r>
        <w:rPr>
          <w:bCs/>
          <w:sz w:val="24"/>
        </w:rPr>
        <w:t>基金份额</w:t>
      </w:r>
      <w:r>
        <w:rPr>
          <w:rFonts w:hint="eastAsia"/>
          <w:bCs/>
          <w:sz w:val="24"/>
        </w:rPr>
        <w:t>的</w:t>
      </w:r>
      <w:r>
        <w:rPr>
          <w:rFonts w:hint="eastAsia"/>
          <w:sz w:val="24"/>
          <w:szCs w:val="24"/>
        </w:rPr>
        <w:t>基金份额净值是按照每个工作日闭市后，</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均精确到0.0001元，小数点后第5位四舍五入，由此产生的误差计入基金财产。基金管理人可以设立大额赎回情形下的净值精度应急调整机制，具体可参见相关公告。国家另有规定的，从其规定。</w:t>
      </w:r>
    </w:p>
    <w:p w14:paraId="7B05719F">
      <w:pPr>
        <w:adjustRightInd w:val="0"/>
        <w:snapToGrid w:val="0"/>
        <w:spacing w:line="360" w:lineRule="auto"/>
        <w:ind w:firstLine="480" w:firstLineChars="200"/>
        <w:rPr>
          <w:sz w:val="24"/>
          <w:szCs w:val="24"/>
        </w:rPr>
      </w:pPr>
      <w:r>
        <w:rPr>
          <w:rFonts w:hint="eastAsia"/>
          <w:sz w:val="24"/>
          <w:szCs w:val="24"/>
        </w:rPr>
        <w:t>基金管理人于每个工作日计算</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基金资产净值及基金份额净值，经基金托管人复核，并按规定公告。如遇特殊情况，经履行适当程序，可以适当延迟计算或公告。</w:t>
      </w:r>
    </w:p>
    <w:p w14:paraId="08A44F63">
      <w:pPr>
        <w:adjustRightInd w:val="0"/>
        <w:snapToGrid w:val="0"/>
        <w:spacing w:line="360" w:lineRule="auto"/>
        <w:ind w:firstLine="480" w:firstLineChars="200"/>
        <w:rPr>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2、基金管理人应每个工作日对基金资产估值，但基金管理人根据法律法规或基金合同的规定暂停估值时除外。基金管理人每个工作日对基金资产估值后，将基金资产净值、</w:t>
      </w:r>
      <w:r>
        <w:rPr>
          <w:rFonts w:hint="eastAsia"/>
          <w:bCs/>
          <w:sz w:val="24"/>
        </w:rPr>
        <w:t>各类</w:t>
      </w:r>
      <w:r>
        <w:rPr>
          <w:rFonts w:hint="eastAsia"/>
          <w:sz w:val="24"/>
          <w:szCs w:val="24"/>
        </w:rPr>
        <w:t>基金份额净值结果发送基金托管人，经基金托管人复核无误后，由基金管理人依据基金合同和相关法律法规的规定对外公布。</w:t>
      </w:r>
    </w:p>
    <w:p w14:paraId="5E4C99B9">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14:paraId="7C2E77AE">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基金管理人和基金托管人将采取必要、适当、合理的措施确保基金资产估值的准确性、及时性。当任一类基金份额净值小数点后4位以内（含第4位）发生估值错误时，视为基金份额净值错误。</w:t>
      </w:r>
    </w:p>
    <w:p w14:paraId="3B1CA2BC">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14:paraId="1C950685">
      <w:pPr>
        <w:adjustRightInd w:val="0"/>
        <w:snapToGrid w:val="0"/>
        <w:spacing w:line="360" w:lineRule="auto"/>
        <w:ind w:firstLine="480" w:firstLineChars="200"/>
        <w:outlineLvl w:val="2"/>
        <w:rPr>
          <w:rFonts w:hAnsi="宋体"/>
          <w:sz w:val="24"/>
          <w:szCs w:val="24"/>
        </w:rPr>
      </w:pPr>
      <w:r>
        <w:rPr>
          <w:rFonts w:hint="eastAsia" w:hAnsi="宋体"/>
          <w:sz w:val="24"/>
          <w:szCs w:val="24"/>
        </w:rPr>
        <w:t>1、估值错误类型</w:t>
      </w:r>
    </w:p>
    <w:p w14:paraId="4C0D302B">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680290B">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14:paraId="512410FC">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14:paraId="6BEC373E">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726C1875">
      <w:pPr>
        <w:adjustRightInd w:val="0"/>
        <w:snapToGrid w:val="0"/>
        <w:spacing w:line="360" w:lineRule="auto"/>
        <w:ind w:firstLine="480" w:firstLineChars="200"/>
        <w:outlineLvl w:val="2"/>
        <w:rPr>
          <w:rFonts w:hAnsi="宋体"/>
          <w:sz w:val="24"/>
          <w:szCs w:val="24"/>
        </w:rPr>
      </w:pPr>
      <w:r>
        <w:rPr>
          <w:rFonts w:hint="eastAsia" w:hAnsi="宋体"/>
          <w:sz w:val="24"/>
          <w:szCs w:val="24"/>
        </w:rPr>
        <w:t>2、估值错误处理原则</w:t>
      </w:r>
    </w:p>
    <w:p w14:paraId="14F3547D">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E1E1FFF">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14:paraId="586B5E6B">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BA6F692">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14:paraId="1FA182A7">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14:paraId="1370DC95">
      <w:pPr>
        <w:adjustRightInd w:val="0"/>
        <w:snapToGrid w:val="0"/>
        <w:spacing w:line="360" w:lineRule="auto"/>
        <w:ind w:firstLine="480" w:firstLineChars="200"/>
        <w:outlineLvl w:val="2"/>
        <w:rPr>
          <w:rFonts w:hAnsi="宋体"/>
          <w:sz w:val="24"/>
          <w:szCs w:val="24"/>
        </w:rPr>
      </w:pPr>
      <w:r>
        <w:rPr>
          <w:rFonts w:hint="eastAsia" w:hAnsi="宋体"/>
          <w:sz w:val="24"/>
          <w:szCs w:val="24"/>
        </w:rPr>
        <w:t>3、估值错误处理程序</w:t>
      </w:r>
    </w:p>
    <w:p w14:paraId="1E0A61F6">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14:paraId="4E1967BB">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14:paraId="7E9871D0">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14:paraId="55876D94">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14:paraId="0BB570AB">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14:paraId="67587D11">
      <w:pPr>
        <w:adjustRightInd w:val="0"/>
        <w:snapToGrid w:val="0"/>
        <w:spacing w:line="360" w:lineRule="auto"/>
        <w:ind w:firstLine="480" w:firstLineChars="200"/>
        <w:outlineLvl w:val="2"/>
        <w:rPr>
          <w:rFonts w:hAnsi="宋体"/>
          <w:sz w:val="24"/>
          <w:szCs w:val="24"/>
        </w:rPr>
      </w:pPr>
      <w:r>
        <w:rPr>
          <w:rFonts w:hint="eastAsia" w:hAnsi="宋体"/>
          <w:sz w:val="24"/>
          <w:szCs w:val="24"/>
        </w:rPr>
        <w:t>4、基金份额净值估值错误处理的方法如下：</w:t>
      </w:r>
    </w:p>
    <w:p w14:paraId="379FB039">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14:paraId="47648A1B">
      <w:pPr>
        <w:adjustRightInd w:val="0"/>
        <w:snapToGrid w:val="0"/>
        <w:spacing w:line="360" w:lineRule="auto"/>
        <w:ind w:firstLine="480" w:firstLineChars="200"/>
        <w:rPr>
          <w:rFonts w:hAnsi="宋体"/>
          <w:sz w:val="24"/>
          <w:szCs w:val="24"/>
        </w:rPr>
      </w:pPr>
      <w:r>
        <w:rPr>
          <w:rFonts w:hint="eastAsia" w:hAnsi="宋体"/>
          <w:sz w:val="24"/>
          <w:szCs w:val="24"/>
        </w:rPr>
        <w:t>（2）错误偏差达到该类基金份额净值的0.25%时，基金管理人应当通报基金托管人并报中国证监会备案；错误偏差达到该类基金份额净值的0.5%时，基金管理人应当公告，并报中国证监会备案。</w:t>
      </w:r>
    </w:p>
    <w:p w14:paraId="678A513D">
      <w:pPr>
        <w:adjustRightInd w:val="0"/>
        <w:snapToGrid w:val="0"/>
        <w:spacing w:line="360" w:lineRule="auto"/>
        <w:ind w:firstLine="480" w:firstLineChars="200"/>
        <w:rPr>
          <w:rFonts w:hAnsi="宋体"/>
          <w:sz w:val="24"/>
          <w:szCs w:val="24"/>
        </w:rPr>
      </w:pPr>
      <w:r>
        <w:rPr>
          <w:rFonts w:hint="eastAsia" w:hAnsi="宋体"/>
          <w:sz w:val="24"/>
          <w:szCs w:val="24"/>
        </w:rPr>
        <w:t>（3）前述内容如法律法规或监管机关另有规定的，从其规定处理。</w:t>
      </w:r>
    </w:p>
    <w:p w14:paraId="4CEE61B2">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14:paraId="0DDA473A">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14:paraId="21C7E180">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14:paraId="217E594A">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14:paraId="00295CB6">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14:paraId="02D73749">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14:paraId="3DF4A2D8">
      <w:pPr>
        <w:adjustRightInd w:val="0"/>
        <w:snapToGrid w:val="0"/>
        <w:spacing w:line="360" w:lineRule="auto"/>
        <w:ind w:firstLine="480" w:firstLineChars="200"/>
        <w:rPr>
          <w:sz w:val="24"/>
          <w:szCs w:val="24"/>
        </w:rPr>
      </w:pPr>
      <w:r>
        <w:rPr>
          <w:rFonts w:hint="eastAsia"/>
          <w:bCs/>
          <w:sz w:val="24"/>
        </w:rPr>
        <w:t>各类基金份额的</w:t>
      </w:r>
      <w:r>
        <w:rPr>
          <w:rFonts w:hint="eastAsia" w:hAnsi="宋体"/>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Pr>
          <w:rFonts w:hint="eastAsia" w:hAnsi="宋体"/>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14:paraId="6A104E72">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14:paraId="174605F7">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、基金管理人或基金托管人按估值方法的第12项进行估值时，所造成的误差不作为基金资产估值错误处理。</w:t>
      </w:r>
    </w:p>
    <w:p w14:paraId="3254DBC0">
      <w:pPr>
        <w:adjustRightInd w:val="0"/>
        <w:snapToGrid w:val="0"/>
        <w:spacing w:line="360" w:lineRule="auto"/>
        <w:ind w:firstLine="480" w:firstLineChars="200"/>
        <w:rPr>
          <w:sz w:val="24"/>
          <w:szCs w:val="24"/>
        </w:rPr>
      </w:pPr>
      <w:r>
        <w:rPr>
          <w:sz w:val="24"/>
          <w:szCs w:val="24"/>
        </w:rPr>
        <w:t>2</w:t>
      </w:r>
      <w:r>
        <w:rPr>
          <w:rFonts w:hint="eastAsia"/>
          <w:sz w:val="24"/>
          <w:szCs w:val="24"/>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0984E57C">
      <w:pPr>
        <w:adjustRightInd w:val="0"/>
        <w:snapToGrid w:val="0"/>
        <w:spacing w:line="360" w:lineRule="auto"/>
        <w:ind w:firstLine="482" w:firstLineChars="200"/>
        <w:outlineLvl w:val="1"/>
        <w:rPr>
          <w:rFonts w:hAnsi="宋体"/>
          <w:b/>
          <w:sz w:val="24"/>
          <w:szCs w:val="24"/>
        </w:rPr>
      </w:pPr>
      <w:r>
        <w:rPr>
          <w:rFonts w:hint="eastAsia" w:hAnsi="宋体"/>
          <w:b/>
          <w:sz w:val="24"/>
          <w:szCs w:val="24"/>
        </w:rPr>
        <w:t>（十）实施侧袋机制期间的基金资产估值</w:t>
      </w:r>
    </w:p>
    <w:p w14:paraId="541CEB43">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69"/>
    </w:p>
    <w:bookmarkEnd w:id="70"/>
    <w:p w14:paraId="5B50B201">
      <w:pPr>
        <w:adjustRightInd w:val="0"/>
        <w:snapToGrid w:val="0"/>
        <w:spacing w:line="360" w:lineRule="auto"/>
        <w:jc w:val="center"/>
        <w:outlineLvl w:val="0"/>
        <w:rPr>
          <w:rFonts w:ascii="宋体" w:hAnsi="宋体"/>
          <w:b/>
          <w:kern w:val="0"/>
          <w:sz w:val="30"/>
        </w:rPr>
      </w:pPr>
      <w:r>
        <w:rPr>
          <w:sz w:val="24"/>
          <w:szCs w:val="24"/>
        </w:rPr>
        <w:br w:type="page"/>
      </w:r>
      <w:bookmarkStart w:id="71" w:name="_Toc48122013"/>
      <w:r>
        <w:rPr>
          <w:rFonts w:hint="eastAsia" w:ascii="宋体" w:hAnsi="宋体"/>
          <w:b/>
          <w:kern w:val="0"/>
          <w:sz w:val="30"/>
        </w:rPr>
        <w:t>十二、基金收益与分配</w:t>
      </w:r>
      <w:bookmarkEnd w:id="71"/>
    </w:p>
    <w:p w14:paraId="2933FF96">
      <w:pPr>
        <w:adjustRightInd w:val="0"/>
        <w:snapToGrid w:val="0"/>
        <w:spacing w:line="360" w:lineRule="auto"/>
        <w:ind w:firstLine="482" w:firstLineChars="200"/>
        <w:outlineLvl w:val="1"/>
        <w:rPr>
          <w:b/>
          <w:sz w:val="24"/>
        </w:rPr>
      </w:pPr>
      <w:bookmarkStart w:id="72" w:name="_Hlk49343954"/>
      <w:r>
        <w:rPr>
          <w:rFonts w:hAnsi="宋体"/>
          <w:b/>
          <w:sz w:val="24"/>
        </w:rPr>
        <w:t>（一）基金利润的构成</w:t>
      </w:r>
    </w:p>
    <w:p w14:paraId="5B7AD149">
      <w:pPr>
        <w:adjustRightInd w:val="0"/>
        <w:snapToGrid w:val="0"/>
        <w:spacing w:line="360" w:lineRule="auto"/>
        <w:ind w:firstLine="480" w:firstLineChars="20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14:paraId="0AD09C3E">
      <w:pPr>
        <w:adjustRightInd w:val="0"/>
        <w:snapToGrid w:val="0"/>
        <w:spacing w:line="360" w:lineRule="auto"/>
        <w:ind w:firstLine="482" w:firstLineChars="200"/>
        <w:outlineLvl w:val="1"/>
        <w:rPr>
          <w:b/>
          <w:sz w:val="24"/>
        </w:rPr>
      </w:pPr>
      <w:r>
        <w:rPr>
          <w:rFonts w:hAnsi="宋体"/>
          <w:b/>
          <w:sz w:val="24"/>
        </w:rPr>
        <w:t>（二）基金可供分配利润</w:t>
      </w:r>
    </w:p>
    <w:p w14:paraId="5B7D6DCB">
      <w:pPr>
        <w:adjustRightInd w:val="0"/>
        <w:snapToGrid w:val="0"/>
        <w:spacing w:line="360" w:lineRule="auto"/>
        <w:ind w:firstLine="480" w:firstLineChars="200"/>
        <w:rPr>
          <w:rFonts w:hAnsi="宋体"/>
          <w:sz w:val="24"/>
        </w:rPr>
      </w:pPr>
      <w:r>
        <w:rPr>
          <w:rFonts w:hAnsi="宋体"/>
          <w:sz w:val="24"/>
        </w:rPr>
        <w:t>基金可供分配利润指截至收益分</w:t>
      </w:r>
      <w:bookmarkStart w:id="73" w:name="_Hlt81129040"/>
      <w:bookmarkEnd w:id="73"/>
      <w:bookmarkStart w:id="74" w:name="_Hlt80435237"/>
      <w:bookmarkEnd w:id="74"/>
      <w:bookmarkStart w:id="75" w:name="_Hlt88900301"/>
      <w:bookmarkEnd w:id="75"/>
      <w:bookmarkStart w:id="76" w:name="_Toc15118286"/>
      <w:bookmarkStart w:id="77" w:name="_Toc109537392"/>
      <w:r>
        <w:rPr>
          <w:rFonts w:hAnsi="宋体"/>
          <w:sz w:val="24"/>
        </w:rPr>
        <w:t>配</w:t>
      </w:r>
      <w:bookmarkEnd w:id="76"/>
      <w:r>
        <w:rPr>
          <w:rFonts w:hAnsi="宋体"/>
          <w:sz w:val="24"/>
        </w:rPr>
        <w:t>基准日基金未分配利润与</w:t>
      </w:r>
      <w:bookmarkEnd w:id="77"/>
      <w:r>
        <w:rPr>
          <w:rFonts w:hAnsi="宋体"/>
          <w:sz w:val="24"/>
        </w:rPr>
        <w:t>未分配利润中已实现收益的孰低数。</w:t>
      </w:r>
    </w:p>
    <w:p w14:paraId="07409BFB">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14:paraId="553C6563">
      <w:pPr>
        <w:adjustRightInd w:val="0"/>
        <w:snapToGrid w:val="0"/>
        <w:spacing w:line="360" w:lineRule="auto"/>
        <w:ind w:firstLine="480" w:firstLineChars="200"/>
        <w:rPr>
          <w:rFonts w:ascii="宋体" w:hAnsi="宋体"/>
          <w:bCs/>
          <w:sz w:val="24"/>
          <w:szCs w:val="24"/>
        </w:rPr>
      </w:pPr>
      <w:bookmarkStart w:id="78" w:name="OLE_LINK73"/>
      <w:bookmarkStart w:id="79" w:name="OLE_LINK72"/>
      <w:r>
        <w:rPr>
          <w:rFonts w:hint="eastAsia" w:ascii="宋体" w:hAnsi="宋体"/>
          <w:bCs/>
          <w:sz w:val="24"/>
          <w:szCs w:val="24"/>
        </w:rPr>
        <w:t>1、由于本基金A类基金份额不收取销售服务费，C类基金份额收取销售服务费，各基金份额类别对应的可供分配利润将有所不同；</w:t>
      </w:r>
    </w:p>
    <w:p w14:paraId="5EC0DA44">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在符合有关基金分红条件的前提下，本基金管理人可以根据实际情况进行收益分配，具体分配方案以公告为准，</w:t>
      </w:r>
      <w:r>
        <w:rPr>
          <w:rFonts w:ascii="宋体" w:hAnsi="宋体"/>
          <w:bCs/>
          <w:sz w:val="24"/>
          <w:szCs w:val="24"/>
        </w:rPr>
        <w:t>若《基金合同》生效不满3个月可不进行收益分配；</w:t>
      </w:r>
    </w:p>
    <w:p w14:paraId="392A959B">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14:paraId="5A1BA71A">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、基金收益分配后</w:t>
      </w:r>
      <w:r>
        <w:rPr>
          <w:rFonts w:hint="eastAsia"/>
          <w:bCs/>
          <w:sz w:val="24"/>
        </w:rPr>
        <w:t>任一类</w:t>
      </w:r>
      <w:r>
        <w:rPr>
          <w:rFonts w:hint="eastAsia" w:ascii="宋体" w:hAnsi="宋体"/>
          <w:bCs/>
          <w:sz w:val="24"/>
          <w:szCs w:val="24"/>
        </w:rPr>
        <w:t>基金份额净值不能低于面值；即基金收益分配基准日的</w:t>
      </w:r>
      <w:r>
        <w:rPr>
          <w:rFonts w:hint="eastAsia"/>
          <w:bCs/>
          <w:sz w:val="24"/>
        </w:rPr>
        <w:t>任一类</w:t>
      </w:r>
      <w:r>
        <w:rPr>
          <w:rFonts w:hint="eastAsia" w:ascii="宋体" w:hAnsi="宋体"/>
          <w:bCs/>
          <w:sz w:val="24"/>
          <w:szCs w:val="24"/>
        </w:rPr>
        <w:t>基金份额净值减去</w:t>
      </w:r>
      <w:r>
        <w:rPr>
          <w:rFonts w:hint="eastAsia"/>
          <w:bCs/>
          <w:sz w:val="24"/>
        </w:rPr>
        <w:t>该类</w:t>
      </w:r>
      <w:r>
        <w:rPr>
          <w:rFonts w:hint="eastAsia" w:ascii="宋体" w:hAnsi="宋体"/>
          <w:bCs/>
          <w:sz w:val="24"/>
          <w:szCs w:val="24"/>
        </w:rPr>
        <w:t>每单位基金份额收益分配金额后不能低于面值；</w:t>
      </w:r>
    </w:p>
    <w:p w14:paraId="2E39053A">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14:paraId="224F4A26">
      <w:pPr>
        <w:adjustRightInd w:val="0"/>
        <w:snapToGrid w:val="0"/>
        <w:spacing w:line="360" w:lineRule="auto"/>
        <w:ind w:firstLine="480" w:firstLineChars="200"/>
        <w:rPr>
          <w:rFonts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bookmarkEnd w:id="78"/>
    <w:bookmarkEnd w:id="79"/>
    <w:p w14:paraId="468221B7">
      <w:pPr>
        <w:snapToGrid w:val="0"/>
        <w:spacing w:line="360" w:lineRule="auto"/>
        <w:ind w:firstLine="482" w:firstLineChars="200"/>
        <w:outlineLvl w:val="1"/>
        <w:rPr>
          <w:b/>
          <w:sz w:val="24"/>
        </w:rPr>
      </w:pPr>
      <w:r>
        <w:rPr>
          <w:rFonts w:hAnsi="宋体"/>
          <w:b/>
          <w:sz w:val="24"/>
        </w:rPr>
        <w:t>（四）收益分配方案</w:t>
      </w:r>
    </w:p>
    <w:p w14:paraId="0DC57AAE">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14:paraId="0413F1F9">
      <w:pPr>
        <w:adjustRightInd w:val="0"/>
        <w:snapToGrid w:val="0"/>
        <w:spacing w:line="360" w:lineRule="auto"/>
        <w:ind w:firstLine="482" w:firstLineChars="200"/>
        <w:outlineLvl w:val="1"/>
        <w:rPr>
          <w:b/>
          <w:sz w:val="24"/>
        </w:rPr>
      </w:pPr>
      <w:r>
        <w:rPr>
          <w:rFonts w:hAnsi="宋体"/>
          <w:b/>
          <w:sz w:val="24"/>
        </w:rPr>
        <w:t>（五）收益分配方案的确定、公告与实施</w:t>
      </w:r>
    </w:p>
    <w:p w14:paraId="0CD10F4D">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14:paraId="36AB7516">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14:paraId="77E7A26B">
      <w:pPr>
        <w:adjustRightInd w:val="0"/>
        <w:snapToGrid w:val="0"/>
        <w:spacing w:line="360" w:lineRule="auto"/>
        <w:ind w:firstLine="482" w:firstLineChars="200"/>
        <w:outlineLvl w:val="1"/>
        <w:rPr>
          <w:b/>
          <w:sz w:val="24"/>
        </w:rPr>
      </w:pPr>
      <w:r>
        <w:rPr>
          <w:b/>
          <w:sz w:val="24"/>
        </w:rPr>
        <w:t>（六）基金收益分配中发生的费用</w:t>
      </w:r>
    </w:p>
    <w:p w14:paraId="79E4472A">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1231E05">
      <w:pPr>
        <w:adjustRightInd w:val="0"/>
        <w:snapToGrid w:val="0"/>
        <w:spacing w:line="360" w:lineRule="auto"/>
        <w:ind w:firstLine="482" w:firstLineChars="200"/>
        <w:outlineLvl w:val="1"/>
        <w:rPr>
          <w:b/>
          <w:sz w:val="24"/>
        </w:rPr>
      </w:pPr>
      <w:r>
        <w:rPr>
          <w:b/>
          <w:sz w:val="24"/>
        </w:rPr>
        <w:t>（七）收益分配方式的修改</w:t>
      </w:r>
    </w:p>
    <w:p w14:paraId="225DFF01">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14:paraId="14A12AAC">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05DA004F">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14:paraId="2EBA3B06">
      <w:pPr>
        <w:adjustRightInd w:val="0"/>
        <w:snapToGrid w:val="0"/>
        <w:spacing w:line="360" w:lineRule="auto"/>
        <w:ind w:firstLine="480" w:firstLineChars="200"/>
        <w:rPr>
          <w:sz w:val="24"/>
        </w:rPr>
      </w:pPr>
      <w:r>
        <w:rPr>
          <w:rFonts w:hint="eastAsia"/>
          <w:sz w:val="24"/>
        </w:rPr>
        <w:t>本基金实施侧袋机制的，侧袋账户不进行收益分配。</w:t>
      </w:r>
      <w:bookmarkEnd w:id="72"/>
    </w:p>
    <w:p w14:paraId="1193D539">
      <w:pPr>
        <w:widowControl/>
        <w:adjustRightInd w:val="0"/>
        <w:snapToGrid w:val="0"/>
        <w:spacing w:line="360" w:lineRule="auto"/>
        <w:ind w:firstLine="200"/>
        <w:rPr>
          <w:rFonts w:ascii="宋体" w:hAnsi="宋体"/>
          <w:kern w:val="0"/>
          <w:sz w:val="24"/>
        </w:rPr>
      </w:pPr>
    </w:p>
    <w:p w14:paraId="5B313EFF">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80" w:name="_Toc48122014"/>
      <w:r>
        <w:rPr>
          <w:rFonts w:hint="eastAsia" w:ascii="宋体" w:hAnsi="宋体"/>
          <w:b/>
          <w:kern w:val="0"/>
          <w:sz w:val="30"/>
        </w:rPr>
        <w:t>十三、基金的费用与税收</w:t>
      </w:r>
      <w:bookmarkEnd w:id="80"/>
    </w:p>
    <w:p w14:paraId="131DA8B2">
      <w:pPr>
        <w:adjustRightInd w:val="0"/>
        <w:snapToGrid w:val="0"/>
        <w:spacing w:line="360" w:lineRule="auto"/>
        <w:ind w:firstLine="482" w:firstLineChars="200"/>
        <w:outlineLvl w:val="1"/>
        <w:rPr>
          <w:i/>
          <w:sz w:val="24"/>
          <w:u w:val="single"/>
        </w:rPr>
      </w:pPr>
      <w:bookmarkStart w:id="81" w:name="_Hlk49343964"/>
      <w:r>
        <w:rPr>
          <w:rFonts w:hAnsi="宋体"/>
          <w:b/>
          <w:sz w:val="24"/>
        </w:rPr>
        <w:t>（一）基金费用的种类</w:t>
      </w:r>
    </w:p>
    <w:p w14:paraId="5AEF6A05">
      <w:pPr>
        <w:adjustRightInd w:val="0"/>
        <w:snapToGrid w:val="0"/>
        <w:spacing w:line="360" w:lineRule="auto"/>
        <w:ind w:firstLine="480" w:firstLineChars="200"/>
        <w:rPr>
          <w:sz w:val="24"/>
        </w:rPr>
      </w:pPr>
      <w:r>
        <w:rPr>
          <w:sz w:val="24"/>
        </w:rPr>
        <w:t>1、基金管理人的管理费；</w:t>
      </w:r>
    </w:p>
    <w:p w14:paraId="3439264E">
      <w:pPr>
        <w:adjustRightInd w:val="0"/>
        <w:snapToGrid w:val="0"/>
        <w:spacing w:line="360" w:lineRule="auto"/>
        <w:ind w:firstLine="480" w:firstLineChars="200"/>
        <w:rPr>
          <w:sz w:val="24"/>
        </w:rPr>
      </w:pPr>
      <w:r>
        <w:rPr>
          <w:rFonts w:hint="eastAsia"/>
          <w:sz w:val="24"/>
        </w:rPr>
        <w:t>2、基金托管人的托管费；</w:t>
      </w:r>
    </w:p>
    <w:p w14:paraId="5BFE79BF">
      <w:pPr>
        <w:adjustRightInd w:val="0"/>
        <w:snapToGrid w:val="0"/>
        <w:spacing w:line="360" w:lineRule="auto"/>
        <w:ind w:firstLine="480" w:firstLineChars="200"/>
        <w:rPr>
          <w:sz w:val="24"/>
        </w:rPr>
      </w:pPr>
      <w:r>
        <w:rPr>
          <w:rFonts w:hint="eastAsia"/>
          <w:sz w:val="24"/>
        </w:rPr>
        <w:t>3、《基金合同》生效后与基金相关的信息披露费用；</w:t>
      </w:r>
    </w:p>
    <w:p w14:paraId="6C8F8093">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14:paraId="659ADAD8">
      <w:pPr>
        <w:adjustRightInd w:val="0"/>
        <w:snapToGrid w:val="0"/>
        <w:spacing w:line="360" w:lineRule="auto"/>
        <w:ind w:firstLine="480" w:firstLineChars="200"/>
        <w:rPr>
          <w:sz w:val="24"/>
        </w:rPr>
      </w:pPr>
      <w:r>
        <w:rPr>
          <w:rFonts w:hint="eastAsia"/>
          <w:sz w:val="24"/>
        </w:rPr>
        <w:t>5、基金份额持有人大会费用；</w:t>
      </w:r>
    </w:p>
    <w:p w14:paraId="5BE30CFE">
      <w:pPr>
        <w:adjustRightInd w:val="0"/>
        <w:snapToGrid w:val="0"/>
        <w:spacing w:line="360" w:lineRule="auto"/>
        <w:ind w:firstLine="480" w:firstLineChars="200"/>
        <w:rPr>
          <w:sz w:val="24"/>
        </w:rPr>
      </w:pPr>
      <w:r>
        <w:rPr>
          <w:rFonts w:hint="eastAsia"/>
          <w:sz w:val="24"/>
        </w:rPr>
        <w:t>6、基金的证券、期货交易费用；</w:t>
      </w:r>
    </w:p>
    <w:p w14:paraId="25D2BE3C">
      <w:pPr>
        <w:adjustRightInd w:val="0"/>
        <w:snapToGrid w:val="0"/>
        <w:spacing w:line="360" w:lineRule="auto"/>
        <w:ind w:firstLine="480" w:firstLineChars="200"/>
        <w:rPr>
          <w:sz w:val="24"/>
        </w:rPr>
      </w:pPr>
      <w:r>
        <w:rPr>
          <w:rFonts w:hint="eastAsia"/>
          <w:sz w:val="24"/>
        </w:rPr>
        <w:t>7、基金的银行汇划费用；</w:t>
      </w:r>
    </w:p>
    <w:p w14:paraId="003A6DC8">
      <w:pPr>
        <w:adjustRightInd w:val="0"/>
        <w:snapToGrid w:val="0"/>
        <w:spacing w:line="360" w:lineRule="auto"/>
        <w:ind w:firstLine="480" w:firstLineChars="200"/>
        <w:rPr>
          <w:sz w:val="24"/>
        </w:rPr>
      </w:pPr>
      <w:r>
        <w:rPr>
          <w:rFonts w:hint="eastAsia"/>
          <w:sz w:val="24"/>
        </w:rPr>
        <w:t>8、基金的开户费用、账户维护费用；</w:t>
      </w:r>
    </w:p>
    <w:p w14:paraId="6EFC1E8B">
      <w:pPr>
        <w:adjustRightInd w:val="0"/>
        <w:snapToGrid w:val="0"/>
        <w:spacing w:line="360" w:lineRule="auto"/>
        <w:ind w:firstLine="480" w:firstLineChars="200"/>
        <w:rPr>
          <w:sz w:val="24"/>
        </w:rPr>
      </w:pPr>
      <w:r>
        <w:rPr>
          <w:rFonts w:hint="eastAsia"/>
          <w:sz w:val="24"/>
        </w:rPr>
        <w:t>9、因投资港股通标的股票而产生的各项合理费用；</w:t>
      </w:r>
    </w:p>
    <w:p w14:paraId="2BD7392C">
      <w:pPr>
        <w:adjustRightInd w:val="0"/>
        <w:snapToGrid w:val="0"/>
        <w:spacing w:line="360" w:lineRule="auto"/>
        <w:ind w:firstLine="480" w:firstLineChars="200"/>
        <w:rPr>
          <w:sz w:val="24"/>
        </w:rPr>
      </w:pPr>
      <w:r>
        <w:rPr>
          <w:sz w:val="24"/>
        </w:rPr>
        <w:t>10</w:t>
      </w:r>
      <w:r>
        <w:rPr>
          <w:rFonts w:hint="eastAsia"/>
          <w:sz w:val="24"/>
        </w:rPr>
        <w:t>、本基金从C类基金份额的基金财产中计提的销售服务费；</w:t>
      </w:r>
    </w:p>
    <w:p w14:paraId="7ACF1419">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14:paraId="6457CBF7">
      <w:pPr>
        <w:adjustRightInd w:val="0"/>
        <w:snapToGrid w:val="0"/>
        <w:spacing w:line="360" w:lineRule="auto"/>
        <w:ind w:firstLine="482"/>
        <w:outlineLvl w:val="1"/>
        <w:rPr>
          <w:b/>
          <w:bCs/>
          <w:sz w:val="24"/>
        </w:rPr>
      </w:pPr>
      <w:r>
        <w:rPr>
          <w:b/>
          <w:bCs/>
          <w:sz w:val="24"/>
        </w:rPr>
        <w:t>（二）基金费用计提方法、计提标准和支付方式</w:t>
      </w:r>
    </w:p>
    <w:p w14:paraId="43763A2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1、与基金运作有关的费用</w:t>
      </w:r>
    </w:p>
    <w:p w14:paraId="70D9D192">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14:paraId="654131A7">
      <w:pPr>
        <w:adjustRightInd w:val="0"/>
        <w:snapToGrid w:val="0"/>
        <w:spacing w:line="360" w:lineRule="auto"/>
        <w:ind w:firstLine="480" w:firstLineChars="200"/>
        <w:rPr>
          <w:bCs/>
          <w:sz w:val="24"/>
        </w:rPr>
      </w:pPr>
      <w:r>
        <w:rPr>
          <w:rFonts w:hint="eastAsia"/>
          <w:bCs/>
          <w:sz w:val="24"/>
        </w:rPr>
        <w:t>本基金的管理费按前一日基金资产净值的1.2%年费率计提。管理费的计算方法如下：</w:t>
      </w:r>
    </w:p>
    <w:p w14:paraId="4A062213">
      <w:pPr>
        <w:adjustRightInd w:val="0"/>
        <w:snapToGrid w:val="0"/>
        <w:spacing w:line="360" w:lineRule="auto"/>
        <w:ind w:firstLine="480" w:firstLineChars="200"/>
        <w:rPr>
          <w:bCs/>
          <w:sz w:val="24"/>
        </w:rPr>
      </w:pPr>
      <w:r>
        <w:rPr>
          <w:rFonts w:hint="eastAsia"/>
          <w:bCs/>
          <w:sz w:val="24"/>
        </w:rPr>
        <w:t>H＝E×年管理费率÷当年天数</w:t>
      </w:r>
    </w:p>
    <w:p w14:paraId="3BB2C083">
      <w:pPr>
        <w:adjustRightInd w:val="0"/>
        <w:snapToGrid w:val="0"/>
        <w:spacing w:line="360" w:lineRule="auto"/>
        <w:ind w:firstLine="480" w:firstLineChars="200"/>
        <w:rPr>
          <w:bCs/>
          <w:sz w:val="24"/>
        </w:rPr>
      </w:pPr>
      <w:r>
        <w:rPr>
          <w:rFonts w:hint="eastAsia"/>
          <w:bCs/>
          <w:sz w:val="24"/>
        </w:rPr>
        <w:t>H为每日应计提的基金管理费</w:t>
      </w:r>
    </w:p>
    <w:p w14:paraId="7DBE2A39">
      <w:pPr>
        <w:adjustRightInd w:val="0"/>
        <w:snapToGrid w:val="0"/>
        <w:spacing w:line="360" w:lineRule="auto"/>
        <w:ind w:firstLine="480" w:firstLineChars="200"/>
        <w:rPr>
          <w:bCs/>
          <w:sz w:val="24"/>
        </w:rPr>
      </w:pPr>
      <w:r>
        <w:rPr>
          <w:rFonts w:hint="eastAsia"/>
          <w:bCs/>
          <w:sz w:val="24"/>
        </w:rPr>
        <w:t>E为前一日的基金资产净值</w:t>
      </w:r>
    </w:p>
    <w:p w14:paraId="3F4349CB">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根据双方核对一致的数据向基金托管人发送划付指令，基金托管人于次月首日起5个工作日内从基金财产中一次性支付给基金管理人。若遇法定节假日、休息日或不可抗力致使无法按时支付的，顺延至最近可支付日支付。</w:t>
      </w:r>
    </w:p>
    <w:p w14:paraId="470A05CE">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14:paraId="23ABF673">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14:paraId="0822C72C">
      <w:pPr>
        <w:adjustRightInd w:val="0"/>
        <w:snapToGrid w:val="0"/>
        <w:spacing w:line="360" w:lineRule="auto"/>
        <w:ind w:firstLine="480" w:firstLineChars="200"/>
        <w:rPr>
          <w:bCs/>
          <w:sz w:val="24"/>
        </w:rPr>
      </w:pPr>
      <w:r>
        <w:rPr>
          <w:rFonts w:hint="eastAsia"/>
          <w:bCs/>
          <w:sz w:val="24"/>
        </w:rPr>
        <w:t>H＝E×年托管费率÷当年天数</w:t>
      </w:r>
    </w:p>
    <w:p w14:paraId="340630E9">
      <w:pPr>
        <w:adjustRightInd w:val="0"/>
        <w:snapToGrid w:val="0"/>
        <w:spacing w:line="360" w:lineRule="auto"/>
        <w:ind w:firstLine="480" w:firstLineChars="200"/>
        <w:rPr>
          <w:bCs/>
          <w:sz w:val="24"/>
        </w:rPr>
      </w:pPr>
      <w:r>
        <w:rPr>
          <w:rFonts w:hint="eastAsia"/>
          <w:bCs/>
          <w:sz w:val="24"/>
        </w:rPr>
        <w:t>H为每日应计提的基金托管费</w:t>
      </w:r>
    </w:p>
    <w:p w14:paraId="4ACDD8BA">
      <w:pPr>
        <w:adjustRightInd w:val="0"/>
        <w:snapToGrid w:val="0"/>
        <w:spacing w:line="360" w:lineRule="auto"/>
        <w:ind w:firstLine="480" w:firstLineChars="200"/>
        <w:rPr>
          <w:bCs/>
          <w:sz w:val="24"/>
        </w:rPr>
      </w:pPr>
      <w:r>
        <w:rPr>
          <w:rFonts w:hint="eastAsia"/>
          <w:bCs/>
          <w:sz w:val="24"/>
        </w:rPr>
        <w:t>E为前一日的基金资产净值</w:t>
      </w:r>
    </w:p>
    <w:p w14:paraId="1FE3C16A">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根据双方核对一致的数据向基金托管人发送划付指令，基金托管人于次月首日起5个工作日内从基金财产中一次性支取。若遇法定节假日、休息日或不可抗力致使无法按时支付的，顺延至最近可支付日支付。</w:t>
      </w:r>
    </w:p>
    <w:p w14:paraId="7D91F332">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）C类基金份额的销售服务费</w:t>
      </w:r>
    </w:p>
    <w:p w14:paraId="2D3BC834">
      <w:pPr>
        <w:adjustRightInd w:val="0"/>
        <w:snapToGrid w:val="0"/>
        <w:spacing w:line="360" w:lineRule="auto"/>
        <w:ind w:firstLine="480" w:firstLineChars="200"/>
        <w:rPr>
          <w:bCs/>
          <w:sz w:val="24"/>
        </w:rPr>
      </w:pPr>
      <w:r>
        <w:rPr>
          <w:rFonts w:hint="eastAsia"/>
          <w:bCs/>
          <w:sz w:val="24"/>
        </w:rPr>
        <w:t>本基金A类基金份额不收取销售服务费，C类基金份额的销售服务费按前一日C类基金份额的基金资产净值的0.4%年费率计提。销售服务费的计算方法如下：</w:t>
      </w:r>
    </w:p>
    <w:p w14:paraId="301C2410">
      <w:pPr>
        <w:adjustRightInd w:val="0"/>
        <w:snapToGrid w:val="0"/>
        <w:spacing w:line="360" w:lineRule="auto"/>
        <w:ind w:firstLine="480" w:firstLineChars="200"/>
        <w:rPr>
          <w:bCs/>
          <w:sz w:val="24"/>
        </w:rPr>
      </w:pPr>
      <w:r>
        <w:rPr>
          <w:rFonts w:hint="eastAsia"/>
          <w:bCs/>
          <w:sz w:val="24"/>
        </w:rPr>
        <w:t>H＝E×年销售服务费率÷当年天数</w:t>
      </w:r>
    </w:p>
    <w:p w14:paraId="7268F4AF">
      <w:pPr>
        <w:adjustRightInd w:val="0"/>
        <w:snapToGrid w:val="0"/>
        <w:spacing w:line="360" w:lineRule="auto"/>
        <w:ind w:firstLine="480" w:firstLineChars="200"/>
        <w:rPr>
          <w:bCs/>
          <w:sz w:val="24"/>
        </w:rPr>
      </w:pPr>
      <w:r>
        <w:rPr>
          <w:rFonts w:hint="eastAsia"/>
          <w:bCs/>
          <w:sz w:val="24"/>
        </w:rPr>
        <w:t>H为C类基金份额每日应计提的销售服务费</w:t>
      </w:r>
    </w:p>
    <w:p w14:paraId="037D0CB5">
      <w:pPr>
        <w:adjustRightInd w:val="0"/>
        <w:snapToGrid w:val="0"/>
        <w:spacing w:line="360" w:lineRule="auto"/>
        <w:ind w:firstLine="480" w:firstLineChars="200"/>
        <w:rPr>
          <w:bCs/>
          <w:sz w:val="24"/>
        </w:rPr>
      </w:pPr>
      <w:r>
        <w:rPr>
          <w:rFonts w:hint="eastAsia"/>
          <w:bCs/>
          <w:sz w:val="24"/>
        </w:rPr>
        <w:t>E为C类基金份额前一日基金资产净值</w:t>
      </w:r>
    </w:p>
    <w:p w14:paraId="2E32D915">
      <w:pPr>
        <w:adjustRightInd w:val="0"/>
        <w:snapToGrid w:val="0"/>
        <w:spacing w:line="360" w:lineRule="auto"/>
        <w:ind w:firstLine="480" w:firstLineChars="200"/>
        <w:rPr>
          <w:bCs/>
          <w:sz w:val="24"/>
        </w:rPr>
      </w:pPr>
      <w:r>
        <w:rPr>
          <w:rFonts w:hint="eastAsia"/>
          <w:bCs/>
          <w:sz w:val="24"/>
        </w:rPr>
        <w:t>C类基金份额的销售服务费具体收取/返还方式：</w:t>
      </w:r>
    </w:p>
    <w:p w14:paraId="1710103E">
      <w:pPr>
        <w:adjustRightInd w:val="0"/>
        <w:snapToGrid w:val="0"/>
        <w:spacing w:line="360" w:lineRule="auto"/>
        <w:ind w:firstLine="480" w:firstLineChars="200"/>
        <w:rPr>
          <w:bCs/>
          <w:sz w:val="24"/>
        </w:rPr>
      </w:pPr>
      <w:r>
        <w:rPr>
          <w:rFonts w:hint="eastAsia"/>
          <w:bCs/>
          <w:sz w:val="24"/>
        </w:rPr>
        <w:t>（1）通过直销机构认购/申购的C类基金份额</w:t>
      </w:r>
    </w:p>
    <w:p w14:paraId="104BAD71">
      <w:pPr>
        <w:adjustRightInd w:val="0"/>
        <w:snapToGrid w:val="0"/>
        <w:spacing w:line="360" w:lineRule="auto"/>
        <w:ind w:firstLine="480" w:firstLineChars="200"/>
        <w:rPr>
          <w:bCs/>
          <w:sz w:val="24"/>
        </w:rPr>
      </w:pPr>
      <w:r>
        <w:rPr>
          <w:rFonts w:hint="eastAsia"/>
          <w:bCs/>
          <w:sz w:val="24"/>
        </w:rPr>
        <w:t>对于C类基金份额计提的销售服务费，在投资人赎回基金份额或基金合同终止时随赎回款或清算款一并返还给投资人。</w:t>
      </w:r>
    </w:p>
    <w:p w14:paraId="035BA373">
      <w:pPr>
        <w:adjustRightInd w:val="0"/>
        <w:snapToGrid w:val="0"/>
        <w:spacing w:line="360" w:lineRule="auto"/>
        <w:ind w:firstLine="480" w:firstLineChars="200"/>
        <w:rPr>
          <w:bCs/>
          <w:sz w:val="24"/>
        </w:rPr>
      </w:pPr>
      <w:r>
        <w:rPr>
          <w:rFonts w:hint="eastAsia"/>
          <w:bCs/>
          <w:sz w:val="24"/>
        </w:rPr>
        <w:t>（2）通过其他销售机构认购/申购的C类基金份额</w:t>
      </w:r>
    </w:p>
    <w:p w14:paraId="7FF3DAF1">
      <w:pPr>
        <w:adjustRightInd w:val="0"/>
        <w:snapToGrid w:val="0"/>
        <w:spacing w:line="360" w:lineRule="auto"/>
        <w:ind w:firstLine="480" w:firstLineChars="200"/>
        <w:rPr>
          <w:bCs/>
          <w:sz w:val="24"/>
        </w:rPr>
      </w:pPr>
      <w:r>
        <w:rPr>
          <w:rFonts w:hint="eastAsia"/>
          <w:bCs/>
          <w:sz w:val="24"/>
        </w:rPr>
        <w:t>对于投资人持续持有期限未超过一年的C类基金份额，销售服务费每日计提，逐日累计至每月月末，按月支付。由基金管理人根据双方核对一致的数据向基金托管人发送销售服务费划付指令，基金托管人于次月首日起5个工作日内从基金财产中一次性支付给基金管理人，由基金管理人代付给销售机构。若遇法定节假日、休息日或不可抗力致使无法按时支付的，顺延至最近可支付日支付。</w:t>
      </w:r>
    </w:p>
    <w:p w14:paraId="387DAAAF">
      <w:pPr>
        <w:adjustRightInd w:val="0"/>
        <w:snapToGrid w:val="0"/>
        <w:spacing w:line="360" w:lineRule="auto"/>
        <w:ind w:firstLine="480" w:firstLineChars="200"/>
        <w:rPr>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14:paraId="3C3DFB7C">
      <w:pPr>
        <w:adjustRightInd w:val="0"/>
        <w:snapToGrid w:val="0"/>
        <w:spacing w:line="360" w:lineRule="auto"/>
        <w:ind w:firstLine="480" w:firstLineChars="200"/>
        <w:rPr>
          <w:bCs/>
          <w:sz w:val="24"/>
        </w:rPr>
      </w:pPr>
      <w:r>
        <w:rPr>
          <w:rFonts w:hint="eastAsia"/>
          <w:bCs/>
          <w:sz w:val="24"/>
        </w:rPr>
        <w:t>C类基金份额的销售服务费将专门用于本基金的市场推广、销售与基金份额持有人服务。</w:t>
      </w:r>
    </w:p>
    <w:p w14:paraId="0635AB73">
      <w:pPr>
        <w:adjustRightInd w:val="0"/>
        <w:snapToGrid w:val="0"/>
        <w:spacing w:line="360" w:lineRule="auto"/>
        <w:ind w:firstLine="480" w:firstLineChars="200"/>
        <w:rPr>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w:t>
      </w:r>
      <w:r>
        <w:rPr>
          <w:bCs/>
          <w:sz w:val="24"/>
        </w:rPr>
        <w:t>项费用，根据有关法规及相应协议规定，按费用实际支出金额列入当期费用，由基金托管人从基金财产中支付。</w:t>
      </w:r>
    </w:p>
    <w:p w14:paraId="65AAAF0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2、与基金销售有关的费用</w:t>
      </w:r>
    </w:p>
    <w:p w14:paraId="2348418B">
      <w:pPr>
        <w:adjustRightInd w:val="0"/>
        <w:snapToGrid w:val="0"/>
        <w:spacing w:line="360" w:lineRule="auto"/>
        <w:ind w:firstLine="480" w:firstLineChars="200"/>
        <w:rPr>
          <w:bCs/>
          <w:sz w:val="24"/>
        </w:rPr>
      </w:pPr>
      <w:r>
        <w:rPr>
          <w:bCs/>
          <w:sz w:val="24"/>
        </w:rPr>
        <w:t>（1）申购费</w:t>
      </w:r>
    </w:p>
    <w:p w14:paraId="2E319EE2">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5D96A7D4">
      <w:pPr>
        <w:adjustRightInd w:val="0"/>
        <w:snapToGrid w:val="0"/>
        <w:spacing w:line="360" w:lineRule="auto"/>
        <w:ind w:firstLine="480" w:firstLineChars="200"/>
        <w:rPr>
          <w:bCs/>
          <w:sz w:val="24"/>
        </w:rPr>
      </w:pPr>
      <w:r>
        <w:rPr>
          <w:bCs/>
          <w:sz w:val="24"/>
        </w:rPr>
        <w:t>（2）赎回费</w:t>
      </w:r>
    </w:p>
    <w:p w14:paraId="1F727A2E">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7B34B903">
      <w:pPr>
        <w:adjustRightInd w:val="0"/>
        <w:snapToGrid w:val="0"/>
        <w:spacing w:line="360" w:lineRule="auto"/>
        <w:ind w:firstLine="482"/>
        <w:outlineLvl w:val="1"/>
        <w:rPr>
          <w:b/>
          <w:bCs/>
          <w:sz w:val="24"/>
        </w:rPr>
      </w:pPr>
      <w:r>
        <w:rPr>
          <w:b/>
          <w:bCs/>
          <w:sz w:val="24"/>
        </w:rPr>
        <w:t>（三）不列入基金费用的项目</w:t>
      </w:r>
    </w:p>
    <w:p w14:paraId="711DD246">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14:paraId="7BF236D9">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14:paraId="614B4EEA">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14:paraId="64DF6A44">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14:paraId="229E573A">
      <w:pPr>
        <w:adjustRightInd w:val="0"/>
        <w:snapToGrid w:val="0"/>
        <w:spacing w:line="360" w:lineRule="auto"/>
        <w:ind w:firstLine="480" w:firstLineChars="200"/>
        <w:rPr>
          <w:rFonts w:hAnsi="宋体"/>
          <w:sz w:val="24"/>
          <w:szCs w:val="21"/>
        </w:rPr>
      </w:pPr>
      <w:bookmarkStart w:id="82" w:name="_Hlt81193394"/>
      <w:bookmarkEnd w:id="82"/>
      <w:r>
        <w:rPr>
          <w:rFonts w:hAnsi="宋体"/>
          <w:sz w:val="24"/>
          <w:szCs w:val="21"/>
        </w:rPr>
        <w:t>4、其他根据相关法律法规及中国证监会的有关规定不得列入基金费用的项目。</w:t>
      </w:r>
    </w:p>
    <w:p w14:paraId="6AC7FE36">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14:paraId="415EAE11">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4FBFB613">
      <w:pPr>
        <w:adjustRightInd w:val="0"/>
        <w:snapToGrid w:val="0"/>
        <w:spacing w:line="360" w:lineRule="auto"/>
        <w:ind w:firstLine="482"/>
        <w:outlineLvl w:val="1"/>
        <w:rPr>
          <w:b/>
          <w:bCs/>
          <w:sz w:val="24"/>
        </w:rPr>
      </w:pPr>
      <w:r>
        <w:rPr>
          <w:rFonts w:hint="eastAsia"/>
          <w:b/>
          <w:bCs/>
          <w:sz w:val="24"/>
        </w:rPr>
        <w:t>（五）</w:t>
      </w:r>
      <w:r>
        <w:rPr>
          <w:b/>
          <w:bCs/>
          <w:sz w:val="24"/>
        </w:rPr>
        <w:t>基金税收</w:t>
      </w:r>
    </w:p>
    <w:p w14:paraId="658DD3E9">
      <w:pPr>
        <w:adjustRightInd w:val="0"/>
        <w:snapToGrid w:val="0"/>
        <w:spacing w:line="360" w:lineRule="auto"/>
        <w:ind w:firstLine="480" w:firstLineChars="200"/>
        <w:rPr>
          <w:rFonts w:ascii="宋体" w:hAnsi="宋体"/>
          <w:b/>
          <w:kern w:val="0"/>
          <w:sz w:val="30"/>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1"/>
      <w:r>
        <w:rPr>
          <w:rFonts w:ascii="宋体" w:hAnsi="宋体"/>
          <w:b/>
          <w:kern w:val="0"/>
          <w:sz w:val="30"/>
        </w:rPr>
        <w:br w:type="page"/>
      </w:r>
    </w:p>
    <w:p w14:paraId="24C8AC60">
      <w:pPr>
        <w:widowControl/>
        <w:adjustRightInd w:val="0"/>
        <w:snapToGrid w:val="0"/>
        <w:spacing w:before="143" w:beforeLines="50" w:after="143" w:afterLines="50" w:line="360" w:lineRule="auto"/>
        <w:jc w:val="center"/>
        <w:outlineLvl w:val="0"/>
        <w:rPr>
          <w:rFonts w:ascii="宋体" w:hAnsi="宋体"/>
          <w:b/>
          <w:kern w:val="0"/>
          <w:sz w:val="30"/>
        </w:rPr>
      </w:pPr>
      <w:bookmarkStart w:id="83" w:name="_Toc48122015"/>
      <w:r>
        <w:rPr>
          <w:rFonts w:hint="eastAsia" w:ascii="宋体" w:hAnsi="宋体"/>
          <w:b/>
          <w:kern w:val="0"/>
          <w:sz w:val="30"/>
        </w:rPr>
        <w:t>十四、基金的会计与审计</w:t>
      </w:r>
      <w:bookmarkEnd w:id="83"/>
    </w:p>
    <w:p w14:paraId="4061D79C">
      <w:pPr>
        <w:adjustRightInd w:val="0"/>
        <w:snapToGrid w:val="0"/>
        <w:spacing w:line="360" w:lineRule="auto"/>
        <w:ind w:firstLine="482"/>
        <w:outlineLvl w:val="1"/>
        <w:rPr>
          <w:b/>
          <w:bCs/>
          <w:sz w:val="24"/>
        </w:rPr>
      </w:pPr>
      <w:bookmarkStart w:id="84" w:name="_Hlk49344167"/>
      <w:r>
        <w:rPr>
          <w:b/>
          <w:bCs/>
          <w:sz w:val="24"/>
        </w:rPr>
        <w:t>（一）基金会计政策</w:t>
      </w:r>
    </w:p>
    <w:p w14:paraId="3D43A59B">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14:paraId="31876591">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14:paraId="65B15AB4">
      <w:pPr>
        <w:adjustRightInd w:val="0"/>
        <w:snapToGrid w:val="0"/>
        <w:spacing w:line="360" w:lineRule="auto"/>
        <w:ind w:firstLine="480" w:firstLineChars="200"/>
        <w:rPr>
          <w:sz w:val="24"/>
          <w:szCs w:val="18"/>
        </w:rPr>
      </w:pPr>
      <w:bookmarkStart w:id="85" w:name="_Toc109537394"/>
      <w:r>
        <w:rPr>
          <w:sz w:val="24"/>
        </w:rPr>
        <w:t>3</w:t>
      </w:r>
      <w:r>
        <w:rPr>
          <w:rFonts w:hAnsi="宋体"/>
          <w:sz w:val="24"/>
        </w:rPr>
        <w:t>、</w:t>
      </w:r>
      <w:r>
        <w:rPr>
          <w:rFonts w:hAnsi="宋体"/>
          <w:sz w:val="24"/>
          <w:szCs w:val="21"/>
        </w:rPr>
        <w:t>基金核</w:t>
      </w:r>
      <w:bookmarkEnd w:id="85"/>
      <w:r>
        <w:rPr>
          <w:rFonts w:hAnsi="宋体"/>
          <w:sz w:val="24"/>
          <w:szCs w:val="21"/>
        </w:rPr>
        <w:t>算以人民币为记账本位币，以人民币元为记账单位；</w:t>
      </w:r>
    </w:p>
    <w:p w14:paraId="4F54E938">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14:paraId="2BB5D7FA">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14:paraId="560354F0">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14:paraId="657C703A">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、基金托管人每月与基金管理人就基金的会计核算、报表编制等进行核对并以书面方式</w:t>
      </w:r>
      <w:r>
        <w:rPr>
          <w:rFonts w:hint="eastAsia"/>
          <w:bCs/>
          <w:sz w:val="24"/>
        </w:rPr>
        <w:t>或双方认可的其他方式</w:t>
      </w:r>
      <w:r>
        <w:rPr>
          <w:rFonts w:hAnsi="宋体"/>
          <w:sz w:val="24"/>
          <w:szCs w:val="18"/>
        </w:rPr>
        <w:t>确认。</w:t>
      </w:r>
    </w:p>
    <w:p w14:paraId="7BA5588F">
      <w:pPr>
        <w:adjustRightInd w:val="0"/>
        <w:snapToGrid w:val="0"/>
        <w:spacing w:line="360" w:lineRule="auto"/>
        <w:ind w:firstLine="482"/>
        <w:outlineLvl w:val="1"/>
        <w:rPr>
          <w:b/>
          <w:bCs/>
          <w:sz w:val="24"/>
        </w:rPr>
      </w:pPr>
      <w:r>
        <w:rPr>
          <w:b/>
          <w:bCs/>
          <w:sz w:val="24"/>
        </w:rPr>
        <w:t>（二）基金的年度审计</w:t>
      </w:r>
    </w:p>
    <w:p w14:paraId="63DE2DA0">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1、基金管理人聘请与基金管理人、基金托管人相互独立的符合《中华人民共和国证券法》规定的会计师事务所及其注册会计师对本基金的年度财务报表进行审计。</w:t>
      </w:r>
    </w:p>
    <w:p w14:paraId="5A994E19">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14:paraId="77B0CF71">
      <w:pPr>
        <w:adjustRightInd w:val="0"/>
        <w:snapToGrid w:val="0"/>
        <w:spacing w:line="360" w:lineRule="auto"/>
        <w:ind w:firstLine="480" w:firstLineChars="200"/>
        <w:rPr>
          <w:rFonts w:hAnsi="宋体"/>
          <w:sz w:val="24"/>
          <w:szCs w:val="18"/>
        </w:rPr>
      </w:pPr>
      <w:r>
        <w:rPr>
          <w:rFonts w:hAnsi="宋体"/>
          <w:sz w:val="24"/>
          <w:szCs w:val="18"/>
        </w:rPr>
        <w:t>3、</w:t>
      </w:r>
      <w:bookmarkStart w:id="86" w:name="_Hlt4221115"/>
      <w:bookmarkEnd w:id="86"/>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p w14:paraId="3E2DB6B2">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87" w:name="_Toc48122016"/>
      <w:r>
        <w:rPr>
          <w:rFonts w:hint="eastAsia" w:ascii="宋体" w:hAnsi="宋体"/>
          <w:b/>
          <w:kern w:val="0"/>
          <w:sz w:val="30"/>
        </w:rPr>
        <w:t>十五、基金的信息披露</w:t>
      </w:r>
      <w:bookmarkEnd w:id="87"/>
    </w:p>
    <w:p w14:paraId="416F11D9">
      <w:pPr>
        <w:adjustRightInd w:val="0"/>
        <w:snapToGrid w:val="0"/>
        <w:spacing w:line="360" w:lineRule="auto"/>
        <w:ind w:firstLine="482" w:firstLineChars="200"/>
        <w:rPr>
          <w:rFonts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本基金的信息披露应符合《基金法》、《运作办法》、《信息披露办法》、《流动性风险管理规定》、《基金合同》及其他有关规定。相关法律法规关于信息披露的规定发生变化时，本基金从其最新规定。</w:t>
      </w:r>
    </w:p>
    <w:p w14:paraId="5D41CCE1">
      <w:pPr>
        <w:adjustRightInd w:val="0"/>
        <w:snapToGrid w:val="0"/>
        <w:spacing w:line="360" w:lineRule="auto"/>
        <w:ind w:firstLine="482" w:firstLineChars="200"/>
        <w:rPr>
          <w:b/>
          <w:sz w:val="24"/>
        </w:rPr>
      </w:pPr>
      <w:r>
        <w:rPr>
          <w:b/>
          <w:bCs/>
          <w:sz w:val="24"/>
        </w:rPr>
        <w:t>（二）信息披露义务人</w:t>
      </w:r>
    </w:p>
    <w:p w14:paraId="0B6860D2">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14:paraId="656BD908">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14:paraId="6F64DF60">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7540BF4">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14:paraId="45090D0B">
      <w:pPr>
        <w:adjustRightInd w:val="0"/>
        <w:snapToGrid w:val="0"/>
        <w:spacing w:line="360" w:lineRule="auto"/>
        <w:ind w:firstLine="480" w:firstLineChars="200"/>
        <w:rPr>
          <w:rFonts w:hAnsi="宋体"/>
          <w:sz w:val="24"/>
        </w:rPr>
      </w:pPr>
      <w:r>
        <w:rPr>
          <w:rFonts w:hAnsi="宋体"/>
          <w:sz w:val="24"/>
        </w:rPr>
        <w:t>1、虚假记载、误导性陈述或者重大遗漏；</w:t>
      </w:r>
    </w:p>
    <w:p w14:paraId="431829E9">
      <w:pPr>
        <w:adjustRightInd w:val="0"/>
        <w:snapToGrid w:val="0"/>
        <w:spacing w:line="360" w:lineRule="auto"/>
        <w:ind w:firstLine="480" w:firstLineChars="200"/>
        <w:rPr>
          <w:rFonts w:hAnsi="宋体"/>
          <w:sz w:val="24"/>
        </w:rPr>
      </w:pPr>
      <w:r>
        <w:rPr>
          <w:rFonts w:hAnsi="宋体"/>
          <w:sz w:val="24"/>
        </w:rPr>
        <w:t>2、对证券投资业绩进行预测；</w:t>
      </w:r>
    </w:p>
    <w:p w14:paraId="1C1BA7CA">
      <w:pPr>
        <w:adjustRightInd w:val="0"/>
        <w:snapToGrid w:val="0"/>
        <w:spacing w:line="360" w:lineRule="auto"/>
        <w:ind w:firstLine="480" w:firstLineChars="200"/>
        <w:rPr>
          <w:rFonts w:hAnsi="宋体"/>
          <w:sz w:val="24"/>
        </w:rPr>
      </w:pPr>
      <w:r>
        <w:rPr>
          <w:rFonts w:hAnsi="宋体"/>
          <w:sz w:val="24"/>
        </w:rPr>
        <w:t>3、违规承诺收益或者承担损失；</w:t>
      </w:r>
    </w:p>
    <w:p w14:paraId="0595BF9A">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14:paraId="2569C056">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14:paraId="6E212DCC">
      <w:pPr>
        <w:adjustRightInd w:val="0"/>
        <w:snapToGrid w:val="0"/>
        <w:spacing w:line="360" w:lineRule="auto"/>
        <w:ind w:firstLine="480" w:firstLineChars="200"/>
        <w:rPr>
          <w:rFonts w:hAnsi="宋体"/>
          <w:sz w:val="24"/>
        </w:rPr>
      </w:pPr>
      <w:r>
        <w:rPr>
          <w:rFonts w:hAnsi="宋体"/>
          <w:sz w:val="24"/>
        </w:rPr>
        <w:t>6、中国证监会禁止的其他行为。</w:t>
      </w:r>
    </w:p>
    <w:p w14:paraId="161C625A">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14:paraId="0EE742B8">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14:paraId="3797D640">
      <w:pPr>
        <w:adjustRightInd w:val="0"/>
        <w:snapToGrid w:val="0"/>
        <w:spacing w:line="360" w:lineRule="auto"/>
        <w:ind w:firstLine="482" w:firstLineChars="200"/>
        <w:rPr>
          <w:b/>
          <w:sz w:val="24"/>
        </w:rPr>
      </w:pPr>
      <w:r>
        <w:rPr>
          <w:rFonts w:hAnsi="宋体"/>
          <w:b/>
          <w:sz w:val="24"/>
        </w:rPr>
        <w:t>（五）公开披露的基金信息</w:t>
      </w:r>
    </w:p>
    <w:p w14:paraId="4D48ED3C">
      <w:pPr>
        <w:adjustRightInd w:val="0"/>
        <w:snapToGrid w:val="0"/>
        <w:spacing w:line="360" w:lineRule="auto"/>
        <w:ind w:firstLine="480" w:firstLineChars="200"/>
        <w:rPr>
          <w:b/>
          <w:bCs/>
          <w:sz w:val="24"/>
        </w:rPr>
      </w:pPr>
      <w:r>
        <w:rPr>
          <w:bCs/>
          <w:sz w:val="24"/>
        </w:rPr>
        <w:t>公开披露的基金信息包括：</w:t>
      </w:r>
    </w:p>
    <w:p w14:paraId="284A4BD7">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14:paraId="76D67C9D">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14:paraId="5126FAE4">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14:paraId="1BAF5C95">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14:paraId="1011A2A4">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6729D93">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网站上，并将基金产品资料概要登载在基金销售机构网站或营业网点；基金托管人应当同时将《基金合同》、基金托管协议登载在规定网站上。</w:t>
      </w:r>
    </w:p>
    <w:p w14:paraId="2D7CB80F">
      <w:pPr>
        <w:adjustRightInd w:val="0"/>
        <w:snapToGrid w:val="0"/>
        <w:spacing w:line="360" w:lineRule="auto"/>
        <w:ind w:firstLine="480" w:firstLineChars="200"/>
        <w:rPr>
          <w:sz w:val="24"/>
        </w:rPr>
      </w:pPr>
      <w:r>
        <w:rPr>
          <w:sz w:val="24"/>
        </w:rPr>
        <w:t>2</w:t>
      </w:r>
      <w:r>
        <w:rPr>
          <w:rFonts w:hAnsi="宋体"/>
          <w:sz w:val="24"/>
        </w:rPr>
        <w:t>、基金份额发售公告</w:t>
      </w:r>
    </w:p>
    <w:p w14:paraId="63529A3E">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14:paraId="6D8A1F97">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14:paraId="7A12FD57">
      <w:pPr>
        <w:adjustRightInd w:val="0"/>
        <w:snapToGrid w:val="0"/>
        <w:spacing w:line="360" w:lineRule="auto"/>
        <w:ind w:firstLine="480" w:firstLineChars="200"/>
        <w:rPr>
          <w:rFonts w:hAnsi="宋体"/>
          <w:sz w:val="24"/>
        </w:rPr>
      </w:pPr>
      <w:r>
        <w:rPr>
          <w:rFonts w:hAnsi="宋体"/>
          <w:sz w:val="24"/>
        </w:rPr>
        <w:t>基金管理人应当在收到中国证监会确认文件的次日在规定媒介上登载《基金合同》生效公告。</w:t>
      </w:r>
    </w:p>
    <w:p w14:paraId="521FD302">
      <w:pPr>
        <w:adjustRightInd w:val="0"/>
        <w:snapToGrid w:val="0"/>
        <w:spacing w:line="360" w:lineRule="auto"/>
        <w:ind w:firstLine="480" w:firstLineChars="200"/>
        <w:rPr>
          <w:rFonts w:hAnsi="宋体"/>
          <w:sz w:val="24"/>
        </w:rPr>
      </w:pPr>
      <w:r>
        <w:rPr>
          <w:rFonts w:hint="eastAsia"/>
          <w:bCs/>
          <w:sz w:val="24"/>
        </w:rPr>
        <w:t>《基金合同》生效公告中将说明基金募集情况及基金管理人股东、基金管理人、基金管理人高级管理人员或基金经理等人员持有的基金份额、承诺持有的期限等情况。</w:t>
      </w:r>
    </w:p>
    <w:p w14:paraId="6CB4B9D5">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14:paraId="165C63DD">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14:paraId="4BD19CE2">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在开始办理基金份额申购或者赎回后，基金管理人应当在不晚于每个开放日的次日，通过规定网站、基金销售机构网站或者营业网点分别披露开放日的</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rFonts w:hint="eastAsia"/>
          <w:bCs/>
          <w:sz w:val="24"/>
        </w:rPr>
        <w:t>基金份额净值和基金份额累计净值。</w:t>
      </w:r>
    </w:p>
    <w:p w14:paraId="21EBE1DE">
      <w:pPr>
        <w:adjustRightInd w:val="0"/>
        <w:snapToGrid w:val="0"/>
        <w:spacing w:line="360" w:lineRule="auto"/>
        <w:ind w:firstLine="480" w:firstLineChars="200"/>
        <w:rPr>
          <w:rFonts w:hAnsi="宋体"/>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14:paraId="0221C08B">
      <w:pPr>
        <w:adjustRightInd w:val="0"/>
        <w:snapToGrid w:val="0"/>
        <w:spacing w:line="360" w:lineRule="auto"/>
        <w:ind w:firstLine="480" w:firstLineChars="200"/>
        <w:rPr>
          <w:sz w:val="24"/>
        </w:rPr>
      </w:pPr>
      <w:r>
        <w:rPr>
          <w:sz w:val="24"/>
        </w:rPr>
        <w:t>5</w:t>
      </w:r>
      <w:r>
        <w:rPr>
          <w:rFonts w:hAnsi="宋体"/>
          <w:sz w:val="24"/>
        </w:rPr>
        <w:t>、基金份额申购、赎回价格</w:t>
      </w:r>
    </w:p>
    <w:p w14:paraId="5372E2E8">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14:paraId="1F53B3D0">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14:paraId="17EE6B03">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14:paraId="409D7154">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14:paraId="3499102F">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14:paraId="0DBA59EF">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14:paraId="67D5E8F2">
      <w:pPr>
        <w:adjustRightInd w:val="0"/>
        <w:snapToGrid w:val="0"/>
        <w:spacing w:line="360" w:lineRule="auto"/>
        <w:ind w:firstLine="480" w:firstLineChars="200"/>
        <w:rPr>
          <w:rFonts w:hAnsi="宋体"/>
          <w:sz w:val="24"/>
        </w:rPr>
      </w:pPr>
      <w:r>
        <w:rPr>
          <w:rFonts w:hint="eastAsia"/>
          <w:bCs/>
          <w:sz w:val="24"/>
        </w:rPr>
        <w:t>基金管理人应在年度报告、中期报告、季度报告中分别披露基金管理人股东、基金管理人、基金管理人高级管理人员或基金经理等人员持有基金的份额、期限及期间的变动情况。</w:t>
      </w:r>
    </w:p>
    <w:p w14:paraId="436DB6AE">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9A1A612">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14:paraId="66137CD8">
      <w:pPr>
        <w:adjustRightInd w:val="0"/>
        <w:snapToGrid w:val="0"/>
        <w:spacing w:line="360" w:lineRule="auto"/>
        <w:ind w:firstLine="480" w:firstLineChars="200"/>
        <w:rPr>
          <w:sz w:val="24"/>
        </w:rPr>
      </w:pPr>
      <w:r>
        <w:rPr>
          <w:sz w:val="24"/>
        </w:rPr>
        <w:t>7</w:t>
      </w:r>
      <w:r>
        <w:rPr>
          <w:rFonts w:hAnsi="宋体"/>
          <w:sz w:val="24"/>
        </w:rPr>
        <w:t>、临时报告</w:t>
      </w:r>
    </w:p>
    <w:p w14:paraId="34A22811">
      <w:pPr>
        <w:adjustRightInd w:val="0"/>
        <w:snapToGrid w:val="0"/>
        <w:spacing w:line="360" w:lineRule="auto"/>
        <w:ind w:firstLine="480" w:firstLineChars="200"/>
        <w:rPr>
          <w:rFonts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14:paraId="64097486">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14:paraId="723D881E">
      <w:pPr>
        <w:adjustRightInd w:val="0"/>
        <w:snapToGrid w:val="0"/>
        <w:spacing w:line="360" w:lineRule="auto"/>
        <w:ind w:firstLine="480" w:firstLineChars="200"/>
        <w:rPr>
          <w:bCs/>
          <w:sz w:val="24"/>
        </w:rPr>
      </w:pPr>
      <w:r>
        <w:rPr>
          <w:rFonts w:hint="eastAsia"/>
          <w:bCs/>
          <w:sz w:val="24"/>
        </w:rPr>
        <w:t>（1）基金份额持有人大会的召开及决定的事项；</w:t>
      </w:r>
    </w:p>
    <w:p w14:paraId="3DA93E3C">
      <w:pPr>
        <w:adjustRightInd w:val="0"/>
        <w:snapToGrid w:val="0"/>
        <w:spacing w:line="360" w:lineRule="auto"/>
        <w:ind w:firstLine="480" w:firstLineChars="200"/>
        <w:rPr>
          <w:bCs/>
          <w:sz w:val="24"/>
        </w:rPr>
      </w:pPr>
      <w:r>
        <w:rPr>
          <w:rFonts w:hint="eastAsia"/>
          <w:bCs/>
          <w:sz w:val="24"/>
        </w:rPr>
        <w:t>（2）《基金合同》终止、基金清算；</w:t>
      </w:r>
    </w:p>
    <w:p w14:paraId="317BD39D">
      <w:pPr>
        <w:adjustRightInd w:val="0"/>
        <w:snapToGrid w:val="0"/>
        <w:spacing w:line="360" w:lineRule="auto"/>
        <w:ind w:firstLine="480" w:firstLineChars="200"/>
        <w:rPr>
          <w:bCs/>
          <w:sz w:val="24"/>
        </w:rPr>
      </w:pPr>
      <w:r>
        <w:rPr>
          <w:rFonts w:hint="eastAsia"/>
          <w:bCs/>
          <w:sz w:val="24"/>
        </w:rPr>
        <w:t>（3）转换基金运作方式、基金合并；</w:t>
      </w:r>
    </w:p>
    <w:p w14:paraId="5065407F">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14:paraId="3249E007">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14:paraId="16505B78">
      <w:pPr>
        <w:adjustRightInd w:val="0"/>
        <w:snapToGrid w:val="0"/>
        <w:spacing w:line="360" w:lineRule="auto"/>
        <w:ind w:firstLine="480" w:firstLineChars="200"/>
        <w:rPr>
          <w:bCs/>
          <w:sz w:val="24"/>
        </w:rPr>
      </w:pPr>
      <w:r>
        <w:rPr>
          <w:rFonts w:hint="eastAsia"/>
          <w:bCs/>
          <w:sz w:val="24"/>
        </w:rPr>
        <w:t>（6）基金管理人、基金托管人的法定名称、住所发生变更；</w:t>
      </w:r>
    </w:p>
    <w:p w14:paraId="5888A27E">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14:paraId="03D644EB">
      <w:pPr>
        <w:adjustRightInd w:val="0"/>
        <w:snapToGrid w:val="0"/>
        <w:spacing w:line="360" w:lineRule="auto"/>
        <w:ind w:firstLine="480" w:firstLineChars="200"/>
        <w:rPr>
          <w:bCs/>
          <w:sz w:val="24"/>
        </w:rPr>
      </w:pPr>
      <w:r>
        <w:rPr>
          <w:rFonts w:hint="eastAsia"/>
          <w:bCs/>
          <w:sz w:val="24"/>
        </w:rPr>
        <w:t>（8）基金募集期延长或提前结束募集；</w:t>
      </w:r>
    </w:p>
    <w:p w14:paraId="570FB5A1">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767BCECD">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4CD30D1A">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14:paraId="4D4AAC42">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72F4C038">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223F976">
      <w:pPr>
        <w:adjustRightInd w:val="0"/>
        <w:snapToGrid w:val="0"/>
        <w:spacing w:line="360" w:lineRule="auto"/>
        <w:ind w:firstLine="480" w:firstLineChars="200"/>
        <w:rPr>
          <w:bCs/>
          <w:sz w:val="24"/>
        </w:rPr>
      </w:pPr>
      <w:r>
        <w:rPr>
          <w:rFonts w:hint="eastAsia"/>
          <w:bCs/>
          <w:sz w:val="24"/>
        </w:rPr>
        <w:t>（14）基金收益分配事项；</w:t>
      </w:r>
    </w:p>
    <w:p w14:paraId="1CF7BFF0">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14:paraId="0E674E06">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14:paraId="393D6F40">
      <w:pPr>
        <w:adjustRightInd w:val="0"/>
        <w:snapToGrid w:val="0"/>
        <w:spacing w:line="360" w:lineRule="auto"/>
        <w:ind w:firstLine="480" w:firstLineChars="200"/>
        <w:rPr>
          <w:bCs/>
          <w:sz w:val="24"/>
        </w:rPr>
      </w:pPr>
      <w:r>
        <w:rPr>
          <w:rFonts w:hint="eastAsia"/>
          <w:bCs/>
          <w:sz w:val="24"/>
        </w:rPr>
        <w:t>（17）本基金开始办理申购、赎回；</w:t>
      </w:r>
    </w:p>
    <w:p w14:paraId="792A3831">
      <w:pPr>
        <w:adjustRightInd w:val="0"/>
        <w:snapToGrid w:val="0"/>
        <w:spacing w:line="360" w:lineRule="auto"/>
        <w:ind w:firstLine="480" w:firstLineChars="200"/>
        <w:rPr>
          <w:bCs/>
          <w:sz w:val="24"/>
        </w:rPr>
      </w:pPr>
      <w:r>
        <w:rPr>
          <w:rFonts w:hint="eastAsia"/>
          <w:bCs/>
          <w:sz w:val="24"/>
        </w:rPr>
        <w:t>（18）本基金发生巨额赎回并延期办理；</w:t>
      </w:r>
    </w:p>
    <w:p w14:paraId="433D03D1">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14:paraId="403A82E1">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14:paraId="145CD0B6">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14:paraId="2018CF16">
      <w:pPr>
        <w:adjustRightInd w:val="0"/>
        <w:snapToGrid w:val="0"/>
        <w:spacing w:line="360" w:lineRule="auto"/>
        <w:ind w:firstLine="480" w:firstLineChars="200"/>
        <w:rPr>
          <w:bCs/>
          <w:sz w:val="24"/>
        </w:rPr>
      </w:pPr>
      <w:r>
        <w:rPr>
          <w:rFonts w:hint="eastAsia"/>
          <w:bCs/>
          <w:sz w:val="24"/>
        </w:rPr>
        <w:t>（22）基金管理人采用摆动定价机制进行估值；</w:t>
      </w:r>
    </w:p>
    <w:p w14:paraId="1EF2F733">
      <w:pPr>
        <w:adjustRightInd w:val="0"/>
        <w:snapToGrid w:val="0"/>
        <w:spacing w:line="360" w:lineRule="auto"/>
        <w:ind w:firstLine="480" w:firstLineChars="200"/>
        <w:rPr>
          <w:bCs/>
          <w:sz w:val="24"/>
        </w:rPr>
      </w:pPr>
      <w:r>
        <w:rPr>
          <w:rFonts w:hint="eastAsia"/>
          <w:bCs/>
          <w:sz w:val="24"/>
        </w:rPr>
        <w:t>（23）本基金增加或调整基金份额类别；</w:t>
      </w:r>
    </w:p>
    <w:p w14:paraId="6C5165A7">
      <w:pPr>
        <w:adjustRightInd w:val="0"/>
        <w:snapToGrid w:val="0"/>
        <w:spacing w:line="360" w:lineRule="auto"/>
        <w:ind w:firstLine="480" w:firstLineChars="200"/>
        <w:rPr>
          <w:bCs/>
          <w:sz w:val="24"/>
        </w:rPr>
      </w:pPr>
      <w:r>
        <w:rPr>
          <w:rFonts w:hint="eastAsia"/>
          <w:bCs/>
          <w:sz w:val="24"/>
        </w:rPr>
        <w:t>（24）本基金推出新业务或服务；</w:t>
      </w:r>
    </w:p>
    <w:p w14:paraId="1F4C28A4">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14:paraId="16A61550">
      <w:pPr>
        <w:adjustRightInd w:val="0"/>
        <w:snapToGrid w:val="0"/>
        <w:spacing w:line="360" w:lineRule="auto"/>
        <w:ind w:firstLine="480" w:firstLineChars="200"/>
        <w:rPr>
          <w:sz w:val="24"/>
        </w:rPr>
      </w:pPr>
      <w:r>
        <w:rPr>
          <w:sz w:val="24"/>
        </w:rPr>
        <w:t>8</w:t>
      </w:r>
      <w:r>
        <w:rPr>
          <w:rFonts w:hAnsi="宋体"/>
          <w:sz w:val="24"/>
        </w:rPr>
        <w:t>、澄清公告</w:t>
      </w:r>
    </w:p>
    <w:p w14:paraId="1F0FDDAD">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14:paraId="329029EF">
      <w:pPr>
        <w:adjustRightInd w:val="0"/>
        <w:snapToGrid w:val="0"/>
        <w:spacing w:line="360" w:lineRule="auto"/>
        <w:ind w:firstLine="480" w:firstLineChars="200"/>
        <w:rPr>
          <w:sz w:val="24"/>
        </w:rPr>
      </w:pPr>
      <w:r>
        <w:rPr>
          <w:sz w:val="24"/>
        </w:rPr>
        <w:t>9</w:t>
      </w:r>
      <w:r>
        <w:rPr>
          <w:rFonts w:hAnsi="宋体"/>
          <w:sz w:val="24"/>
        </w:rPr>
        <w:t>、基金份额持有人大会决议</w:t>
      </w:r>
    </w:p>
    <w:p w14:paraId="669E4248">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14:paraId="5D5D6B10">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036EC40">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14:paraId="4F483C64">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14:paraId="51341C06">
      <w:pPr>
        <w:adjustRightInd w:val="0"/>
        <w:snapToGrid w:val="0"/>
        <w:spacing w:line="360" w:lineRule="auto"/>
        <w:ind w:firstLine="480" w:firstLineChars="200"/>
        <w:rPr>
          <w:sz w:val="24"/>
        </w:rPr>
      </w:pPr>
      <w:r>
        <w:rPr>
          <w:rFonts w:hint="eastAsia"/>
          <w:sz w:val="24"/>
        </w:rPr>
        <w:t>11、清算报告</w:t>
      </w:r>
    </w:p>
    <w:p w14:paraId="1840E599">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14:paraId="6FB8BF6C">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14:paraId="6A5A2AC7">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6404B65">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14:paraId="439E3230">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0FC437A">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14:paraId="4D036938">
      <w:pPr>
        <w:adjustRightInd w:val="0"/>
        <w:snapToGrid w:val="0"/>
        <w:spacing w:line="360" w:lineRule="auto"/>
        <w:ind w:firstLine="480" w:firstLineChars="200"/>
        <w:rPr>
          <w:rFonts w:hAnsi="宋体"/>
          <w:sz w:val="24"/>
        </w:rPr>
      </w:pPr>
      <w:r>
        <w:rPr>
          <w:rFonts w:hint="eastAsia"/>
          <w:sz w:val="24"/>
        </w:rPr>
        <w:t>本基金可投资港股通标的股票，基金应当在季度报告、中期报告、年度报告等定期报告和招募说明书（更新）等文件中披露港股通标的股票的投资情况。法律法规或中国证监会另有规定的，从其规定。</w:t>
      </w:r>
    </w:p>
    <w:p w14:paraId="25EEFD4C">
      <w:pPr>
        <w:adjustRightInd w:val="0"/>
        <w:snapToGrid w:val="0"/>
        <w:spacing w:line="360" w:lineRule="auto"/>
        <w:ind w:firstLine="480" w:firstLineChars="200"/>
        <w:rPr>
          <w:sz w:val="24"/>
        </w:rPr>
      </w:pPr>
      <w:r>
        <w:rPr>
          <w:rFonts w:hint="eastAsia" w:hAnsi="宋体"/>
          <w:sz w:val="24"/>
        </w:rPr>
        <w:t>1</w:t>
      </w:r>
      <w:r>
        <w:rPr>
          <w:rFonts w:hAnsi="宋体"/>
          <w:sz w:val="24"/>
        </w:rPr>
        <w:t>5</w:t>
      </w:r>
      <w:r>
        <w:rPr>
          <w:rFonts w:hint="eastAsia" w:hAnsi="宋体"/>
          <w:sz w:val="24"/>
        </w:rPr>
        <w:t>、</w:t>
      </w:r>
      <w:r>
        <w:rPr>
          <w:rFonts w:hAnsi="宋体"/>
          <w:sz w:val="24"/>
        </w:rPr>
        <w:t>中国证监会规定的其他信息</w:t>
      </w:r>
      <w:r>
        <w:rPr>
          <w:rFonts w:hint="eastAsia" w:hAnsi="宋体"/>
          <w:sz w:val="24"/>
        </w:rPr>
        <w:t>。</w:t>
      </w:r>
    </w:p>
    <w:p w14:paraId="4ED3C934">
      <w:pPr>
        <w:adjustRightInd w:val="0"/>
        <w:snapToGrid w:val="0"/>
        <w:spacing w:line="360" w:lineRule="auto"/>
        <w:ind w:firstLine="482" w:firstLineChars="200"/>
        <w:rPr>
          <w:b/>
          <w:bCs/>
          <w:sz w:val="24"/>
        </w:rPr>
      </w:pPr>
      <w:r>
        <w:rPr>
          <w:b/>
          <w:bCs/>
          <w:sz w:val="24"/>
        </w:rPr>
        <w:t>（六）信息披露事务管理</w:t>
      </w:r>
    </w:p>
    <w:p w14:paraId="2A42F817">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14:paraId="271038B4">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14:paraId="6410A1D3">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基金托管人应当按照相关法律法规、中国证监会的规定和《基金合同》的约定，对基金管理人编制的基金资产净值、各类基金份额的基金份额净值、基金份额申购赎回价格、基金定期报告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14:paraId="28A288D5">
      <w:pPr>
        <w:adjustRightInd w:val="0"/>
        <w:snapToGrid w:val="0"/>
        <w:spacing w:line="360" w:lineRule="auto"/>
        <w:ind w:firstLine="480" w:firstLineChars="200"/>
        <w:rPr>
          <w:rFonts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14:paraId="5A6F59D3">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6E324C34">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14:paraId="1C9A2659">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26591B3">
      <w:pPr>
        <w:adjustRightInd w:val="0"/>
        <w:snapToGrid w:val="0"/>
        <w:spacing w:line="360" w:lineRule="auto"/>
        <w:ind w:firstLine="482" w:firstLineChars="200"/>
        <w:rPr>
          <w:b/>
          <w:sz w:val="24"/>
        </w:rPr>
      </w:pPr>
      <w:r>
        <w:rPr>
          <w:rFonts w:hAnsi="宋体"/>
          <w:b/>
          <w:sz w:val="24"/>
        </w:rPr>
        <w:t>（七）信息披露文件的存放与查阅</w:t>
      </w:r>
    </w:p>
    <w:p w14:paraId="36A66C58">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84"/>
    </w:p>
    <w:p w14:paraId="71F4F2A8">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88" w:name="_Toc48122017"/>
      <w:r>
        <w:rPr>
          <w:rFonts w:hint="eastAsia" w:ascii="宋体" w:hAnsi="宋体"/>
          <w:b/>
          <w:kern w:val="0"/>
          <w:sz w:val="30"/>
        </w:rPr>
        <w:t>十六、侧袋机制</w:t>
      </w:r>
      <w:bookmarkEnd w:id="88"/>
    </w:p>
    <w:p w14:paraId="22BE07D8">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（一）侧袋机制的实施条件</w:t>
      </w:r>
    </w:p>
    <w:p w14:paraId="28A52FD7">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D9F1B02">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89" w:name="_Hlk45746268"/>
      <w:r>
        <w:rPr>
          <w:rFonts w:hint="eastAsia" w:hAnsi="宋体"/>
          <w:bCs/>
          <w:sz w:val="24"/>
          <w:szCs w:val="24"/>
        </w:rPr>
        <w:t>并在</w:t>
      </w:r>
      <w:bookmarkStart w:id="90" w:name="_Hlk45746204"/>
      <w:r>
        <w:rPr>
          <w:rFonts w:hint="eastAsia" w:hAnsi="宋体"/>
          <w:bCs/>
          <w:sz w:val="24"/>
          <w:szCs w:val="24"/>
        </w:rPr>
        <w:t>五个工作日内</w:t>
      </w:r>
      <w:bookmarkEnd w:id="89"/>
      <w:bookmarkEnd w:id="90"/>
      <w:r>
        <w:rPr>
          <w:rFonts w:hint="eastAsia" w:hAnsi="宋体"/>
          <w:bCs/>
          <w:sz w:val="24"/>
          <w:szCs w:val="24"/>
        </w:rPr>
        <w:t>聘请</w:t>
      </w:r>
      <w:bookmarkStart w:id="91" w:name="_Hlk45746277"/>
      <w:r>
        <w:rPr>
          <w:rFonts w:hint="eastAsia" w:hAnsi="宋体"/>
          <w:bCs/>
          <w:sz w:val="24"/>
          <w:szCs w:val="24"/>
        </w:rPr>
        <w:t>侧袋机制启用日发表意见且</w:t>
      </w:r>
      <w:bookmarkEnd w:id="91"/>
      <w:r>
        <w:rPr>
          <w:rFonts w:hint="eastAsia" w:hAnsi="宋体"/>
          <w:bCs/>
          <w:sz w:val="24"/>
          <w:szCs w:val="24"/>
        </w:rPr>
        <w:t>符合《中华人民共和国证券法》规定的会计师事务所</w:t>
      </w:r>
      <w:bookmarkStart w:id="92" w:name="_Hlk45746299"/>
      <w:r>
        <w:rPr>
          <w:rFonts w:hint="eastAsia" w:hAnsi="宋体"/>
          <w:bCs/>
          <w:sz w:val="24"/>
          <w:szCs w:val="24"/>
        </w:rPr>
        <w:t>进行审计并披露</w:t>
      </w:r>
      <w:bookmarkEnd w:id="92"/>
      <w:r>
        <w:rPr>
          <w:rFonts w:hint="eastAsia" w:hAnsi="宋体"/>
          <w:bCs/>
          <w:sz w:val="24"/>
          <w:szCs w:val="24"/>
        </w:rPr>
        <w:t>专项审计意见。</w:t>
      </w:r>
    </w:p>
    <w:p w14:paraId="21CEC60A">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（二）实施侧袋机制期间基金份额的申购与赎回</w:t>
      </w:r>
    </w:p>
    <w:p w14:paraId="0B6AE5A3">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57F0BBA">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0AA2F5A">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14:paraId="5C490E8D">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（三）实施侧袋机制期间的基金投资</w:t>
      </w:r>
    </w:p>
    <w:p w14:paraId="526D84C9">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14:paraId="777CE034">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14:paraId="139C7444">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14:paraId="3350E0CD">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（四）实施侧袋机制期间的基金估值</w:t>
      </w:r>
    </w:p>
    <w:p w14:paraId="62BB3F93">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A0B4C99">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（五）实施侧袋账户期间的基金费用</w:t>
      </w:r>
    </w:p>
    <w:p w14:paraId="67EE4108">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1、本基金实施侧袋机制的，管理费、托管费等按主袋账户基金资产净值作为基数计提。</w:t>
      </w:r>
    </w:p>
    <w:p w14:paraId="18FC8800">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14:paraId="1C1771CE">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（六）侧袋账户中特定资产的处置变现和支付</w:t>
      </w:r>
    </w:p>
    <w:p w14:paraId="45F50CBE">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35C33D1B">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BFA70CF">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14:paraId="42A0C399">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（七）侧袋机制的信息披露</w:t>
      </w:r>
    </w:p>
    <w:p w14:paraId="385696C7">
      <w:pPr>
        <w:adjustRightInd w:val="0"/>
        <w:snapToGrid w:val="0"/>
        <w:spacing w:line="360" w:lineRule="auto"/>
        <w:ind w:firstLine="480" w:firstLineChars="200"/>
        <w:rPr>
          <w:rFonts w:hAnsi="宋体"/>
          <w:bCs/>
          <w:sz w:val="24"/>
          <w:szCs w:val="24"/>
        </w:rPr>
      </w:pPr>
      <w:r>
        <w:rPr>
          <w:rFonts w:hint="eastAsia" w:hAnsi="宋体"/>
          <w:bCs/>
          <w:sz w:val="24"/>
          <w:szCs w:val="24"/>
        </w:rPr>
        <w:t>1、临时公告</w:t>
      </w:r>
    </w:p>
    <w:p w14:paraId="633A2DC4">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14:paraId="49256B9C">
      <w:pPr>
        <w:adjustRightInd w:val="0"/>
        <w:snapToGrid w:val="0"/>
        <w:spacing w:line="360" w:lineRule="auto"/>
        <w:ind w:firstLine="480" w:firstLineChars="200"/>
        <w:rPr>
          <w:rFonts w:hAnsi="宋体"/>
          <w:bCs/>
          <w:sz w:val="24"/>
          <w:szCs w:val="24"/>
        </w:rPr>
      </w:pPr>
      <w:r>
        <w:rPr>
          <w:rFonts w:hint="eastAsia" w:hAnsi="宋体"/>
          <w:bCs/>
          <w:sz w:val="24"/>
          <w:szCs w:val="24"/>
        </w:rPr>
        <w:t>2、基金净值信息</w:t>
      </w:r>
    </w:p>
    <w:p w14:paraId="64EF01F8">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6EC2E92B">
      <w:pPr>
        <w:adjustRightInd w:val="0"/>
        <w:snapToGrid w:val="0"/>
        <w:spacing w:line="360" w:lineRule="auto"/>
        <w:ind w:firstLine="480" w:firstLineChars="200"/>
        <w:rPr>
          <w:rFonts w:hAnsi="宋体"/>
          <w:bCs/>
          <w:sz w:val="24"/>
          <w:szCs w:val="24"/>
        </w:rPr>
      </w:pPr>
      <w:r>
        <w:rPr>
          <w:rFonts w:hint="eastAsia" w:hAnsi="宋体"/>
          <w:bCs/>
          <w:sz w:val="24"/>
          <w:szCs w:val="24"/>
        </w:rPr>
        <w:t>3、定期报告</w:t>
      </w:r>
    </w:p>
    <w:p w14:paraId="7C7F4BAF">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93" w:name="_Hlk45747214"/>
      <w:r>
        <w:rPr>
          <w:rFonts w:hint="eastAsia" w:hAnsi="宋体"/>
          <w:bCs/>
          <w:sz w:val="24"/>
          <w:szCs w:val="24"/>
        </w:rPr>
        <w:t>会计师事务所对基金年度报告进行审计时，应对报告期内基金侧袋机制运行相关的会计核算和年度报告披露等发表审计意见。</w:t>
      </w:r>
      <w:bookmarkEnd w:id="93"/>
    </w:p>
    <w:p w14:paraId="02480A27">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p>
    <w:p w14:paraId="4078D280">
      <w:pPr>
        <w:widowControl/>
        <w:adjustRightInd w:val="0"/>
        <w:snapToGrid w:val="0"/>
        <w:spacing w:before="143" w:beforeLines="50" w:after="143" w:afterLines="50" w:line="360" w:lineRule="auto"/>
        <w:jc w:val="center"/>
        <w:outlineLvl w:val="0"/>
        <w:rPr>
          <w:rFonts w:ascii="宋体" w:hAnsi="宋体"/>
          <w:b/>
          <w:kern w:val="0"/>
          <w:sz w:val="30"/>
        </w:rPr>
      </w:pPr>
      <w:bookmarkStart w:id="94" w:name="_Toc48122018"/>
      <w:r>
        <w:rPr>
          <w:rFonts w:hint="eastAsia" w:ascii="宋体" w:hAnsi="宋体"/>
          <w:b/>
          <w:kern w:val="0"/>
          <w:sz w:val="30"/>
        </w:rPr>
        <w:t>十七、风险揭示</w:t>
      </w:r>
      <w:bookmarkEnd w:id="94"/>
    </w:p>
    <w:p w14:paraId="1EF342B6">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5" w:name="_Hlt91150550"/>
      <w:bookmarkEnd w:id="95"/>
      <w:bookmarkStart w:id="96" w:name="_Hlt88901012"/>
      <w:bookmarkEnd w:id="96"/>
      <w:bookmarkStart w:id="97" w:name="_Toc109537396"/>
      <w:r>
        <w:rPr>
          <w:rFonts w:hAnsi="宋体"/>
          <w:sz w:val="24"/>
          <w:szCs w:val="24"/>
        </w:rPr>
        <w:t>生的收益，也可能承担</w:t>
      </w:r>
      <w:bookmarkEnd w:id="97"/>
      <w:r>
        <w:rPr>
          <w:rFonts w:hAnsi="宋体"/>
          <w:sz w:val="24"/>
          <w:szCs w:val="24"/>
        </w:rPr>
        <w:t>基金投资所带来的损失。</w:t>
      </w:r>
    </w:p>
    <w:p w14:paraId="76E64B07">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21BB97A8">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4F8F70E5">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E4FEAF4">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59F09088">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36599CCF">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14:paraId="426507E6">
      <w:pPr>
        <w:adjustRightInd w:val="0"/>
        <w:snapToGrid w:val="0"/>
        <w:spacing w:line="360" w:lineRule="auto"/>
        <w:ind w:firstLine="482"/>
        <w:outlineLvl w:val="1"/>
        <w:rPr>
          <w:b/>
          <w:bCs/>
          <w:sz w:val="24"/>
        </w:rPr>
      </w:pPr>
      <w:r>
        <w:rPr>
          <w:b/>
          <w:bCs/>
          <w:sz w:val="24"/>
        </w:rPr>
        <w:t>（一）市场风险</w:t>
      </w:r>
    </w:p>
    <w:p w14:paraId="27E29F9C">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w:t>
      </w:r>
      <w:r>
        <w:rPr>
          <w:rFonts w:hint="eastAsia" w:hAnsi="宋体"/>
          <w:kern w:val="0"/>
          <w:sz w:val="24"/>
          <w:szCs w:val="24"/>
        </w:rPr>
        <w:t>变化，导致收益水平产生不确定性。市场风险</w:t>
      </w:r>
      <w:r>
        <w:rPr>
          <w:rFonts w:hAnsi="宋体"/>
          <w:kern w:val="0"/>
          <w:sz w:val="24"/>
          <w:szCs w:val="24"/>
        </w:rPr>
        <w:t>要包括：</w:t>
      </w:r>
    </w:p>
    <w:p w14:paraId="7D38335F">
      <w:pPr>
        <w:widowControl/>
        <w:numPr>
          <w:ilvl w:val="0"/>
          <w:numId w:val="2"/>
        </w:numPr>
        <w:adjustRightInd w:val="0"/>
        <w:snapToGrid w:val="0"/>
        <w:spacing w:line="360" w:lineRule="auto"/>
        <w:ind w:firstLine="480" w:firstLineChars="200"/>
        <w:rPr>
          <w:rFonts w:hAnsi="宋体"/>
          <w:kern w:val="0"/>
          <w:sz w:val="24"/>
          <w:szCs w:val="24"/>
        </w:rPr>
      </w:pPr>
      <w:r>
        <w:rPr>
          <w:rFonts w:hAnsi="宋体"/>
          <w:kern w:val="0"/>
          <w:sz w:val="24"/>
          <w:szCs w:val="24"/>
        </w:rPr>
        <w:t>政策风险</w:t>
      </w:r>
    </w:p>
    <w:p w14:paraId="33A04C12">
      <w:pPr>
        <w:widowControl/>
        <w:numPr>
          <w:ilvl w:val="-1"/>
          <w:numId w:val="0"/>
        </w:numPr>
        <w:adjustRightInd w:val="0"/>
        <w:snapToGrid w:val="0"/>
        <w:spacing w:line="360" w:lineRule="auto"/>
        <w:ind w:firstLine="480" w:firstLineChars="200"/>
        <w:rPr>
          <w:kern w:val="0"/>
          <w:sz w:val="24"/>
          <w:szCs w:val="24"/>
        </w:rPr>
      </w:pPr>
      <w:r>
        <w:rPr>
          <w:rFonts w:hAnsi="宋体"/>
          <w:kern w:val="0"/>
          <w:sz w:val="24"/>
          <w:szCs w:val="24"/>
        </w:rPr>
        <w:t>因国家宏观政策（如货币政策、财政政策、行业政策、地区发展政策等）和证券市场监管政策发生变化，导致市场价格波动而产生风险。</w:t>
      </w:r>
    </w:p>
    <w:p w14:paraId="02073884">
      <w:pPr>
        <w:widowControl/>
        <w:numPr>
          <w:ilvl w:val="0"/>
          <w:numId w:val="2"/>
        </w:numPr>
        <w:adjustRightInd w:val="0"/>
        <w:snapToGrid w:val="0"/>
        <w:spacing w:line="360" w:lineRule="auto"/>
        <w:ind w:firstLine="480" w:firstLineChars="200"/>
        <w:rPr>
          <w:rFonts w:hAnsi="宋体"/>
          <w:kern w:val="0"/>
          <w:sz w:val="24"/>
          <w:szCs w:val="24"/>
        </w:rPr>
      </w:pPr>
      <w:r>
        <w:rPr>
          <w:rFonts w:hAnsi="宋体"/>
          <w:kern w:val="0"/>
          <w:sz w:val="24"/>
          <w:szCs w:val="24"/>
        </w:rPr>
        <w:t>经济周期风险</w:t>
      </w:r>
    </w:p>
    <w:p w14:paraId="6C02ECC8">
      <w:pPr>
        <w:widowControl/>
        <w:numPr>
          <w:ilvl w:val="-1"/>
          <w:numId w:val="0"/>
        </w:numPr>
        <w:adjustRightInd w:val="0"/>
        <w:snapToGrid w:val="0"/>
        <w:spacing w:line="360" w:lineRule="auto"/>
        <w:ind w:firstLine="480" w:firstLineChars="200"/>
        <w:rPr>
          <w:kern w:val="0"/>
          <w:sz w:val="24"/>
          <w:szCs w:val="24"/>
        </w:rPr>
      </w:pPr>
      <w:r>
        <w:rPr>
          <w:rFonts w:hAnsi="宋体"/>
          <w:kern w:val="0"/>
          <w:sz w:val="24"/>
          <w:szCs w:val="24"/>
        </w:rPr>
        <w:t>证券市场受宏观经济运行的影响，而经济运行具有周期性的特点，宏观经济运行状况将对证券市场的收益水平产生影响，从而对基金收益造成影响。</w:t>
      </w:r>
    </w:p>
    <w:p w14:paraId="7A969D4B">
      <w:pPr>
        <w:widowControl/>
        <w:numPr>
          <w:ilvl w:val="0"/>
          <w:numId w:val="2"/>
        </w:numPr>
        <w:adjustRightInd w:val="0"/>
        <w:snapToGrid w:val="0"/>
        <w:spacing w:line="360" w:lineRule="auto"/>
        <w:ind w:firstLine="480" w:firstLineChars="200"/>
        <w:rPr>
          <w:rFonts w:hAnsi="宋体"/>
          <w:kern w:val="0"/>
          <w:sz w:val="24"/>
          <w:szCs w:val="24"/>
        </w:rPr>
      </w:pPr>
      <w:r>
        <w:rPr>
          <w:rFonts w:hAnsi="宋体"/>
          <w:kern w:val="0"/>
          <w:sz w:val="24"/>
          <w:szCs w:val="24"/>
        </w:rPr>
        <w:t>利率风险</w:t>
      </w:r>
    </w:p>
    <w:p w14:paraId="29CF608F">
      <w:pPr>
        <w:widowControl/>
        <w:numPr>
          <w:ilvl w:val="-1"/>
          <w:numId w:val="0"/>
        </w:numPr>
        <w:adjustRightInd w:val="0"/>
        <w:snapToGrid w:val="0"/>
        <w:spacing w:line="360" w:lineRule="auto"/>
        <w:ind w:firstLine="480" w:firstLineChars="200"/>
        <w:rPr>
          <w:kern w:val="0"/>
          <w:sz w:val="24"/>
          <w:szCs w:val="24"/>
        </w:rPr>
      </w:pPr>
      <w:r>
        <w:rPr>
          <w:rFonts w:hAnsi="宋体"/>
          <w:kern w:val="0"/>
          <w:sz w:val="24"/>
          <w:szCs w:val="24"/>
        </w:rPr>
        <w:t>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0341DACA">
      <w:pPr>
        <w:widowControl/>
        <w:numPr>
          <w:ilvl w:val="0"/>
          <w:numId w:val="2"/>
        </w:numPr>
        <w:adjustRightInd w:val="0"/>
        <w:snapToGrid w:val="0"/>
        <w:spacing w:line="360" w:lineRule="auto"/>
        <w:ind w:firstLine="480" w:firstLineChars="200"/>
        <w:rPr>
          <w:rFonts w:hAnsi="宋体"/>
          <w:kern w:val="0"/>
          <w:sz w:val="24"/>
          <w:szCs w:val="24"/>
        </w:rPr>
      </w:pPr>
      <w:r>
        <w:rPr>
          <w:rFonts w:hAnsi="宋体"/>
          <w:kern w:val="0"/>
          <w:sz w:val="24"/>
          <w:szCs w:val="24"/>
        </w:rPr>
        <w:t>上市公司经营风险</w:t>
      </w:r>
    </w:p>
    <w:p w14:paraId="24CBCA90">
      <w:pPr>
        <w:widowControl/>
        <w:numPr>
          <w:ilvl w:val="-1"/>
          <w:numId w:val="0"/>
        </w:numPr>
        <w:adjustRightInd w:val="0"/>
        <w:snapToGrid w:val="0"/>
        <w:spacing w:line="360" w:lineRule="auto"/>
        <w:ind w:firstLine="480" w:firstLineChars="200"/>
        <w:rPr>
          <w:kern w:val="0"/>
          <w:sz w:val="24"/>
          <w:szCs w:val="24"/>
        </w:rPr>
      </w:pPr>
      <w:r>
        <w:rPr>
          <w:rFonts w:hAnsi="宋体"/>
          <w:kern w:val="0"/>
          <w:sz w:val="24"/>
          <w:szCs w:val="24"/>
        </w:rPr>
        <w:t>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A9D296D">
      <w:pPr>
        <w:widowControl/>
        <w:numPr>
          <w:ilvl w:val="0"/>
          <w:numId w:val="2"/>
        </w:numPr>
        <w:adjustRightInd w:val="0"/>
        <w:snapToGrid w:val="0"/>
        <w:spacing w:line="360" w:lineRule="auto"/>
        <w:ind w:firstLine="480" w:firstLineChars="200"/>
        <w:rPr>
          <w:rFonts w:hAnsi="宋体"/>
          <w:kern w:val="0"/>
          <w:sz w:val="24"/>
          <w:szCs w:val="24"/>
        </w:rPr>
      </w:pPr>
      <w:r>
        <w:rPr>
          <w:rFonts w:hAnsi="宋体"/>
          <w:kern w:val="0"/>
          <w:sz w:val="24"/>
          <w:szCs w:val="24"/>
        </w:rPr>
        <w:t>购买力风险</w:t>
      </w:r>
    </w:p>
    <w:p w14:paraId="7429EA93">
      <w:pPr>
        <w:widowControl/>
        <w:numPr>
          <w:ilvl w:val="-1"/>
          <w:numId w:val="0"/>
        </w:numPr>
        <w:adjustRightInd w:val="0"/>
        <w:snapToGrid w:val="0"/>
        <w:spacing w:line="360" w:lineRule="auto"/>
        <w:ind w:firstLine="480" w:firstLineChars="200"/>
        <w:rPr>
          <w:kern w:val="0"/>
          <w:sz w:val="24"/>
          <w:szCs w:val="24"/>
        </w:rPr>
      </w:pPr>
      <w:r>
        <w:rPr>
          <w:rFonts w:hAnsi="宋体"/>
          <w:kern w:val="0"/>
          <w:sz w:val="24"/>
          <w:szCs w:val="24"/>
        </w:rPr>
        <w:t>基金投资的目的是基金资产的保值增值，如果发生通货膨胀，基金投资于证券所获得的收益可能会被通货膨胀抵消，从而使基金的实际收益下降，影响基金资产的保值增值。</w:t>
      </w:r>
    </w:p>
    <w:p w14:paraId="4DA2559B">
      <w:pPr>
        <w:adjustRightInd w:val="0"/>
        <w:snapToGrid w:val="0"/>
        <w:spacing w:line="360" w:lineRule="auto"/>
        <w:ind w:firstLine="482"/>
        <w:outlineLvl w:val="1"/>
        <w:rPr>
          <w:b/>
          <w:bCs/>
          <w:sz w:val="24"/>
        </w:rPr>
      </w:pPr>
      <w:r>
        <w:rPr>
          <w:b/>
          <w:bCs/>
          <w:sz w:val="24"/>
        </w:rPr>
        <w:t>（二）管理风险</w:t>
      </w:r>
    </w:p>
    <w:p w14:paraId="41534E76">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0E051551">
      <w:pPr>
        <w:adjustRightInd w:val="0"/>
        <w:snapToGrid w:val="0"/>
        <w:spacing w:line="360" w:lineRule="auto"/>
        <w:ind w:firstLine="482"/>
        <w:outlineLvl w:val="1"/>
        <w:rPr>
          <w:b/>
          <w:bCs/>
          <w:sz w:val="24"/>
        </w:rPr>
      </w:pPr>
      <w:r>
        <w:rPr>
          <w:b/>
          <w:bCs/>
          <w:sz w:val="24"/>
        </w:rPr>
        <w:t>（三）流动性风险</w:t>
      </w:r>
    </w:p>
    <w:p w14:paraId="2B9C09E9">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674C533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1、本基金的申购、赎回安排</w:t>
      </w:r>
    </w:p>
    <w:p w14:paraId="795EEE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p>
    <w:p w14:paraId="227577E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2、投资市场、行业及资产的流动性风险评估</w:t>
      </w:r>
    </w:p>
    <w:p w14:paraId="6184006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证券/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1D4CE98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3、巨额赎回情形下的流动性风险管理措施</w:t>
      </w:r>
    </w:p>
    <w:p w14:paraId="031D2BD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3756C3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032B248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4162E81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45E89E8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57B8A48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14:paraId="7CCD8A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7CA6947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D486B6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4、实施备用的流动性风险管理工具的情形、程序及对投资者的潜在影响</w:t>
      </w:r>
    </w:p>
    <w:p w14:paraId="42C13CC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14:paraId="0E32E6E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6B39221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3EF7ECE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8ECE92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14:paraId="1882075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4FC90D01">
      <w:pPr>
        <w:adjustRightInd w:val="0"/>
        <w:snapToGrid w:val="0"/>
        <w:spacing w:line="360" w:lineRule="auto"/>
        <w:ind w:firstLine="482"/>
        <w:outlineLvl w:val="1"/>
        <w:rPr>
          <w:b/>
          <w:bCs/>
          <w:sz w:val="24"/>
        </w:rPr>
      </w:pPr>
      <w:r>
        <w:rPr>
          <w:b/>
          <w:bCs/>
          <w:sz w:val="24"/>
        </w:rPr>
        <w:t>（四）信用风险</w:t>
      </w:r>
    </w:p>
    <w:p w14:paraId="6C1351CB">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1051EB93">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14:paraId="2F0211D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本基金属于混合型基金，</w:t>
      </w:r>
      <w:r>
        <w:rPr>
          <w:rFonts w:hint="eastAsia" w:hAnsi="宋体"/>
          <w:kern w:val="0"/>
          <w:sz w:val="24"/>
          <w:szCs w:val="24"/>
        </w:rPr>
        <w:t>股票投资（含存托凭证）占基金资产的比例为60%-95%（其中投资于港股通标的股票的比例占股票资产的0%-50%），</w:t>
      </w:r>
      <w:r>
        <w:rPr>
          <w:rFonts w:hint="eastAsia"/>
          <w:bCs/>
          <w:sz w:val="24"/>
        </w:rPr>
        <w:t>投资于消费主题相关股票（含存托凭证）的比例不低于非现金基金资产的80%</w:t>
      </w:r>
      <w:r>
        <w:rPr>
          <w:rFonts w:hint="eastAsia" w:hAnsi="宋体"/>
          <w:kern w:val="0"/>
          <w:sz w:val="24"/>
          <w:szCs w:val="24"/>
        </w:rPr>
        <w:t>。本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71F5CBA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70EC779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3、本基金可投资创业板股票，创业板个股上市后的前五个交易日不设价格涨跌幅限制，第六个交易日开始涨跌幅限制比例为20%。</w:t>
      </w:r>
    </w:p>
    <w:p w14:paraId="54E3FD2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4、投资股指期货的特定风险</w:t>
      </w:r>
    </w:p>
    <w:p w14:paraId="59798519">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04527180">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1</w:t>
      </w:r>
      <w:r>
        <w:rPr>
          <w:rFonts w:hAnsi="宋体"/>
          <w:kern w:val="0"/>
          <w:sz w:val="24"/>
          <w:szCs w:val="24"/>
        </w:rPr>
        <w:t>）市场风险是指由于股指期货价格变动而给投资者带来的风险。市场风险是股指期货投资中最主要的风险。</w:t>
      </w:r>
    </w:p>
    <w:p w14:paraId="45C6B426">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2</w:t>
      </w:r>
      <w:r>
        <w:rPr>
          <w:rFonts w:hAnsi="宋体"/>
          <w:kern w:val="0"/>
          <w:sz w:val="24"/>
          <w:szCs w:val="24"/>
        </w:rPr>
        <w:t>）流动性风险是指由于股指期货合约无法及时变现所带来的风险。</w:t>
      </w:r>
    </w:p>
    <w:p w14:paraId="475604C6">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2EEC2C33">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4</w:t>
      </w:r>
      <w:r>
        <w:rPr>
          <w:rFonts w:hAnsi="宋体"/>
          <w:kern w:val="0"/>
          <w:sz w:val="24"/>
          <w:szCs w:val="24"/>
        </w:rPr>
        <w:t>）保证金风险是指由于无法及时筹措资金满足建立或者维持股指期货合约头寸所要求的保证金而带来的风险。</w:t>
      </w:r>
    </w:p>
    <w:p w14:paraId="0983E82F">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5</w:t>
      </w:r>
      <w:r>
        <w:rPr>
          <w:rFonts w:hAnsi="宋体"/>
          <w:kern w:val="0"/>
          <w:sz w:val="24"/>
          <w:szCs w:val="24"/>
        </w:rPr>
        <w:t>）信用风险是指期货经纪公司违约而产生损失的风险。</w:t>
      </w:r>
    </w:p>
    <w:p w14:paraId="0DEB3E7D">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6</w:t>
      </w:r>
      <w:r>
        <w:rPr>
          <w:rFonts w:hAnsi="宋体"/>
          <w:kern w:val="0"/>
          <w:sz w:val="24"/>
          <w:szCs w:val="24"/>
        </w:rPr>
        <w:t>）操作风险是指由于内部流程的不完善，业务人员出现差错或者疏漏，或者系统出现故障等原因造成损失的风险。</w:t>
      </w:r>
    </w:p>
    <w:p w14:paraId="384CF029">
      <w:pPr>
        <w:widowControl/>
        <w:adjustRightInd w:val="0"/>
        <w:snapToGrid w:val="0"/>
        <w:spacing w:line="360" w:lineRule="auto"/>
        <w:ind w:firstLine="480" w:firstLineChars="200"/>
        <w:rPr>
          <w:rFonts w:hAnsi="宋体"/>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14:paraId="0CFC6E8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5、投资资产支持证券的特定风险</w:t>
      </w:r>
    </w:p>
    <w:p w14:paraId="65B50C1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1D1542F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6、投资流通受限证券的特定风险</w:t>
      </w:r>
    </w:p>
    <w:p w14:paraId="5A76DE1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6EA7F31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7、投资港股通标的股票的特定风险</w:t>
      </w:r>
    </w:p>
    <w:p w14:paraId="153E9C6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14:paraId="18C8E4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14:paraId="5E3FAD4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1519DBB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14:paraId="4693D25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CF863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6F306AD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14:paraId="7D0BFEB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5C50A41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14:paraId="44E1E8D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14:paraId="482F4EC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0FB4C38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w:t>
      </w:r>
      <w:r>
        <w:rPr>
          <w:rFonts w:hint="eastAsia" w:hAnsi="宋体"/>
          <w:kern w:val="0"/>
          <w:sz w:val="24"/>
          <w:szCs w:val="24"/>
          <w:lang w:val="en-US" w:eastAsia="zh-CN"/>
        </w:rPr>
        <w:t>本基金</w:t>
      </w:r>
      <w:r>
        <w:rPr>
          <w:rFonts w:hint="eastAsia" w:hAnsi="宋体"/>
          <w:kern w:val="0"/>
          <w:sz w:val="24"/>
          <w:szCs w:val="24"/>
        </w:rPr>
        <w:t>将面临在暂停服务期间无法进行港股通交易的风险；</w:t>
      </w:r>
    </w:p>
    <w:p w14:paraId="5529783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050DF54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3AE400A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（4）本基金可根据投资策略需要或不同配置地市场环境的变化，选择将部分基金资产投资于港股通标的股票或选择不将基金资产投资于港股通标的股票，基金资产并非必然投资港股通标的股票。</w:t>
      </w:r>
    </w:p>
    <w:p w14:paraId="1E8E7FE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14:paraId="72CCC33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8、投资存托凭证的特定风险</w:t>
      </w:r>
    </w:p>
    <w:p w14:paraId="6779F60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1DD2708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5DB4564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本基金可根据投资策略需要或市场环境的变化，选择将部分基金资产投资于存托凭证或选择不将基金资产投资于存托凭证，基金资产并非必然投资存托凭证。</w:t>
      </w:r>
    </w:p>
    <w:p w14:paraId="0D83A31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9、投资科创板股票的特定风险</w:t>
      </w:r>
    </w:p>
    <w:p w14:paraId="345E890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72C99EE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（1）市场风险</w:t>
      </w:r>
    </w:p>
    <w:p w14:paraId="569E94A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5C2697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p>
    <w:p w14:paraId="37B4981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（2）流动性风险</w:t>
      </w:r>
    </w:p>
    <w:p w14:paraId="5FDCE82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14:paraId="64C250A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（3）退市风险</w:t>
      </w:r>
    </w:p>
    <w:p w14:paraId="3680160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14:paraId="686F936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（4）系统性风险</w:t>
      </w:r>
    </w:p>
    <w:p w14:paraId="7AEBB72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14:paraId="7E10CA7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（5）政策风险</w:t>
      </w:r>
    </w:p>
    <w:p w14:paraId="698B019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14:paraId="54B8900C">
      <w:pPr>
        <w:widowControl/>
        <w:adjustRightInd w:val="0"/>
        <w:snapToGrid w:val="0"/>
        <w:spacing w:line="360" w:lineRule="auto"/>
        <w:ind w:firstLine="480" w:firstLineChars="200"/>
        <w:rPr>
          <w:rFonts w:hAnsi="宋体"/>
          <w:kern w:val="0"/>
          <w:sz w:val="24"/>
          <w:szCs w:val="24"/>
        </w:rPr>
      </w:pPr>
      <w:r>
        <w:rPr>
          <w:rFonts w:hAnsi="宋体"/>
          <w:kern w:val="0"/>
          <w:sz w:val="24"/>
          <w:szCs w:val="24"/>
        </w:rPr>
        <w:t>10</w:t>
      </w:r>
      <w:r>
        <w:rPr>
          <w:rFonts w:hint="eastAsia" w:hAnsi="宋体"/>
          <w:kern w:val="0"/>
          <w:sz w:val="24"/>
          <w:szCs w:val="24"/>
        </w:rPr>
        <w:t>、投资主题集中风险</w:t>
      </w:r>
    </w:p>
    <w:p w14:paraId="66C74A3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本基金主要投资于消费主题相关上市公司，投资标的相对集中有可能会给本基金带来风险。</w:t>
      </w:r>
    </w:p>
    <w:p w14:paraId="1FDA7D63">
      <w:pPr>
        <w:widowControl/>
        <w:adjustRightInd w:val="0"/>
        <w:snapToGrid w:val="0"/>
        <w:spacing w:line="360" w:lineRule="auto"/>
        <w:ind w:firstLine="480" w:firstLineChars="200"/>
        <w:rPr>
          <w:rFonts w:hAnsi="宋体"/>
          <w:kern w:val="0"/>
          <w:sz w:val="24"/>
          <w:szCs w:val="24"/>
        </w:rPr>
      </w:pPr>
      <w:r>
        <w:rPr>
          <w:rFonts w:hAnsi="宋体"/>
          <w:kern w:val="0"/>
          <w:sz w:val="24"/>
          <w:szCs w:val="24"/>
        </w:rPr>
        <w:t>11</w:t>
      </w:r>
      <w:r>
        <w:rPr>
          <w:rFonts w:hint="eastAsia" w:hAnsi="宋体"/>
          <w:kern w:val="0"/>
          <w:sz w:val="24"/>
          <w:szCs w:val="24"/>
        </w:rPr>
        <w:t>、基金合同自动终止风险</w:t>
      </w:r>
    </w:p>
    <w:p w14:paraId="4F9ED92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本基金为发起式基金，《基金合同》生效之日起三年后的对应日，若基金资产净值低于</w:t>
      </w:r>
      <w:r>
        <w:rPr>
          <w:rFonts w:hAnsi="宋体"/>
          <w:kern w:val="0"/>
          <w:sz w:val="24"/>
          <w:szCs w:val="24"/>
        </w:rPr>
        <w:t>2</w:t>
      </w:r>
      <w:r>
        <w:rPr>
          <w:rFonts w:hint="eastAsia" w:hAnsi="宋体"/>
          <w:kern w:val="0"/>
          <w:sz w:val="24"/>
          <w:szCs w:val="24"/>
        </w:rPr>
        <w:t>亿元，基金合同自动终止，且不得通过召开基金份额持有人大会的方式延续《基金合同》期限。因此，投资人可能面临基金合同自动终止的不确定性风险。</w:t>
      </w:r>
    </w:p>
    <w:p w14:paraId="520CE524">
      <w:pPr>
        <w:widowControl/>
        <w:adjustRightInd w:val="0"/>
        <w:snapToGrid w:val="0"/>
        <w:spacing w:line="360" w:lineRule="auto"/>
        <w:ind w:firstLine="482" w:firstLineChars="200"/>
        <w:outlineLvl w:val="1"/>
        <w:rPr>
          <w:rFonts w:hAnsi="宋体"/>
          <w:b/>
          <w:kern w:val="0"/>
          <w:sz w:val="24"/>
          <w:szCs w:val="24"/>
        </w:rPr>
      </w:pPr>
      <w:r>
        <w:rPr>
          <w:rFonts w:hint="eastAsia" w:hAnsi="宋体"/>
          <w:b/>
          <w:kern w:val="0"/>
          <w:sz w:val="24"/>
          <w:szCs w:val="24"/>
        </w:rPr>
        <w:t>（六）</w:t>
      </w:r>
      <w:r>
        <w:rPr>
          <w:rFonts w:hAnsi="宋体"/>
          <w:b/>
          <w:kern w:val="0"/>
          <w:sz w:val="24"/>
          <w:szCs w:val="24"/>
        </w:rPr>
        <w:t>本基金法律文件风险收益特征表述与销售机构基金风险评价可能不一致的风险</w:t>
      </w:r>
    </w:p>
    <w:p w14:paraId="6164516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6D92070B">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（七）其他风险</w:t>
      </w:r>
    </w:p>
    <w:p w14:paraId="17DCF016">
      <w:pPr>
        <w:widowControl/>
        <w:adjustRightInd w:val="0"/>
        <w:snapToGrid w:val="0"/>
        <w:spacing w:line="360" w:lineRule="auto"/>
        <w:ind w:firstLine="480" w:firstLineChars="200"/>
        <w:rPr>
          <w:kern w:val="0"/>
          <w:sz w:val="24"/>
          <w:szCs w:val="24"/>
        </w:rPr>
      </w:pPr>
      <w:r>
        <w:rPr>
          <w:rFonts w:hint="eastAsia"/>
          <w:kern w:val="0"/>
          <w:sz w:val="24"/>
          <w:szCs w:val="24"/>
        </w:rPr>
        <w:t>1、</w:t>
      </w:r>
      <w:r>
        <w:rPr>
          <w:rFonts w:hAnsi="宋体"/>
          <w:kern w:val="0"/>
          <w:sz w:val="24"/>
          <w:szCs w:val="24"/>
        </w:rPr>
        <w:t>因技术因素而产生的风险，如电脑系统不可靠产生的风险；</w:t>
      </w:r>
    </w:p>
    <w:p w14:paraId="7A2E412B">
      <w:pPr>
        <w:widowControl/>
        <w:adjustRightInd w:val="0"/>
        <w:snapToGrid w:val="0"/>
        <w:spacing w:line="360" w:lineRule="auto"/>
        <w:ind w:firstLine="480" w:firstLineChars="200"/>
        <w:rPr>
          <w:kern w:val="0"/>
          <w:sz w:val="24"/>
          <w:szCs w:val="24"/>
        </w:rPr>
      </w:pPr>
      <w:r>
        <w:rPr>
          <w:rFonts w:hint="eastAsia"/>
          <w:kern w:val="0"/>
          <w:sz w:val="24"/>
          <w:szCs w:val="24"/>
        </w:rPr>
        <w:t>2、</w:t>
      </w:r>
      <w:r>
        <w:rPr>
          <w:rFonts w:hAnsi="宋体"/>
          <w:kern w:val="0"/>
          <w:sz w:val="24"/>
          <w:szCs w:val="24"/>
        </w:rPr>
        <w:t>因基金业务快速发展，在制度建设、人员配备、内控制度建立等方面的不完善产生的风险；</w:t>
      </w:r>
    </w:p>
    <w:p w14:paraId="3A7E4A0B">
      <w:pPr>
        <w:widowControl/>
        <w:adjustRightInd w:val="0"/>
        <w:snapToGrid w:val="0"/>
        <w:spacing w:line="360" w:lineRule="auto"/>
        <w:ind w:firstLine="480" w:firstLineChars="200"/>
        <w:rPr>
          <w:kern w:val="0"/>
          <w:sz w:val="24"/>
          <w:szCs w:val="24"/>
        </w:rPr>
      </w:pPr>
      <w:r>
        <w:rPr>
          <w:rFonts w:hint="eastAsia"/>
          <w:kern w:val="0"/>
          <w:sz w:val="24"/>
          <w:szCs w:val="24"/>
        </w:rPr>
        <w:t>3、</w:t>
      </w:r>
      <w:r>
        <w:rPr>
          <w:rFonts w:hAnsi="宋体"/>
          <w:kern w:val="0"/>
          <w:sz w:val="24"/>
          <w:szCs w:val="24"/>
        </w:rPr>
        <w:t>因人为因素而产生的风险、如内幕交易、欺诈行为等产生的风险；</w:t>
      </w:r>
    </w:p>
    <w:p w14:paraId="5AD8588B">
      <w:pPr>
        <w:widowControl/>
        <w:adjustRightInd w:val="0"/>
        <w:snapToGrid w:val="0"/>
        <w:spacing w:line="360" w:lineRule="auto"/>
        <w:ind w:firstLine="480" w:firstLineChars="200"/>
        <w:rPr>
          <w:kern w:val="0"/>
          <w:sz w:val="24"/>
          <w:szCs w:val="24"/>
        </w:rPr>
      </w:pPr>
      <w:r>
        <w:rPr>
          <w:rFonts w:hint="eastAsia"/>
          <w:kern w:val="0"/>
          <w:sz w:val="24"/>
          <w:szCs w:val="24"/>
        </w:rPr>
        <w:t>4、</w:t>
      </w:r>
      <w:r>
        <w:rPr>
          <w:rFonts w:hAnsi="宋体"/>
          <w:kern w:val="0"/>
          <w:sz w:val="24"/>
          <w:szCs w:val="24"/>
        </w:rPr>
        <w:t>对主要业务人员如基金经理的依赖而可能产生的风险；</w:t>
      </w:r>
    </w:p>
    <w:p w14:paraId="00D1684F">
      <w:pPr>
        <w:widowControl/>
        <w:adjustRightInd w:val="0"/>
        <w:snapToGrid w:val="0"/>
        <w:spacing w:line="360" w:lineRule="auto"/>
        <w:ind w:firstLine="480" w:firstLineChars="200"/>
        <w:rPr>
          <w:kern w:val="0"/>
          <w:sz w:val="24"/>
          <w:szCs w:val="24"/>
        </w:rPr>
      </w:pPr>
      <w:r>
        <w:rPr>
          <w:rFonts w:hint="eastAsia"/>
          <w:kern w:val="0"/>
          <w:sz w:val="24"/>
          <w:szCs w:val="24"/>
        </w:rPr>
        <w:t>5、</w:t>
      </w:r>
      <w:r>
        <w:rPr>
          <w:rFonts w:hAnsi="宋体"/>
          <w:kern w:val="0"/>
          <w:sz w:val="24"/>
          <w:szCs w:val="24"/>
        </w:rPr>
        <w:t>因业务竞争压力可能产生的风险；</w:t>
      </w:r>
    </w:p>
    <w:p w14:paraId="387B1A21">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战争、自然灾害等不可抗力可能导致基金财产的损失，影响基金收益水平，从而带来风险；</w:t>
      </w:r>
    </w:p>
    <w:p w14:paraId="702F54F8">
      <w:pPr>
        <w:widowControl/>
        <w:adjustRightInd w:val="0"/>
        <w:snapToGrid w:val="0"/>
        <w:spacing w:line="360" w:lineRule="auto"/>
        <w:ind w:firstLine="480" w:firstLineChars="200"/>
        <w:rPr>
          <w:kern w:val="0"/>
          <w:sz w:val="24"/>
        </w:rPr>
      </w:pPr>
      <w:r>
        <w:rPr>
          <w:rFonts w:hint="eastAsia"/>
          <w:kern w:val="0"/>
          <w:sz w:val="24"/>
          <w:szCs w:val="24"/>
        </w:rPr>
        <w:t>7、</w:t>
      </w:r>
      <w:r>
        <w:rPr>
          <w:rFonts w:hAnsi="宋体"/>
          <w:kern w:val="0"/>
          <w:sz w:val="24"/>
          <w:szCs w:val="24"/>
        </w:rPr>
        <w:t>其他意外导致的风险。</w:t>
      </w:r>
      <w:bookmarkStart w:id="98" w:name="OLE_LINK15"/>
    </w:p>
    <w:p w14:paraId="1F7378CD">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99" w:name="_Toc48122019"/>
      <w:r>
        <w:rPr>
          <w:rFonts w:hint="eastAsia" w:hAnsi="宋体"/>
          <w:b/>
          <w:kern w:val="0"/>
          <w:sz w:val="30"/>
        </w:rPr>
        <w:t>十八</w:t>
      </w:r>
      <w:r>
        <w:rPr>
          <w:rFonts w:hAnsi="宋体"/>
          <w:b/>
          <w:kern w:val="0"/>
          <w:sz w:val="30"/>
        </w:rPr>
        <w:t>、基金合同的变更、终止与基金财</w:t>
      </w:r>
      <w:bookmarkEnd w:id="98"/>
      <w:r>
        <w:rPr>
          <w:rFonts w:hAnsi="宋体"/>
          <w:b/>
          <w:kern w:val="0"/>
          <w:sz w:val="30"/>
        </w:rPr>
        <w:t>产的清算</w:t>
      </w:r>
      <w:bookmarkEnd w:id="99"/>
    </w:p>
    <w:p w14:paraId="0166980C">
      <w:pPr>
        <w:adjustRightInd w:val="0"/>
        <w:snapToGrid w:val="0"/>
        <w:spacing w:line="360" w:lineRule="auto"/>
        <w:ind w:firstLine="482"/>
        <w:outlineLvl w:val="1"/>
        <w:rPr>
          <w:b/>
          <w:bCs/>
          <w:sz w:val="24"/>
        </w:rPr>
      </w:pPr>
      <w:r>
        <w:rPr>
          <w:b/>
          <w:bCs/>
          <w:sz w:val="24"/>
        </w:rPr>
        <w:t>（一）《基金合同》的变更</w:t>
      </w:r>
    </w:p>
    <w:p w14:paraId="6F16F7F1">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4D8E8A18">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14:paraId="67D95D64">
      <w:pPr>
        <w:adjustRightInd w:val="0"/>
        <w:snapToGrid w:val="0"/>
        <w:spacing w:line="360" w:lineRule="auto"/>
        <w:ind w:firstLine="482"/>
        <w:outlineLvl w:val="1"/>
        <w:rPr>
          <w:b/>
          <w:bCs/>
          <w:sz w:val="24"/>
        </w:rPr>
      </w:pPr>
      <w:r>
        <w:rPr>
          <w:b/>
          <w:bCs/>
          <w:sz w:val="24"/>
        </w:rPr>
        <w:t>（二）《基金合同》的终止事由</w:t>
      </w:r>
    </w:p>
    <w:p w14:paraId="6EED941A">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14:paraId="3A2AE3AB">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14:paraId="3F7B295C">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14:paraId="5AE3285B">
      <w:pPr>
        <w:adjustRightInd w:val="0"/>
        <w:snapToGrid w:val="0"/>
        <w:spacing w:line="360" w:lineRule="auto"/>
        <w:ind w:firstLine="480" w:firstLineChars="200"/>
        <w:rPr>
          <w:rFonts w:hAnsi="宋体"/>
          <w:kern w:val="0"/>
          <w:sz w:val="24"/>
        </w:rPr>
      </w:pPr>
      <w:r>
        <w:rPr>
          <w:rFonts w:hint="eastAsia" w:hAnsi="宋体"/>
          <w:kern w:val="0"/>
          <w:sz w:val="24"/>
        </w:rPr>
        <w:t>3、《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2306EC72">
      <w:pPr>
        <w:adjustRightInd w:val="0"/>
        <w:snapToGrid w:val="0"/>
        <w:spacing w:line="360" w:lineRule="auto"/>
        <w:ind w:firstLine="480" w:firstLineChars="200"/>
        <w:rPr>
          <w:rFonts w:hAnsi="宋体"/>
          <w:kern w:val="0"/>
          <w:sz w:val="24"/>
        </w:rPr>
      </w:pPr>
      <w:r>
        <w:rPr>
          <w:rFonts w:hint="eastAsia" w:hAnsi="宋体"/>
          <w:kern w:val="0"/>
          <w:sz w:val="24"/>
        </w:rPr>
        <w:t>4、《基金合同》约定的其他情形；</w:t>
      </w:r>
    </w:p>
    <w:p w14:paraId="5455FCCD">
      <w:pPr>
        <w:adjustRightInd w:val="0"/>
        <w:snapToGrid w:val="0"/>
        <w:spacing w:line="360" w:lineRule="auto"/>
        <w:ind w:firstLine="480" w:firstLineChars="200"/>
        <w:rPr>
          <w:rFonts w:hAnsi="宋体"/>
          <w:kern w:val="0"/>
          <w:sz w:val="24"/>
        </w:rPr>
      </w:pPr>
      <w:r>
        <w:rPr>
          <w:rFonts w:hint="eastAsia" w:hAnsi="宋体"/>
          <w:kern w:val="0"/>
          <w:sz w:val="24"/>
        </w:rPr>
        <w:t>5、相关法律法规和中国证监会规定的其他情况。</w:t>
      </w:r>
    </w:p>
    <w:p w14:paraId="13BCE409">
      <w:pPr>
        <w:adjustRightInd w:val="0"/>
        <w:snapToGrid w:val="0"/>
        <w:spacing w:line="360" w:lineRule="auto"/>
        <w:ind w:firstLine="482"/>
        <w:outlineLvl w:val="1"/>
        <w:rPr>
          <w:b/>
          <w:bCs/>
          <w:sz w:val="24"/>
        </w:rPr>
      </w:pPr>
      <w:r>
        <w:rPr>
          <w:b/>
          <w:bCs/>
          <w:sz w:val="24"/>
        </w:rPr>
        <w:t>（三）基金财产的清算</w:t>
      </w:r>
    </w:p>
    <w:p w14:paraId="3450BD96">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1、基金财产清算小组：自出现《基金合同》终止事由之日起30个工作日内成立基金财产清算小组，基金管理人组织基金财产清算小组并在中国证监会的监督下进行基金清算。</w:t>
      </w:r>
    </w:p>
    <w:p w14:paraId="3357E87E">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14:paraId="47B349EA">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299873EB">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14:paraId="62AF1D79">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14:paraId="6E5E0A8D">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14:paraId="092E9162">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14:paraId="47ABB055">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14:paraId="3D128E18">
      <w:pPr>
        <w:adjustRightInd w:val="0"/>
        <w:snapToGrid w:val="0"/>
        <w:spacing w:line="360" w:lineRule="auto"/>
        <w:ind w:firstLine="480" w:firstLineChars="200"/>
        <w:rPr>
          <w:rFonts w:hAnsi="宋体"/>
          <w:kern w:val="0"/>
          <w:sz w:val="24"/>
        </w:rPr>
      </w:pPr>
      <w:r>
        <w:rPr>
          <w:rFonts w:hint="eastAsia" w:hAnsi="宋体"/>
          <w:kern w:val="0"/>
          <w:sz w:val="24"/>
        </w:rPr>
        <w:t>（5）聘请符合《中华人民共和国证券法》规定的会计师事务所对清算报告进行外部审计，聘请律师事务所对清算报告出具法律意见书；</w:t>
      </w:r>
    </w:p>
    <w:p w14:paraId="65951641">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14:paraId="0692DA81">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14:paraId="42B3A401">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14:paraId="3F474B5D">
      <w:pPr>
        <w:adjustRightInd w:val="0"/>
        <w:snapToGrid w:val="0"/>
        <w:spacing w:line="360" w:lineRule="auto"/>
        <w:ind w:firstLine="482"/>
        <w:outlineLvl w:val="1"/>
        <w:rPr>
          <w:b/>
          <w:bCs/>
          <w:sz w:val="24"/>
        </w:rPr>
      </w:pPr>
      <w:r>
        <w:rPr>
          <w:b/>
          <w:bCs/>
          <w:sz w:val="24"/>
        </w:rPr>
        <w:t>（四）清算费用</w:t>
      </w:r>
    </w:p>
    <w:p w14:paraId="0C2CD7D4">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14:paraId="2E685FF5">
      <w:pPr>
        <w:adjustRightInd w:val="0"/>
        <w:snapToGrid w:val="0"/>
        <w:spacing w:line="360" w:lineRule="auto"/>
        <w:ind w:firstLine="482"/>
        <w:outlineLvl w:val="1"/>
        <w:rPr>
          <w:b/>
          <w:bCs/>
          <w:sz w:val="24"/>
        </w:rPr>
      </w:pPr>
      <w:r>
        <w:rPr>
          <w:b/>
          <w:bCs/>
          <w:sz w:val="24"/>
        </w:rPr>
        <w:t>（五）基金财产清算剩余资产的分配</w:t>
      </w:r>
    </w:p>
    <w:p w14:paraId="4B6661E6">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09FFD6F0">
      <w:pPr>
        <w:adjustRightInd w:val="0"/>
        <w:snapToGrid w:val="0"/>
        <w:spacing w:line="360" w:lineRule="auto"/>
        <w:ind w:firstLine="480" w:firstLineChars="200"/>
        <w:rPr>
          <w:rFonts w:hAnsi="宋体"/>
          <w:kern w:val="0"/>
          <w:sz w:val="24"/>
        </w:rPr>
      </w:pPr>
      <w:r>
        <w:rPr>
          <w:rFonts w:hint="eastAsia" w:hAnsi="宋体"/>
          <w:kern w:val="0"/>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16AA46DB">
      <w:pPr>
        <w:adjustRightInd w:val="0"/>
        <w:snapToGrid w:val="0"/>
        <w:spacing w:line="360" w:lineRule="auto"/>
        <w:ind w:firstLine="482"/>
        <w:outlineLvl w:val="1"/>
        <w:rPr>
          <w:b/>
          <w:bCs/>
          <w:sz w:val="24"/>
        </w:rPr>
      </w:pPr>
      <w:r>
        <w:rPr>
          <w:b/>
          <w:bCs/>
          <w:sz w:val="24"/>
        </w:rPr>
        <w:t>（六）基金财产清算的公告</w:t>
      </w:r>
    </w:p>
    <w:p w14:paraId="0C4AD73C">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14:paraId="0A7755E2">
      <w:pPr>
        <w:adjustRightInd w:val="0"/>
        <w:snapToGrid w:val="0"/>
        <w:spacing w:line="360" w:lineRule="auto"/>
        <w:ind w:firstLine="482"/>
        <w:outlineLvl w:val="1"/>
        <w:rPr>
          <w:b/>
          <w:bCs/>
          <w:sz w:val="24"/>
        </w:rPr>
      </w:pPr>
      <w:r>
        <w:rPr>
          <w:b/>
          <w:bCs/>
          <w:sz w:val="24"/>
        </w:rPr>
        <w:t>（七）基金财产清算账册及文件的保存</w:t>
      </w:r>
    </w:p>
    <w:p w14:paraId="54CB5877">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14:paraId="78FD1D7D">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0" w:name="_Toc48122020"/>
      <w:r>
        <w:rPr>
          <w:rFonts w:hint="eastAsia" w:ascii="宋体" w:hAnsi="宋体"/>
          <w:b/>
          <w:kern w:val="0"/>
          <w:sz w:val="30"/>
        </w:rPr>
        <w:t>十九、基金合同内容摘要</w:t>
      </w:r>
      <w:bookmarkEnd w:id="100"/>
    </w:p>
    <w:p w14:paraId="45EE7FBE">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47E6E925">
      <w:pPr>
        <w:adjustRightInd w:val="0"/>
        <w:snapToGrid w:val="0"/>
        <w:spacing w:line="360" w:lineRule="auto"/>
        <w:ind w:firstLine="480" w:firstLineChars="200"/>
        <w:rPr>
          <w:bCs/>
          <w:sz w:val="24"/>
        </w:rPr>
      </w:pPr>
      <w:r>
        <w:rPr>
          <w:bCs/>
          <w:sz w:val="24"/>
        </w:rPr>
        <w:t>1、基金管理人的权利与义务</w:t>
      </w:r>
    </w:p>
    <w:p w14:paraId="43167168">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14:paraId="1B980C5D">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14:paraId="631E722D">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14:paraId="14F72784">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14:paraId="486D453E">
      <w:pPr>
        <w:adjustRightInd w:val="0"/>
        <w:snapToGrid w:val="0"/>
        <w:spacing w:line="360" w:lineRule="auto"/>
        <w:ind w:firstLine="480" w:firstLineChars="200"/>
        <w:rPr>
          <w:bCs/>
          <w:sz w:val="24"/>
        </w:rPr>
      </w:pPr>
      <w:r>
        <w:rPr>
          <w:bCs/>
          <w:sz w:val="24"/>
        </w:rPr>
        <w:t>（4）销售基金份额；</w:t>
      </w:r>
    </w:p>
    <w:p w14:paraId="1BE4E5CE">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2761F985">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5846EFAE">
      <w:pPr>
        <w:adjustRightInd w:val="0"/>
        <w:snapToGrid w:val="0"/>
        <w:spacing w:line="360" w:lineRule="auto"/>
        <w:ind w:firstLine="480" w:firstLineChars="200"/>
        <w:rPr>
          <w:bCs/>
          <w:sz w:val="24"/>
        </w:rPr>
      </w:pPr>
      <w:r>
        <w:rPr>
          <w:bCs/>
          <w:sz w:val="24"/>
        </w:rPr>
        <w:t>（7）在基金托管人更换时，提名新的基金托管人；</w:t>
      </w:r>
    </w:p>
    <w:p w14:paraId="1A41DBB6">
      <w:pPr>
        <w:adjustRightInd w:val="0"/>
        <w:snapToGrid w:val="0"/>
        <w:spacing w:line="360" w:lineRule="auto"/>
        <w:ind w:firstLine="480" w:firstLineChars="200"/>
        <w:rPr>
          <w:bCs/>
          <w:sz w:val="24"/>
        </w:rPr>
      </w:pPr>
      <w:r>
        <w:rPr>
          <w:bCs/>
          <w:sz w:val="24"/>
        </w:rPr>
        <w:t>（8）选择、更换基金销售机构，对基金销售机构的相关行为进行监督和处理；</w:t>
      </w:r>
    </w:p>
    <w:p w14:paraId="1E2AA369">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14:paraId="5CBAF711">
      <w:pPr>
        <w:adjustRightInd w:val="0"/>
        <w:snapToGrid w:val="0"/>
        <w:spacing w:line="360" w:lineRule="auto"/>
        <w:ind w:firstLine="480" w:firstLineChars="200"/>
        <w:rPr>
          <w:bCs/>
          <w:sz w:val="24"/>
        </w:rPr>
      </w:pPr>
      <w:r>
        <w:rPr>
          <w:bCs/>
          <w:sz w:val="24"/>
        </w:rPr>
        <w:t>（10）依据《基金合同》及有关法律规定决定基金收益的分配方案；</w:t>
      </w:r>
    </w:p>
    <w:p w14:paraId="5E3E5B99">
      <w:pPr>
        <w:adjustRightInd w:val="0"/>
        <w:snapToGrid w:val="0"/>
        <w:spacing w:line="360" w:lineRule="auto"/>
        <w:ind w:firstLine="480" w:firstLineChars="200"/>
        <w:rPr>
          <w:bCs/>
          <w:sz w:val="24"/>
        </w:rPr>
      </w:pPr>
      <w:r>
        <w:rPr>
          <w:bCs/>
          <w:sz w:val="24"/>
        </w:rPr>
        <w:t>（11）在《基金合同》约定的范围内，拒绝或暂停受理申购与赎回申请；</w:t>
      </w:r>
    </w:p>
    <w:p w14:paraId="02B545F2">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14:paraId="324EDA81">
      <w:pPr>
        <w:adjustRightInd w:val="0"/>
        <w:snapToGrid w:val="0"/>
        <w:spacing w:line="360" w:lineRule="auto"/>
        <w:ind w:firstLine="480" w:firstLineChars="200"/>
        <w:rPr>
          <w:bCs/>
          <w:sz w:val="24"/>
        </w:rPr>
      </w:pPr>
      <w:r>
        <w:rPr>
          <w:bCs/>
          <w:sz w:val="24"/>
        </w:rPr>
        <w:t>（13）在法律法规允许的前提下，为基金的利益依法为基金进行融资；</w:t>
      </w:r>
    </w:p>
    <w:p w14:paraId="489C6ED8">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14:paraId="043666F2">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14:paraId="6777061E">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6B6215CA">
      <w:pPr>
        <w:adjustRightInd w:val="0"/>
        <w:snapToGrid w:val="0"/>
        <w:spacing w:line="360" w:lineRule="auto"/>
        <w:ind w:firstLine="480" w:firstLineChars="200"/>
        <w:rPr>
          <w:bCs/>
          <w:sz w:val="24"/>
        </w:rPr>
      </w:pPr>
      <w:r>
        <w:rPr>
          <w:bCs/>
          <w:sz w:val="24"/>
        </w:rPr>
        <w:t>（17）法律法规及中国证监会规定的和《基金合同》约定的其他权利。</w:t>
      </w:r>
    </w:p>
    <w:p w14:paraId="11F543E0">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14:paraId="333C357F">
      <w:pPr>
        <w:adjustRightInd w:val="0"/>
        <w:snapToGrid w:val="0"/>
        <w:spacing w:line="360" w:lineRule="auto"/>
        <w:ind w:firstLine="480" w:firstLineChars="200"/>
        <w:rPr>
          <w:bCs/>
          <w:sz w:val="24"/>
        </w:rPr>
      </w:pPr>
      <w:bookmarkStart w:id="101" w:name="_Hlt88897298"/>
      <w:bookmarkEnd w:id="101"/>
      <w:r>
        <w:rPr>
          <w:rFonts w:hint="eastAsia"/>
          <w:bCs/>
          <w:sz w:val="24"/>
        </w:rPr>
        <w:t>（1）依法募集资金，办理或者委托经中国证监会认定的其他机构办理基金份额的发售、申购、赎回和登记事宜；</w:t>
      </w:r>
    </w:p>
    <w:p w14:paraId="52834405">
      <w:pPr>
        <w:adjustRightInd w:val="0"/>
        <w:snapToGrid w:val="0"/>
        <w:spacing w:line="360" w:lineRule="auto"/>
        <w:ind w:firstLine="480" w:firstLineChars="200"/>
        <w:rPr>
          <w:bCs/>
          <w:sz w:val="24"/>
        </w:rPr>
      </w:pPr>
      <w:r>
        <w:rPr>
          <w:rFonts w:hint="eastAsia"/>
          <w:bCs/>
          <w:sz w:val="24"/>
        </w:rPr>
        <w:t>（2）办理基金备案手续；</w:t>
      </w:r>
    </w:p>
    <w:p w14:paraId="360EC30A">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14:paraId="171646B1">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14:paraId="18169E3B">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14:paraId="7774976F">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14:paraId="6C88CA84">
      <w:pPr>
        <w:adjustRightInd w:val="0"/>
        <w:snapToGrid w:val="0"/>
        <w:spacing w:line="360" w:lineRule="auto"/>
        <w:ind w:firstLine="480" w:firstLineChars="200"/>
        <w:rPr>
          <w:bCs/>
          <w:sz w:val="24"/>
        </w:rPr>
      </w:pPr>
      <w:r>
        <w:rPr>
          <w:rFonts w:hint="eastAsia"/>
          <w:bCs/>
          <w:sz w:val="24"/>
        </w:rPr>
        <w:t>（7）依法接受基金托管人的监督；</w:t>
      </w:r>
    </w:p>
    <w:p w14:paraId="72280FF5">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14:paraId="1D20A68D">
      <w:pPr>
        <w:adjustRightInd w:val="0"/>
        <w:snapToGrid w:val="0"/>
        <w:spacing w:line="360" w:lineRule="auto"/>
        <w:ind w:firstLine="480" w:firstLineChars="200"/>
        <w:rPr>
          <w:bCs/>
          <w:sz w:val="24"/>
        </w:rPr>
      </w:pPr>
      <w:r>
        <w:rPr>
          <w:rFonts w:hint="eastAsia"/>
          <w:bCs/>
          <w:sz w:val="24"/>
        </w:rPr>
        <w:t>（9）进行基金会计核算并编制基金财务会计报告；</w:t>
      </w:r>
    </w:p>
    <w:p w14:paraId="1CD2E640">
      <w:pPr>
        <w:adjustRightInd w:val="0"/>
        <w:snapToGrid w:val="0"/>
        <w:spacing w:line="360" w:lineRule="auto"/>
        <w:ind w:firstLine="480" w:firstLineChars="200"/>
        <w:rPr>
          <w:bCs/>
          <w:sz w:val="24"/>
        </w:rPr>
      </w:pPr>
      <w:r>
        <w:rPr>
          <w:rFonts w:hint="eastAsia"/>
          <w:bCs/>
          <w:sz w:val="24"/>
        </w:rPr>
        <w:t>（10）编制季度报告、中期报告和年度报告；</w:t>
      </w:r>
    </w:p>
    <w:p w14:paraId="48BC6F46">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14:paraId="2CF3C6DB">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14:paraId="6C47891C">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14:paraId="6B501708">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14:paraId="62E2B987">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14:paraId="2CBDA05D">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14:paraId="03B897A3">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E51BB17">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14:paraId="014452FB">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14:paraId="63583EB2">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14:paraId="07BFE878">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14:paraId="4935A87C">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14:paraId="610EE041">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14:paraId="5029A171">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6714F65F">
      <w:pPr>
        <w:adjustRightInd w:val="0"/>
        <w:snapToGrid w:val="0"/>
        <w:spacing w:line="360" w:lineRule="auto"/>
        <w:ind w:firstLine="480" w:firstLineChars="200"/>
        <w:rPr>
          <w:bCs/>
          <w:sz w:val="24"/>
        </w:rPr>
      </w:pPr>
      <w:r>
        <w:rPr>
          <w:rFonts w:hint="eastAsia"/>
          <w:bCs/>
          <w:sz w:val="24"/>
        </w:rPr>
        <w:t>（25）执行生效的基金份额持有人大会的决议；</w:t>
      </w:r>
    </w:p>
    <w:p w14:paraId="174DD5C6">
      <w:pPr>
        <w:adjustRightInd w:val="0"/>
        <w:snapToGrid w:val="0"/>
        <w:spacing w:line="360" w:lineRule="auto"/>
        <w:ind w:firstLine="480" w:firstLineChars="200"/>
        <w:rPr>
          <w:bCs/>
          <w:sz w:val="24"/>
        </w:rPr>
      </w:pPr>
      <w:r>
        <w:rPr>
          <w:rFonts w:hint="eastAsia"/>
          <w:bCs/>
          <w:sz w:val="24"/>
        </w:rPr>
        <w:t>（26）建立并保存基金份额持有人名册；</w:t>
      </w:r>
    </w:p>
    <w:p w14:paraId="5AD4B51A">
      <w:pPr>
        <w:adjustRightInd w:val="0"/>
        <w:snapToGrid w:val="0"/>
        <w:spacing w:line="360" w:lineRule="auto"/>
        <w:ind w:firstLine="480" w:firstLineChars="200"/>
        <w:rPr>
          <w:bCs/>
          <w:sz w:val="24"/>
        </w:rPr>
      </w:pPr>
      <w:r>
        <w:rPr>
          <w:rFonts w:hint="eastAsia"/>
          <w:bCs/>
          <w:sz w:val="24"/>
        </w:rPr>
        <w:t>（27）法律法规及中国证监会规定的和《基金合同》约定的其他义务。</w:t>
      </w:r>
    </w:p>
    <w:p w14:paraId="36EA48FC">
      <w:pPr>
        <w:adjustRightInd w:val="0"/>
        <w:snapToGrid w:val="0"/>
        <w:spacing w:line="360" w:lineRule="auto"/>
        <w:ind w:firstLine="480" w:firstLineChars="200"/>
        <w:rPr>
          <w:bCs/>
          <w:sz w:val="24"/>
        </w:rPr>
      </w:pPr>
      <w:r>
        <w:rPr>
          <w:bCs/>
          <w:sz w:val="24"/>
        </w:rPr>
        <w:t>2、基金托管人的权利与义务</w:t>
      </w:r>
    </w:p>
    <w:p w14:paraId="3FF0A861">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14:paraId="72F7F657">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14:paraId="0E568552">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14:paraId="0AEFE00B">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9406ED">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14:paraId="4541625A">
      <w:pPr>
        <w:adjustRightInd w:val="0"/>
        <w:snapToGrid w:val="0"/>
        <w:spacing w:line="360" w:lineRule="auto"/>
        <w:ind w:firstLine="480" w:firstLineChars="200"/>
        <w:rPr>
          <w:bCs/>
          <w:sz w:val="24"/>
        </w:rPr>
      </w:pPr>
      <w:r>
        <w:rPr>
          <w:rFonts w:hint="eastAsia"/>
          <w:bCs/>
          <w:sz w:val="24"/>
        </w:rPr>
        <w:t>（5）提议召开或召集基金份额持有人大会；</w:t>
      </w:r>
    </w:p>
    <w:p w14:paraId="076D0C70">
      <w:pPr>
        <w:adjustRightInd w:val="0"/>
        <w:snapToGrid w:val="0"/>
        <w:spacing w:line="360" w:lineRule="auto"/>
        <w:ind w:firstLine="480" w:firstLineChars="200"/>
        <w:rPr>
          <w:bCs/>
          <w:sz w:val="24"/>
        </w:rPr>
      </w:pPr>
      <w:r>
        <w:rPr>
          <w:rFonts w:hint="eastAsia"/>
          <w:bCs/>
          <w:sz w:val="24"/>
        </w:rPr>
        <w:t>（6）在基金管理人更换时，提名新的基金管理人；</w:t>
      </w:r>
    </w:p>
    <w:p w14:paraId="1679FE34">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14:paraId="187BA6F6">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14:paraId="483EC598">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14:paraId="135A7276">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14:paraId="293AADE3">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AE1523">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14:paraId="292FE5C8">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14:paraId="7B20DE7C">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14:paraId="4F89C111">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25143CDE">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14:paraId="4C4244F0">
      <w:pPr>
        <w:adjustRightInd w:val="0"/>
        <w:snapToGrid w:val="0"/>
        <w:spacing w:line="360" w:lineRule="auto"/>
        <w:ind w:firstLine="480" w:firstLineChars="200"/>
        <w:rPr>
          <w:bCs/>
          <w:sz w:val="24"/>
        </w:rPr>
      </w:pPr>
      <w:r>
        <w:rPr>
          <w:rFonts w:hint="eastAsia"/>
          <w:bCs/>
          <w:sz w:val="24"/>
        </w:rPr>
        <w:t>（9）办理与基金托管业务活动有关的信息披露事项；</w:t>
      </w:r>
    </w:p>
    <w:p w14:paraId="00BE51F1">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384A338">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14:paraId="4035876F">
      <w:pPr>
        <w:adjustRightInd w:val="0"/>
        <w:snapToGrid w:val="0"/>
        <w:spacing w:line="360" w:lineRule="auto"/>
        <w:ind w:firstLine="480" w:firstLineChars="200"/>
        <w:rPr>
          <w:bCs/>
          <w:sz w:val="24"/>
        </w:rPr>
      </w:pPr>
      <w:r>
        <w:rPr>
          <w:rFonts w:hint="eastAsia"/>
          <w:bCs/>
          <w:sz w:val="24"/>
        </w:rPr>
        <w:t>（12）建立并保存基金份额持有人名册；</w:t>
      </w:r>
    </w:p>
    <w:p w14:paraId="3C368352">
      <w:pPr>
        <w:adjustRightInd w:val="0"/>
        <w:snapToGrid w:val="0"/>
        <w:spacing w:line="360" w:lineRule="auto"/>
        <w:ind w:firstLine="480" w:firstLineChars="200"/>
        <w:rPr>
          <w:bCs/>
          <w:sz w:val="24"/>
        </w:rPr>
      </w:pPr>
      <w:r>
        <w:rPr>
          <w:rFonts w:hint="eastAsia"/>
          <w:bCs/>
          <w:sz w:val="24"/>
        </w:rPr>
        <w:t>（13）按规定制作相关账册并与基金管理人核对；</w:t>
      </w:r>
    </w:p>
    <w:p w14:paraId="0D88E983">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14:paraId="4E0D814A">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14:paraId="3C29290B">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14:paraId="787F4ABD">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14:paraId="6DE23EB6">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14:paraId="0319978F">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14:paraId="10BA4FB4">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14:paraId="7DA7E923">
      <w:pPr>
        <w:adjustRightInd w:val="0"/>
        <w:snapToGrid w:val="0"/>
        <w:spacing w:line="360" w:lineRule="auto"/>
        <w:ind w:firstLine="480" w:firstLineChars="200"/>
        <w:rPr>
          <w:bCs/>
          <w:sz w:val="24"/>
        </w:rPr>
      </w:pPr>
      <w:r>
        <w:rPr>
          <w:rFonts w:hint="eastAsia"/>
          <w:bCs/>
          <w:sz w:val="24"/>
        </w:rPr>
        <w:t>（21）执行生效的基金份额持有人大会的决议；</w:t>
      </w:r>
    </w:p>
    <w:p w14:paraId="1E42872D">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14:paraId="2DDCEAAE">
      <w:pPr>
        <w:adjustRightInd w:val="0"/>
        <w:snapToGrid w:val="0"/>
        <w:spacing w:line="360" w:lineRule="auto"/>
        <w:ind w:firstLine="480" w:firstLineChars="200"/>
        <w:rPr>
          <w:bCs/>
          <w:sz w:val="24"/>
        </w:rPr>
      </w:pPr>
      <w:r>
        <w:rPr>
          <w:rFonts w:hint="eastAsia"/>
          <w:bCs/>
          <w:sz w:val="24"/>
        </w:rPr>
        <w:t>3、托管人不承担以下职责：</w:t>
      </w:r>
    </w:p>
    <w:p w14:paraId="0C283C88">
      <w:pPr>
        <w:adjustRightInd w:val="0"/>
        <w:snapToGrid w:val="0"/>
        <w:spacing w:line="360" w:lineRule="auto"/>
        <w:ind w:firstLine="480" w:firstLineChars="200"/>
        <w:rPr>
          <w:bCs/>
          <w:sz w:val="24"/>
        </w:rPr>
      </w:pPr>
      <w:r>
        <w:rPr>
          <w:rFonts w:hint="eastAsia"/>
          <w:bCs/>
          <w:sz w:val="24"/>
        </w:rPr>
        <w:t>（1）承担托管产品财产的信用风险、市场风险等；</w:t>
      </w:r>
    </w:p>
    <w:p w14:paraId="04E3957E">
      <w:pPr>
        <w:adjustRightInd w:val="0"/>
        <w:snapToGrid w:val="0"/>
        <w:spacing w:line="360" w:lineRule="auto"/>
        <w:ind w:firstLine="480" w:firstLineChars="200"/>
        <w:rPr>
          <w:bCs/>
          <w:sz w:val="24"/>
        </w:rPr>
      </w:pPr>
      <w:r>
        <w:rPr>
          <w:rFonts w:hint="eastAsia"/>
          <w:bCs/>
          <w:sz w:val="24"/>
        </w:rPr>
        <w:t>（2）为托管产品提供直接或间接、显性或隐性担保，包括承诺本金或保证收益；</w:t>
      </w:r>
    </w:p>
    <w:p w14:paraId="2B6E7C7C">
      <w:pPr>
        <w:adjustRightInd w:val="0"/>
        <w:snapToGrid w:val="0"/>
        <w:spacing w:line="360" w:lineRule="auto"/>
        <w:ind w:firstLine="480" w:firstLineChars="200"/>
        <w:rPr>
          <w:bCs/>
          <w:sz w:val="24"/>
        </w:rPr>
      </w:pPr>
      <w:r>
        <w:rPr>
          <w:rFonts w:hint="eastAsia"/>
          <w:bCs/>
          <w:sz w:val="24"/>
        </w:rPr>
        <w:t>（3）为托管产品垫付资金、提供流动性支持或融资承诺等；</w:t>
      </w:r>
    </w:p>
    <w:p w14:paraId="5E328156">
      <w:pPr>
        <w:adjustRightInd w:val="0"/>
        <w:snapToGrid w:val="0"/>
        <w:spacing w:line="360" w:lineRule="auto"/>
        <w:ind w:firstLine="480" w:firstLineChars="200"/>
        <w:rPr>
          <w:bCs/>
          <w:sz w:val="24"/>
        </w:rPr>
      </w:pPr>
      <w:r>
        <w:rPr>
          <w:rFonts w:hint="eastAsia"/>
          <w:bCs/>
          <w:sz w:val="24"/>
        </w:rPr>
        <w:t xml:space="preserve">（4）参与投资者适当性管理； </w:t>
      </w:r>
    </w:p>
    <w:p w14:paraId="3FD874DE">
      <w:pPr>
        <w:adjustRightInd w:val="0"/>
        <w:snapToGrid w:val="0"/>
        <w:spacing w:line="360" w:lineRule="auto"/>
        <w:ind w:firstLine="480" w:firstLineChars="200"/>
        <w:rPr>
          <w:bCs/>
          <w:sz w:val="24"/>
        </w:rPr>
      </w:pPr>
      <w:r>
        <w:rPr>
          <w:rFonts w:hint="eastAsia"/>
          <w:bCs/>
          <w:sz w:val="24"/>
        </w:rPr>
        <w:t xml:space="preserve">（5）保证投资项目及交易信息真实性； </w:t>
      </w:r>
    </w:p>
    <w:p w14:paraId="5819F787">
      <w:pPr>
        <w:adjustRightInd w:val="0"/>
        <w:snapToGrid w:val="0"/>
        <w:spacing w:line="360" w:lineRule="auto"/>
        <w:ind w:firstLine="480" w:firstLineChars="200"/>
        <w:rPr>
          <w:bCs/>
          <w:sz w:val="24"/>
        </w:rPr>
      </w:pPr>
      <w:r>
        <w:rPr>
          <w:rFonts w:hint="eastAsia"/>
          <w:bCs/>
          <w:sz w:val="24"/>
        </w:rPr>
        <w:t>（6）保证托管产品资金来源的合法合规性；</w:t>
      </w:r>
    </w:p>
    <w:p w14:paraId="38540F47">
      <w:pPr>
        <w:adjustRightInd w:val="0"/>
        <w:snapToGrid w:val="0"/>
        <w:spacing w:line="360" w:lineRule="auto"/>
        <w:ind w:firstLine="480" w:firstLineChars="200"/>
        <w:rPr>
          <w:bCs/>
          <w:sz w:val="24"/>
        </w:rPr>
      </w:pPr>
      <w:r>
        <w:rPr>
          <w:rFonts w:hint="eastAsia"/>
          <w:bCs/>
          <w:sz w:val="24"/>
        </w:rPr>
        <w:t>（7）对已划出托管账户以及处于托管人实际控制之外的资产承担保管责任；</w:t>
      </w:r>
    </w:p>
    <w:p w14:paraId="0262F431">
      <w:pPr>
        <w:adjustRightInd w:val="0"/>
        <w:snapToGrid w:val="0"/>
        <w:spacing w:line="360" w:lineRule="auto"/>
        <w:ind w:firstLine="480" w:firstLineChars="200"/>
        <w:rPr>
          <w:bCs/>
          <w:sz w:val="24"/>
        </w:rPr>
      </w:pPr>
      <w:r>
        <w:rPr>
          <w:rFonts w:hint="eastAsia"/>
          <w:bCs/>
          <w:sz w:val="24"/>
        </w:rPr>
        <w:t>（8）参与管理人对托管产品的投资决策；</w:t>
      </w:r>
    </w:p>
    <w:p w14:paraId="18DBBA76">
      <w:pPr>
        <w:adjustRightInd w:val="0"/>
        <w:snapToGrid w:val="0"/>
        <w:spacing w:line="360" w:lineRule="auto"/>
        <w:ind w:firstLine="480" w:firstLineChars="200"/>
        <w:rPr>
          <w:bCs/>
          <w:sz w:val="24"/>
        </w:rPr>
      </w:pPr>
      <w:r>
        <w:rPr>
          <w:rFonts w:hint="eastAsia"/>
          <w:bCs/>
          <w:sz w:val="24"/>
        </w:rPr>
        <w:t xml:space="preserve">（9）违规代替管理人向其他机构或者个人进行托管产品信息披露或提供相关数据信息； </w:t>
      </w:r>
    </w:p>
    <w:p w14:paraId="33BE2B95">
      <w:pPr>
        <w:adjustRightInd w:val="0"/>
        <w:snapToGrid w:val="0"/>
        <w:spacing w:line="360" w:lineRule="auto"/>
        <w:ind w:firstLine="480" w:firstLineChars="200"/>
        <w:rPr>
          <w:bCs/>
          <w:sz w:val="24"/>
        </w:rPr>
      </w:pPr>
      <w:r>
        <w:rPr>
          <w:rFonts w:hint="eastAsia"/>
          <w:bCs/>
          <w:sz w:val="24"/>
        </w:rPr>
        <w:t>（10）管理人未接受托管人的复核意见进行信息披露产生的相应责任；</w:t>
      </w:r>
    </w:p>
    <w:p w14:paraId="39B81B10">
      <w:pPr>
        <w:adjustRightInd w:val="0"/>
        <w:snapToGrid w:val="0"/>
        <w:spacing w:line="360" w:lineRule="auto"/>
        <w:ind w:firstLine="480" w:firstLineChars="200"/>
        <w:rPr>
          <w:bCs/>
          <w:sz w:val="24"/>
        </w:rPr>
      </w:pPr>
      <w:r>
        <w:rPr>
          <w:rFonts w:hint="eastAsia"/>
          <w:bCs/>
          <w:sz w:val="24"/>
        </w:rPr>
        <w:t>（11）负责未兑付产品的资金追偿、财产保全、诉讼仲裁、债务重组和破产程序等，法律另有规定的除外；</w:t>
      </w:r>
    </w:p>
    <w:p w14:paraId="042444E5">
      <w:pPr>
        <w:adjustRightInd w:val="0"/>
        <w:snapToGrid w:val="0"/>
        <w:spacing w:line="360" w:lineRule="auto"/>
        <w:ind w:firstLine="480" w:firstLineChars="200"/>
        <w:rPr>
          <w:bCs/>
          <w:sz w:val="24"/>
        </w:rPr>
      </w:pPr>
      <w:r>
        <w:rPr>
          <w:rFonts w:hint="eastAsia"/>
          <w:bCs/>
          <w:sz w:val="24"/>
        </w:rPr>
        <w:t>（12）因不可抗力，以及非托管人履职错误或过失造成的托管资产损失；</w:t>
      </w:r>
    </w:p>
    <w:p w14:paraId="34BDFEBA">
      <w:pPr>
        <w:adjustRightInd w:val="0"/>
        <w:snapToGrid w:val="0"/>
        <w:spacing w:line="360" w:lineRule="auto"/>
        <w:ind w:firstLine="480" w:firstLineChars="200"/>
        <w:rPr>
          <w:bCs/>
          <w:sz w:val="24"/>
        </w:rPr>
      </w:pPr>
      <w:r>
        <w:rPr>
          <w:rFonts w:hint="eastAsia"/>
          <w:bCs/>
          <w:sz w:val="24"/>
        </w:rPr>
        <w:t>（13）国务院金融监管部门规定的不属于商业银行托管业务范围的其他职责。</w:t>
      </w:r>
    </w:p>
    <w:p w14:paraId="529B3E29">
      <w:pPr>
        <w:adjustRightInd w:val="0"/>
        <w:snapToGrid w:val="0"/>
        <w:spacing w:line="360" w:lineRule="auto"/>
        <w:ind w:firstLine="480" w:firstLineChars="200"/>
        <w:rPr>
          <w:bCs/>
          <w:sz w:val="24"/>
        </w:rPr>
      </w:pPr>
      <w:r>
        <w:rPr>
          <w:rFonts w:hint="eastAsia"/>
          <w:bCs/>
          <w:sz w:val="24"/>
        </w:rPr>
        <w:t>4</w:t>
      </w:r>
      <w:r>
        <w:rPr>
          <w:bCs/>
          <w:sz w:val="24"/>
        </w:rPr>
        <w:t>、基金份额持有人的权利与义务</w:t>
      </w:r>
    </w:p>
    <w:p w14:paraId="503FDBC4">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37672B02">
      <w:pPr>
        <w:adjustRightInd w:val="0"/>
        <w:snapToGrid w:val="0"/>
        <w:spacing w:line="360" w:lineRule="auto"/>
        <w:ind w:firstLine="480" w:firstLineChars="200"/>
        <w:rPr>
          <w:bCs/>
          <w:sz w:val="24"/>
        </w:rPr>
      </w:pPr>
      <w:r>
        <w:rPr>
          <w:rFonts w:hint="eastAsia"/>
          <w:bCs/>
          <w:sz w:val="24"/>
        </w:rPr>
        <w:t>同一类别每份基金份额具有同等的合法权益。</w:t>
      </w:r>
    </w:p>
    <w:p w14:paraId="67A18159">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14:paraId="3406769F">
      <w:pPr>
        <w:adjustRightInd w:val="0"/>
        <w:snapToGrid w:val="0"/>
        <w:spacing w:line="360" w:lineRule="auto"/>
        <w:ind w:firstLine="480" w:firstLineChars="200"/>
        <w:rPr>
          <w:bCs/>
          <w:sz w:val="24"/>
        </w:rPr>
      </w:pPr>
      <w:r>
        <w:rPr>
          <w:rFonts w:hint="eastAsia"/>
          <w:bCs/>
          <w:sz w:val="24"/>
        </w:rPr>
        <w:t>（1）分享基金财产收益；</w:t>
      </w:r>
    </w:p>
    <w:p w14:paraId="4A0C611C">
      <w:pPr>
        <w:adjustRightInd w:val="0"/>
        <w:snapToGrid w:val="0"/>
        <w:spacing w:line="360" w:lineRule="auto"/>
        <w:ind w:firstLine="480" w:firstLineChars="200"/>
        <w:rPr>
          <w:bCs/>
          <w:sz w:val="24"/>
        </w:rPr>
      </w:pPr>
      <w:r>
        <w:rPr>
          <w:rFonts w:hint="eastAsia"/>
          <w:bCs/>
          <w:sz w:val="24"/>
        </w:rPr>
        <w:t>（2）参与分配清算后的剩余基金财产；</w:t>
      </w:r>
    </w:p>
    <w:p w14:paraId="2D4B95ED">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14:paraId="5BF97354">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14:paraId="22E0F0A5">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71E17B0C">
      <w:pPr>
        <w:adjustRightInd w:val="0"/>
        <w:snapToGrid w:val="0"/>
        <w:spacing w:line="360" w:lineRule="auto"/>
        <w:ind w:firstLine="480" w:firstLineChars="200"/>
        <w:rPr>
          <w:bCs/>
          <w:sz w:val="24"/>
        </w:rPr>
      </w:pPr>
      <w:r>
        <w:rPr>
          <w:rFonts w:hint="eastAsia"/>
          <w:bCs/>
          <w:sz w:val="24"/>
        </w:rPr>
        <w:t>（6）查阅或者复制公开披露的基金信息资料；</w:t>
      </w:r>
    </w:p>
    <w:p w14:paraId="011A5AE9">
      <w:pPr>
        <w:adjustRightInd w:val="0"/>
        <w:snapToGrid w:val="0"/>
        <w:spacing w:line="360" w:lineRule="auto"/>
        <w:ind w:firstLine="480" w:firstLineChars="200"/>
        <w:rPr>
          <w:bCs/>
          <w:sz w:val="24"/>
        </w:rPr>
      </w:pPr>
      <w:r>
        <w:rPr>
          <w:rFonts w:hint="eastAsia"/>
          <w:bCs/>
          <w:sz w:val="24"/>
        </w:rPr>
        <w:t>（7）监督基金管理人的投资运作；</w:t>
      </w:r>
    </w:p>
    <w:p w14:paraId="2F2D6C36">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756FB6EB">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14:paraId="66E076DD">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14:paraId="74C88977">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14:paraId="60C9F1CA">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26275B1E">
      <w:pPr>
        <w:adjustRightInd w:val="0"/>
        <w:snapToGrid w:val="0"/>
        <w:spacing w:line="360" w:lineRule="auto"/>
        <w:ind w:firstLine="480" w:firstLineChars="200"/>
        <w:rPr>
          <w:bCs/>
          <w:sz w:val="24"/>
        </w:rPr>
      </w:pPr>
      <w:r>
        <w:rPr>
          <w:rFonts w:hint="eastAsia"/>
          <w:bCs/>
          <w:sz w:val="24"/>
        </w:rPr>
        <w:t>（3）关注基金信息披露，及时行使权利和履行义务；</w:t>
      </w:r>
    </w:p>
    <w:p w14:paraId="65B9943F">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14:paraId="347A0D7C">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14:paraId="703A6022">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14:paraId="02AD517E">
      <w:pPr>
        <w:adjustRightInd w:val="0"/>
        <w:snapToGrid w:val="0"/>
        <w:spacing w:line="360" w:lineRule="auto"/>
        <w:ind w:firstLine="480" w:firstLineChars="200"/>
        <w:rPr>
          <w:bCs/>
          <w:sz w:val="24"/>
        </w:rPr>
      </w:pPr>
      <w:r>
        <w:rPr>
          <w:rFonts w:hint="eastAsia"/>
          <w:bCs/>
          <w:sz w:val="24"/>
        </w:rPr>
        <w:t>（7）执行生效的基金份额持有人大会的决议；</w:t>
      </w:r>
    </w:p>
    <w:p w14:paraId="4BE12472">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14:paraId="11D90C18">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14:paraId="568C48E5">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0AB88236">
      <w:pPr>
        <w:adjustRightInd w:val="0"/>
        <w:snapToGrid w:val="0"/>
        <w:spacing w:line="360" w:lineRule="auto"/>
        <w:ind w:firstLine="480" w:firstLineChars="200"/>
        <w:rPr>
          <w:bCs/>
          <w:sz w:val="24"/>
        </w:rPr>
      </w:pPr>
      <w:r>
        <w:rPr>
          <w:rFonts w:hint="eastAsia"/>
          <w:bCs/>
          <w:sz w:val="24"/>
        </w:rPr>
        <w:t>（11）发起资金提供方持有认购的基金份额的期限自《基金合同》生效日起不少于3年；</w:t>
      </w:r>
    </w:p>
    <w:p w14:paraId="681F5D2F">
      <w:pPr>
        <w:adjustRightInd w:val="0"/>
        <w:snapToGrid w:val="0"/>
        <w:spacing w:line="360" w:lineRule="auto"/>
        <w:ind w:firstLine="480" w:firstLineChars="200"/>
        <w:rPr>
          <w:bCs/>
          <w:sz w:val="24"/>
        </w:rPr>
      </w:pPr>
      <w:r>
        <w:rPr>
          <w:rFonts w:hint="eastAsia"/>
          <w:bCs/>
          <w:sz w:val="24"/>
        </w:rPr>
        <w:t>（12）法律法规及中国证监会规定的和《基金合同》约定的其他义务。</w:t>
      </w:r>
    </w:p>
    <w:p w14:paraId="7AB328E6">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14:paraId="6F91D722">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62A132D">
      <w:pPr>
        <w:adjustRightInd w:val="0"/>
        <w:snapToGrid w:val="0"/>
        <w:spacing w:line="360" w:lineRule="auto"/>
        <w:ind w:firstLine="480" w:firstLineChars="200"/>
        <w:rPr>
          <w:bCs/>
          <w:sz w:val="24"/>
        </w:rPr>
      </w:pPr>
      <w:r>
        <w:rPr>
          <w:rFonts w:hint="eastAsia"/>
          <w:bCs/>
          <w:sz w:val="24"/>
        </w:rPr>
        <w:t>本基金份额持有人大会不设日常机构。</w:t>
      </w:r>
    </w:p>
    <w:p w14:paraId="7D7A0095">
      <w:pPr>
        <w:adjustRightInd w:val="0"/>
        <w:snapToGrid w:val="0"/>
        <w:spacing w:line="360" w:lineRule="auto"/>
        <w:ind w:firstLine="480" w:firstLineChars="200"/>
        <w:rPr>
          <w:bCs/>
          <w:sz w:val="24"/>
        </w:rPr>
      </w:pPr>
      <w:r>
        <w:rPr>
          <w:bCs/>
          <w:sz w:val="24"/>
        </w:rPr>
        <w:t>1、召开事由</w:t>
      </w:r>
    </w:p>
    <w:p w14:paraId="7F93E5CE">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（1）当出现或需要决定下列事由之一的，应当召开基金份额持有人大会，法律法规和中国证监会另有规定的除外：</w:t>
      </w:r>
    </w:p>
    <w:p w14:paraId="3B2605E1">
      <w:pPr>
        <w:adjustRightInd w:val="0"/>
        <w:snapToGrid w:val="0"/>
        <w:spacing w:line="360" w:lineRule="auto"/>
        <w:ind w:firstLine="480" w:firstLineChars="200"/>
        <w:rPr>
          <w:bCs/>
          <w:sz w:val="24"/>
        </w:rPr>
      </w:pPr>
      <w:r>
        <w:rPr>
          <w:rFonts w:hint="eastAsia"/>
          <w:bCs/>
          <w:sz w:val="24"/>
        </w:rPr>
        <w:t>1）终止《基金合同》，基金合同另有规定的除外；</w:t>
      </w:r>
    </w:p>
    <w:p w14:paraId="0540B835">
      <w:pPr>
        <w:adjustRightInd w:val="0"/>
        <w:snapToGrid w:val="0"/>
        <w:spacing w:line="360" w:lineRule="auto"/>
        <w:ind w:firstLine="480" w:firstLineChars="200"/>
        <w:rPr>
          <w:bCs/>
          <w:sz w:val="24"/>
        </w:rPr>
      </w:pPr>
      <w:r>
        <w:rPr>
          <w:rFonts w:hint="eastAsia"/>
          <w:bCs/>
          <w:sz w:val="24"/>
        </w:rPr>
        <w:t>2）更换基金管理人；</w:t>
      </w:r>
    </w:p>
    <w:p w14:paraId="3D35294F">
      <w:pPr>
        <w:adjustRightInd w:val="0"/>
        <w:snapToGrid w:val="0"/>
        <w:spacing w:line="360" w:lineRule="auto"/>
        <w:ind w:firstLine="480" w:firstLineChars="200"/>
        <w:rPr>
          <w:bCs/>
          <w:sz w:val="24"/>
        </w:rPr>
      </w:pPr>
      <w:r>
        <w:rPr>
          <w:rFonts w:hint="eastAsia"/>
          <w:bCs/>
          <w:sz w:val="24"/>
        </w:rPr>
        <w:t>3）更换基金托管人；</w:t>
      </w:r>
    </w:p>
    <w:p w14:paraId="2CA5FAEF">
      <w:pPr>
        <w:adjustRightInd w:val="0"/>
        <w:snapToGrid w:val="0"/>
        <w:spacing w:line="360" w:lineRule="auto"/>
        <w:ind w:firstLine="480" w:firstLineChars="200"/>
        <w:rPr>
          <w:bCs/>
          <w:sz w:val="24"/>
        </w:rPr>
      </w:pPr>
      <w:r>
        <w:rPr>
          <w:rFonts w:hint="eastAsia"/>
          <w:bCs/>
          <w:sz w:val="24"/>
        </w:rPr>
        <w:t>4）转换基金运作方式；</w:t>
      </w:r>
    </w:p>
    <w:p w14:paraId="0C524213">
      <w:pPr>
        <w:adjustRightInd w:val="0"/>
        <w:snapToGrid w:val="0"/>
        <w:spacing w:line="360" w:lineRule="auto"/>
        <w:ind w:firstLine="480" w:firstLineChars="200"/>
        <w:rPr>
          <w:bCs/>
          <w:sz w:val="24"/>
        </w:rPr>
      </w:pPr>
      <w:r>
        <w:rPr>
          <w:rFonts w:hint="eastAsia"/>
          <w:bCs/>
          <w:sz w:val="24"/>
        </w:rPr>
        <w:t>5）调整基金管理人、基金托管人的报酬标准或提高销售服务费率；</w:t>
      </w:r>
    </w:p>
    <w:p w14:paraId="43E6848C">
      <w:pPr>
        <w:adjustRightInd w:val="0"/>
        <w:snapToGrid w:val="0"/>
        <w:spacing w:line="360" w:lineRule="auto"/>
        <w:ind w:firstLine="480" w:firstLineChars="200"/>
        <w:rPr>
          <w:bCs/>
          <w:sz w:val="24"/>
        </w:rPr>
      </w:pPr>
      <w:r>
        <w:rPr>
          <w:rFonts w:hint="eastAsia"/>
          <w:bCs/>
          <w:sz w:val="24"/>
        </w:rPr>
        <w:t>6）变更基金类别；</w:t>
      </w:r>
    </w:p>
    <w:p w14:paraId="2C4D2462">
      <w:pPr>
        <w:adjustRightInd w:val="0"/>
        <w:snapToGrid w:val="0"/>
        <w:spacing w:line="360" w:lineRule="auto"/>
        <w:ind w:firstLine="480" w:firstLineChars="200"/>
        <w:rPr>
          <w:bCs/>
          <w:sz w:val="24"/>
        </w:rPr>
      </w:pPr>
      <w:r>
        <w:rPr>
          <w:rFonts w:hint="eastAsia"/>
          <w:bCs/>
          <w:sz w:val="24"/>
        </w:rPr>
        <w:t>7）本基金与其他基金的合并；</w:t>
      </w:r>
    </w:p>
    <w:p w14:paraId="27907DE5">
      <w:pPr>
        <w:adjustRightInd w:val="0"/>
        <w:snapToGrid w:val="0"/>
        <w:spacing w:line="360" w:lineRule="auto"/>
        <w:ind w:firstLine="480" w:firstLineChars="200"/>
        <w:rPr>
          <w:bCs/>
          <w:sz w:val="24"/>
        </w:rPr>
      </w:pPr>
      <w:r>
        <w:rPr>
          <w:rFonts w:hint="eastAsia"/>
          <w:bCs/>
          <w:sz w:val="24"/>
        </w:rPr>
        <w:t>8）变更基金投资目标、范围或策略，基金合同另有规定的除外；</w:t>
      </w:r>
    </w:p>
    <w:p w14:paraId="0596AE23">
      <w:pPr>
        <w:adjustRightInd w:val="0"/>
        <w:snapToGrid w:val="0"/>
        <w:spacing w:line="360" w:lineRule="auto"/>
        <w:ind w:firstLine="480" w:firstLineChars="200"/>
        <w:rPr>
          <w:bCs/>
          <w:sz w:val="24"/>
        </w:rPr>
      </w:pPr>
      <w:r>
        <w:rPr>
          <w:rFonts w:hint="eastAsia"/>
          <w:bCs/>
          <w:sz w:val="24"/>
        </w:rPr>
        <w:t>9）变更基金份额持有人大会程序，基金合同另有规定的除外；</w:t>
      </w:r>
    </w:p>
    <w:p w14:paraId="4BB83160">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14:paraId="415D4479">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14:paraId="3DE9150A">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14:paraId="674A7C68">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14:paraId="50F9F924">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2ED6C9DE">
      <w:pPr>
        <w:adjustRightInd w:val="0"/>
        <w:snapToGrid w:val="0"/>
        <w:spacing w:line="360" w:lineRule="auto"/>
        <w:ind w:firstLine="480" w:firstLineChars="200"/>
        <w:rPr>
          <w:bCs/>
          <w:sz w:val="24"/>
        </w:rPr>
      </w:pPr>
      <w:r>
        <w:rPr>
          <w:rFonts w:hint="eastAsia"/>
          <w:bCs/>
          <w:sz w:val="24"/>
        </w:rPr>
        <w:t>1）调低基金销售服务费率；</w:t>
      </w:r>
    </w:p>
    <w:p w14:paraId="56AFA758">
      <w:pPr>
        <w:adjustRightInd w:val="0"/>
        <w:snapToGrid w:val="0"/>
        <w:spacing w:line="360" w:lineRule="auto"/>
        <w:ind w:firstLine="480" w:firstLineChars="200"/>
        <w:rPr>
          <w:bCs/>
          <w:sz w:val="24"/>
        </w:rPr>
      </w:pPr>
      <w:r>
        <w:rPr>
          <w:rFonts w:hint="eastAsia"/>
          <w:bCs/>
          <w:sz w:val="24"/>
        </w:rPr>
        <w:t>2）法律法规要求增加的基金费用的收取；</w:t>
      </w:r>
    </w:p>
    <w:p w14:paraId="1C9B1EEF">
      <w:pPr>
        <w:adjustRightInd w:val="0"/>
        <w:snapToGrid w:val="0"/>
        <w:spacing w:line="360" w:lineRule="auto"/>
        <w:ind w:firstLine="480" w:firstLineChars="20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14:paraId="1B3CE294">
      <w:pPr>
        <w:adjustRightInd w:val="0"/>
        <w:snapToGrid w:val="0"/>
        <w:spacing w:line="360" w:lineRule="auto"/>
        <w:ind w:firstLine="480" w:firstLineChars="200"/>
        <w:rPr>
          <w:bCs/>
          <w:sz w:val="24"/>
        </w:rPr>
      </w:pPr>
      <w:r>
        <w:rPr>
          <w:bCs/>
          <w:sz w:val="24"/>
        </w:rPr>
        <w:t>4</w:t>
      </w:r>
      <w:r>
        <w:rPr>
          <w:rFonts w:hint="eastAsia"/>
          <w:bCs/>
          <w:sz w:val="24"/>
        </w:rPr>
        <w:t>）因相应的法律法规、登记机构的相关业务规则发生变动而应当对《基金合同》进行修改；</w:t>
      </w:r>
    </w:p>
    <w:p w14:paraId="68CD5D1D">
      <w:pPr>
        <w:adjustRightInd w:val="0"/>
        <w:snapToGrid w:val="0"/>
        <w:spacing w:line="360" w:lineRule="auto"/>
        <w:ind w:firstLine="480" w:firstLineChars="20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14:paraId="77B172DC">
      <w:pPr>
        <w:adjustRightInd w:val="0"/>
        <w:snapToGrid w:val="0"/>
        <w:spacing w:line="360" w:lineRule="auto"/>
        <w:ind w:firstLine="480" w:firstLineChars="200"/>
        <w:rPr>
          <w:bCs/>
          <w:sz w:val="24"/>
        </w:rPr>
      </w:pPr>
      <w:r>
        <w:rPr>
          <w:bCs/>
          <w:sz w:val="24"/>
        </w:rPr>
        <w:t>6</w:t>
      </w:r>
      <w:r>
        <w:rPr>
          <w:rFonts w:hint="eastAsia"/>
          <w:bCs/>
          <w:sz w:val="24"/>
        </w:rPr>
        <w:t>）在法律法规允许的情况下，且在对现有基金份额持有人利益无实质性不利影响的前提下，在履行适当程序后，基金推出新业务或服务；</w:t>
      </w:r>
    </w:p>
    <w:p w14:paraId="4A40BC6F">
      <w:pPr>
        <w:adjustRightInd w:val="0"/>
        <w:snapToGrid w:val="0"/>
        <w:spacing w:line="360" w:lineRule="auto"/>
        <w:ind w:firstLine="480" w:firstLineChars="20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409C303B">
      <w:pPr>
        <w:adjustRightInd w:val="0"/>
        <w:snapToGrid w:val="0"/>
        <w:spacing w:line="360" w:lineRule="auto"/>
        <w:ind w:firstLine="480" w:firstLineChars="200"/>
        <w:rPr>
          <w:bCs/>
          <w:sz w:val="24"/>
        </w:rPr>
      </w:pP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25E9F287">
      <w:pPr>
        <w:adjustRightInd w:val="0"/>
        <w:snapToGrid w:val="0"/>
        <w:spacing w:line="360" w:lineRule="auto"/>
        <w:ind w:firstLine="480" w:firstLineChars="200"/>
        <w:rPr>
          <w:bCs/>
          <w:sz w:val="24"/>
        </w:rPr>
      </w:pPr>
      <w:r>
        <w:rPr>
          <w:bCs/>
          <w:sz w:val="24"/>
        </w:rPr>
        <w:t>9</w:t>
      </w:r>
      <w:r>
        <w:rPr>
          <w:rFonts w:hint="eastAsia"/>
          <w:bCs/>
          <w:sz w:val="24"/>
        </w:rPr>
        <w:t>）按照法律法规和《基金合同》规定不需召开基金份额持有人大会的其他情形。</w:t>
      </w:r>
    </w:p>
    <w:p w14:paraId="3FE1ED58">
      <w:pPr>
        <w:adjustRightInd w:val="0"/>
        <w:snapToGrid w:val="0"/>
        <w:spacing w:line="360" w:lineRule="auto"/>
        <w:ind w:firstLine="480" w:firstLineChars="200"/>
        <w:rPr>
          <w:bCs/>
          <w:sz w:val="24"/>
        </w:rPr>
      </w:pPr>
      <w:r>
        <w:rPr>
          <w:rFonts w:hint="eastAsia"/>
          <w:bCs/>
          <w:sz w:val="24"/>
        </w:rPr>
        <w:t>2、会议召集人及召集方式</w:t>
      </w:r>
    </w:p>
    <w:p w14:paraId="1711361B">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14:paraId="53771D5D">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14:paraId="534AC746">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0BBEDB1">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390EDA0">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253D98F">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14:paraId="4C21C86B">
      <w:pPr>
        <w:adjustRightInd w:val="0"/>
        <w:snapToGrid w:val="0"/>
        <w:spacing w:line="360" w:lineRule="auto"/>
        <w:ind w:firstLine="480" w:firstLineChars="200"/>
        <w:rPr>
          <w:bCs/>
          <w:sz w:val="24"/>
        </w:rPr>
      </w:pPr>
      <w:r>
        <w:rPr>
          <w:rFonts w:hint="eastAsia"/>
          <w:bCs/>
          <w:sz w:val="24"/>
        </w:rPr>
        <w:t>3、召开基金份额持有人大会的通知时间、通知内容、通知方式</w:t>
      </w:r>
    </w:p>
    <w:p w14:paraId="50D6D7AD">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14:paraId="39DDE188">
      <w:pPr>
        <w:adjustRightInd w:val="0"/>
        <w:snapToGrid w:val="0"/>
        <w:spacing w:line="360" w:lineRule="auto"/>
        <w:ind w:firstLine="480" w:firstLineChars="200"/>
        <w:rPr>
          <w:bCs/>
          <w:sz w:val="24"/>
        </w:rPr>
      </w:pPr>
      <w:r>
        <w:rPr>
          <w:rFonts w:hint="eastAsia"/>
          <w:bCs/>
          <w:sz w:val="24"/>
        </w:rPr>
        <w:t>1）会议召开的时间、地点和会议形式；</w:t>
      </w:r>
    </w:p>
    <w:p w14:paraId="19A2F4CC">
      <w:pPr>
        <w:adjustRightInd w:val="0"/>
        <w:snapToGrid w:val="0"/>
        <w:spacing w:line="360" w:lineRule="auto"/>
        <w:ind w:firstLine="480" w:firstLineChars="200"/>
        <w:rPr>
          <w:bCs/>
          <w:sz w:val="24"/>
        </w:rPr>
      </w:pPr>
      <w:r>
        <w:rPr>
          <w:rFonts w:hint="eastAsia"/>
          <w:bCs/>
          <w:sz w:val="24"/>
        </w:rPr>
        <w:t>2）会议拟审议的事项、议事程序和表决方式；</w:t>
      </w:r>
    </w:p>
    <w:p w14:paraId="5E177014">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14:paraId="43A878FC">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14:paraId="42B0D376">
      <w:pPr>
        <w:adjustRightInd w:val="0"/>
        <w:snapToGrid w:val="0"/>
        <w:spacing w:line="360" w:lineRule="auto"/>
        <w:ind w:firstLine="480" w:firstLineChars="200"/>
        <w:rPr>
          <w:bCs/>
          <w:sz w:val="24"/>
        </w:rPr>
      </w:pPr>
      <w:r>
        <w:rPr>
          <w:rFonts w:hint="eastAsia"/>
          <w:bCs/>
          <w:sz w:val="24"/>
        </w:rPr>
        <w:t>5）会务常设联系人姓名及联系电话；</w:t>
      </w:r>
    </w:p>
    <w:p w14:paraId="21EE5C42">
      <w:pPr>
        <w:adjustRightInd w:val="0"/>
        <w:snapToGrid w:val="0"/>
        <w:spacing w:line="360" w:lineRule="auto"/>
        <w:ind w:firstLine="480" w:firstLineChars="200"/>
        <w:rPr>
          <w:bCs/>
          <w:sz w:val="24"/>
        </w:rPr>
      </w:pPr>
      <w:r>
        <w:rPr>
          <w:rFonts w:hint="eastAsia"/>
          <w:bCs/>
          <w:sz w:val="24"/>
        </w:rPr>
        <w:t>6）出席会议者必须准备的文件和必须履行的手续；</w:t>
      </w:r>
    </w:p>
    <w:p w14:paraId="63E215BD">
      <w:pPr>
        <w:adjustRightInd w:val="0"/>
        <w:snapToGrid w:val="0"/>
        <w:spacing w:line="360" w:lineRule="auto"/>
        <w:ind w:firstLine="480" w:firstLineChars="200"/>
        <w:rPr>
          <w:bCs/>
          <w:sz w:val="24"/>
        </w:rPr>
      </w:pPr>
      <w:r>
        <w:rPr>
          <w:rFonts w:hint="eastAsia"/>
          <w:bCs/>
          <w:sz w:val="24"/>
        </w:rPr>
        <w:t>7）召集人需要通知的其他事项。</w:t>
      </w:r>
    </w:p>
    <w:p w14:paraId="5DC38385">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6400244">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519F518">
      <w:pPr>
        <w:adjustRightInd w:val="0"/>
        <w:snapToGrid w:val="0"/>
        <w:spacing w:line="360" w:lineRule="auto"/>
        <w:ind w:firstLine="480" w:firstLineChars="200"/>
        <w:rPr>
          <w:bCs/>
          <w:sz w:val="24"/>
        </w:rPr>
      </w:pPr>
      <w:r>
        <w:rPr>
          <w:rFonts w:hint="eastAsia"/>
          <w:bCs/>
          <w:sz w:val="24"/>
        </w:rPr>
        <w:t>4、基金份额持有人出席会议的方式</w:t>
      </w:r>
    </w:p>
    <w:p w14:paraId="4258BDBE">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14:paraId="69522351">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EF782DE">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FAFF0D">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B5A057F">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14:paraId="22BDA043">
      <w:pPr>
        <w:adjustRightInd w:val="0"/>
        <w:snapToGrid w:val="0"/>
        <w:spacing w:line="360" w:lineRule="auto"/>
        <w:ind w:firstLine="480" w:firstLineChars="200"/>
        <w:rPr>
          <w:bCs/>
          <w:sz w:val="24"/>
        </w:rPr>
      </w:pPr>
      <w:r>
        <w:rPr>
          <w:rFonts w:hint="eastAsia"/>
          <w:bCs/>
          <w:sz w:val="24"/>
        </w:rPr>
        <w:t>在同时符合以下条件时，通讯开会的方式视为有效：</w:t>
      </w:r>
    </w:p>
    <w:p w14:paraId="2283C4CA">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14:paraId="2E896412">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EE29CA1">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2D6A2E1A">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4E5D892">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B85FC4B">
      <w:pPr>
        <w:adjustRightInd w:val="0"/>
        <w:snapToGrid w:val="0"/>
        <w:spacing w:line="360" w:lineRule="auto"/>
        <w:ind w:firstLine="480" w:firstLineChars="200"/>
        <w:rPr>
          <w:bCs/>
          <w:sz w:val="24"/>
        </w:rPr>
      </w:pPr>
      <w:r>
        <w:rPr>
          <w:rFonts w:hint="eastAsia"/>
          <w:bCs/>
          <w:sz w:val="24"/>
        </w:rPr>
        <w:t>5、议事内容与程序</w:t>
      </w:r>
    </w:p>
    <w:p w14:paraId="2BDD2475">
      <w:pPr>
        <w:adjustRightInd w:val="0"/>
        <w:snapToGrid w:val="0"/>
        <w:spacing w:line="360" w:lineRule="auto"/>
        <w:ind w:firstLine="480" w:firstLineChars="200"/>
        <w:rPr>
          <w:bCs/>
          <w:sz w:val="24"/>
        </w:rPr>
      </w:pPr>
      <w:r>
        <w:rPr>
          <w:rFonts w:hint="eastAsia"/>
          <w:bCs/>
          <w:sz w:val="24"/>
        </w:rPr>
        <w:t>（1）议事内容及提案权</w:t>
      </w:r>
    </w:p>
    <w:p w14:paraId="1CB7B74E">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97AE61A">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0624F745">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14:paraId="63B657C8">
      <w:pPr>
        <w:adjustRightInd w:val="0"/>
        <w:snapToGrid w:val="0"/>
        <w:spacing w:line="360" w:lineRule="auto"/>
        <w:ind w:firstLine="480" w:firstLineChars="200"/>
        <w:rPr>
          <w:bCs/>
          <w:sz w:val="24"/>
        </w:rPr>
      </w:pPr>
      <w:r>
        <w:rPr>
          <w:rFonts w:hint="eastAsia"/>
          <w:bCs/>
          <w:sz w:val="24"/>
        </w:rPr>
        <w:t>（2）议事程序</w:t>
      </w:r>
    </w:p>
    <w:p w14:paraId="7085B164">
      <w:pPr>
        <w:adjustRightInd w:val="0"/>
        <w:snapToGrid w:val="0"/>
        <w:spacing w:line="360" w:lineRule="auto"/>
        <w:ind w:firstLine="480" w:firstLineChars="200"/>
        <w:rPr>
          <w:bCs/>
          <w:sz w:val="24"/>
        </w:rPr>
      </w:pPr>
      <w:r>
        <w:rPr>
          <w:rFonts w:hint="eastAsia"/>
          <w:bCs/>
          <w:sz w:val="24"/>
        </w:rPr>
        <w:t>1）现场开会</w:t>
      </w:r>
    </w:p>
    <w:p w14:paraId="56327C86">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3627F52A">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0370898">
      <w:pPr>
        <w:adjustRightInd w:val="0"/>
        <w:snapToGrid w:val="0"/>
        <w:spacing w:line="360" w:lineRule="auto"/>
        <w:ind w:firstLine="480" w:firstLineChars="200"/>
        <w:rPr>
          <w:bCs/>
          <w:sz w:val="24"/>
        </w:rPr>
      </w:pPr>
      <w:r>
        <w:rPr>
          <w:rFonts w:hint="eastAsia"/>
          <w:bCs/>
          <w:sz w:val="24"/>
        </w:rPr>
        <w:t>2）通讯开会</w:t>
      </w:r>
    </w:p>
    <w:p w14:paraId="3F6C73E0">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14:paraId="470010FC">
      <w:pPr>
        <w:adjustRightInd w:val="0"/>
        <w:snapToGrid w:val="0"/>
        <w:spacing w:line="360" w:lineRule="auto"/>
        <w:ind w:firstLine="480" w:firstLineChars="200"/>
        <w:rPr>
          <w:bCs/>
          <w:sz w:val="24"/>
        </w:rPr>
      </w:pPr>
      <w:r>
        <w:rPr>
          <w:rFonts w:hint="eastAsia"/>
          <w:bCs/>
          <w:sz w:val="24"/>
        </w:rPr>
        <w:t>6、表决</w:t>
      </w:r>
    </w:p>
    <w:p w14:paraId="202163DE">
      <w:pPr>
        <w:adjustRightInd w:val="0"/>
        <w:snapToGrid w:val="0"/>
        <w:spacing w:line="360" w:lineRule="auto"/>
        <w:ind w:firstLine="480" w:firstLineChars="200"/>
        <w:rPr>
          <w:bCs/>
          <w:sz w:val="24"/>
        </w:rPr>
      </w:pPr>
      <w:r>
        <w:rPr>
          <w:rFonts w:hint="eastAsia"/>
          <w:bCs/>
          <w:sz w:val="24"/>
        </w:rPr>
        <w:t>基金份额持有人所持每份基金份额有一票表决权。</w:t>
      </w:r>
    </w:p>
    <w:p w14:paraId="19854B15">
      <w:pPr>
        <w:adjustRightInd w:val="0"/>
        <w:snapToGrid w:val="0"/>
        <w:spacing w:line="360" w:lineRule="auto"/>
        <w:ind w:firstLine="480" w:firstLineChars="200"/>
        <w:rPr>
          <w:bCs/>
          <w:sz w:val="24"/>
        </w:rPr>
      </w:pPr>
      <w:r>
        <w:rPr>
          <w:rFonts w:hint="eastAsia"/>
          <w:bCs/>
          <w:sz w:val="24"/>
        </w:rPr>
        <w:t>基金份额持有人大会决议分为一般决议和特别决议：</w:t>
      </w:r>
    </w:p>
    <w:p w14:paraId="44CEFE15">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E4F5272">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7DE2920F">
      <w:pPr>
        <w:adjustRightInd w:val="0"/>
        <w:snapToGrid w:val="0"/>
        <w:spacing w:line="360" w:lineRule="auto"/>
        <w:ind w:firstLine="480" w:firstLineChars="200"/>
        <w:rPr>
          <w:bCs/>
          <w:sz w:val="24"/>
        </w:rPr>
      </w:pPr>
      <w:r>
        <w:rPr>
          <w:rFonts w:hint="eastAsia"/>
          <w:bCs/>
          <w:sz w:val="24"/>
        </w:rPr>
        <w:t>基金份额持有人大会采取记名方式进行投票表决。</w:t>
      </w:r>
    </w:p>
    <w:p w14:paraId="23B5B25A">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F2B12A8">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27992DC4">
      <w:pPr>
        <w:adjustRightInd w:val="0"/>
        <w:snapToGrid w:val="0"/>
        <w:spacing w:line="360" w:lineRule="auto"/>
        <w:ind w:firstLine="480" w:firstLineChars="200"/>
        <w:rPr>
          <w:bCs/>
          <w:sz w:val="24"/>
        </w:rPr>
      </w:pPr>
      <w:r>
        <w:rPr>
          <w:rFonts w:hint="eastAsia"/>
          <w:bCs/>
          <w:sz w:val="24"/>
        </w:rPr>
        <w:t>7、计票</w:t>
      </w:r>
    </w:p>
    <w:p w14:paraId="404449EE">
      <w:pPr>
        <w:adjustRightInd w:val="0"/>
        <w:snapToGrid w:val="0"/>
        <w:spacing w:line="360" w:lineRule="auto"/>
        <w:ind w:firstLine="480" w:firstLineChars="200"/>
        <w:rPr>
          <w:bCs/>
          <w:sz w:val="24"/>
        </w:rPr>
      </w:pPr>
      <w:r>
        <w:rPr>
          <w:rFonts w:hint="eastAsia"/>
          <w:bCs/>
          <w:sz w:val="24"/>
        </w:rPr>
        <w:t>（1）现场开会</w:t>
      </w:r>
    </w:p>
    <w:p w14:paraId="13C30BA3">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29B57DE">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14:paraId="2F9211AA">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38EBAD6">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14:paraId="316EE061">
      <w:pPr>
        <w:adjustRightInd w:val="0"/>
        <w:snapToGrid w:val="0"/>
        <w:spacing w:line="360" w:lineRule="auto"/>
        <w:ind w:firstLine="480" w:firstLineChars="200"/>
        <w:rPr>
          <w:bCs/>
          <w:sz w:val="24"/>
        </w:rPr>
      </w:pPr>
      <w:r>
        <w:rPr>
          <w:rFonts w:hint="eastAsia"/>
          <w:bCs/>
          <w:sz w:val="24"/>
        </w:rPr>
        <w:t>（2）通讯开会</w:t>
      </w:r>
    </w:p>
    <w:p w14:paraId="5D518D49">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A7913F2">
      <w:pPr>
        <w:adjustRightInd w:val="0"/>
        <w:snapToGrid w:val="0"/>
        <w:spacing w:line="360" w:lineRule="auto"/>
        <w:ind w:firstLine="480" w:firstLineChars="200"/>
        <w:rPr>
          <w:bCs/>
          <w:sz w:val="24"/>
        </w:rPr>
      </w:pPr>
      <w:r>
        <w:rPr>
          <w:rFonts w:hint="eastAsia"/>
          <w:bCs/>
          <w:sz w:val="24"/>
        </w:rPr>
        <w:t>8、生效与公告</w:t>
      </w:r>
    </w:p>
    <w:p w14:paraId="294141BD">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14:paraId="690B455F">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14:paraId="7FD85C80">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4BED8132">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4902C13">
      <w:pPr>
        <w:adjustRightInd w:val="0"/>
        <w:snapToGrid w:val="0"/>
        <w:spacing w:line="360" w:lineRule="auto"/>
        <w:ind w:firstLine="480" w:firstLineChars="200"/>
        <w:rPr>
          <w:bCs/>
          <w:sz w:val="24"/>
        </w:rPr>
      </w:pPr>
      <w:r>
        <w:rPr>
          <w:rFonts w:hint="eastAsia"/>
          <w:bCs/>
          <w:sz w:val="24"/>
        </w:rPr>
        <w:t>9、实施侧袋机制期间基金份额持有人大会的特殊约定</w:t>
      </w:r>
    </w:p>
    <w:p w14:paraId="6A47E91C">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E98AB4E">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0C2A88BE">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5C267122">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4D419B1D">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FDBDBBE">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450BAE52">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48D0DCDD">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75DFDC2E">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14:paraId="2101B244">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0977B455">
      <w:pPr>
        <w:adjustRightInd w:val="0"/>
        <w:snapToGrid w:val="0"/>
        <w:spacing w:line="360" w:lineRule="auto"/>
        <w:ind w:firstLine="482"/>
        <w:outlineLvl w:val="1"/>
        <w:rPr>
          <w:b/>
          <w:bCs/>
          <w:sz w:val="24"/>
        </w:rPr>
      </w:pPr>
      <w:r>
        <w:rPr>
          <w:rFonts w:hint="eastAsia"/>
          <w:b/>
          <w:bCs/>
          <w:sz w:val="24"/>
        </w:rPr>
        <w:t>（三）基金合同解除和终止的事由、程序</w:t>
      </w:r>
    </w:p>
    <w:p w14:paraId="258D3CC5">
      <w:pPr>
        <w:adjustRightInd w:val="0"/>
        <w:snapToGrid w:val="0"/>
        <w:spacing w:line="360" w:lineRule="auto"/>
        <w:ind w:firstLine="480" w:firstLineChars="200"/>
        <w:rPr>
          <w:bCs/>
          <w:sz w:val="24"/>
        </w:rPr>
      </w:pPr>
      <w:r>
        <w:rPr>
          <w:bCs/>
          <w:sz w:val="24"/>
        </w:rPr>
        <w:t>1、《基金合同》的变更</w:t>
      </w:r>
    </w:p>
    <w:p w14:paraId="6911DD07">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780DD6E0">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635D8409">
      <w:pPr>
        <w:adjustRightInd w:val="0"/>
        <w:snapToGrid w:val="0"/>
        <w:spacing w:line="360" w:lineRule="auto"/>
        <w:ind w:firstLine="480" w:firstLineChars="200"/>
        <w:rPr>
          <w:bCs/>
          <w:sz w:val="24"/>
        </w:rPr>
      </w:pPr>
      <w:r>
        <w:rPr>
          <w:bCs/>
          <w:sz w:val="24"/>
        </w:rPr>
        <w:t>2、《基金合同》的终止事由</w:t>
      </w:r>
    </w:p>
    <w:p w14:paraId="2D5A2DF6">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14:paraId="495FB84C">
      <w:pPr>
        <w:adjustRightInd w:val="0"/>
        <w:snapToGrid w:val="0"/>
        <w:spacing w:line="360" w:lineRule="auto"/>
        <w:ind w:firstLine="480" w:firstLineChars="200"/>
        <w:rPr>
          <w:bCs/>
          <w:sz w:val="24"/>
        </w:rPr>
      </w:pPr>
      <w:r>
        <w:rPr>
          <w:rFonts w:hint="eastAsia"/>
          <w:bCs/>
          <w:sz w:val="24"/>
        </w:rPr>
        <w:t>（1）基金份额持有人大会决定终止的；</w:t>
      </w:r>
    </w:p>
    <w:p w14:paraId="479199F4">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14:paraId="3EEDA4FB">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）《基金合同》生效之日起三年后的对应日，若基金资产净值低于</w:t>
      </w:r>
      <w:r>
        <w:rPr>
          <w:bCs/>
          <w:sz w:val="24"/>
        </w:rPr>
        <w:t>2</w:t>
      </w:r>
      <w:r>
        <w:rPr>
          <w:rFonts w:hint="eastAsia"/>
          <w:bCs/>
          <w:sz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596B9F06">
      <w:pPr>
        <w:adjustRightInd w:val="0"/>
        <w:snapToGrid w:val="0"/>
        <w:spacing w:line="360" w:lineRule="auto"/>
        <w:ind w:firstLine="480" w:firstLineChars="200"/>
        <w:rPr>
          <w:bCs/>
          <w:sz w:val="24"/>
        </w:rPr>
      </w:pPr>
      <w:r>
        <w:rPr>
          <w:rFonts w:hint="eastAsia"/>
          <w:bCs/>
          <w:sz w:val="24"/>
        </w:rPr>
        <w:t>（4）《基金合同》约定的其他情形；</w:t>
      </w:r>
    </w:p>
    <w:p w14:paraId="68277F28">
      <w:pPr>
        <w:adjustRightInd w:val="0"/>
        <w:snapToGrid w:val="0"/>
        <w:spacing w:line="360" w:lineRule="auto"/>
        <w:ind w:firstLine="480" w:firstLineChars="200"/>
        <w:rPr>
          <w:bCs/>
          <w:sz w:val="24"/>
        </w:rPr>
      </w:pPr>
      <w:r>
        <w:rPr>
          <w:rFonts w:hint="eastAsia"/>
          <w:bCs/>
          <w:sz w:val="24"/>
        </w:rPr>
        <w:t>（5）相关法律法规和中国证监会规定的其他情况。</w:t>
      </w:r>
    </w:p>
    <w:p w14:paraId="07D0A67F">
      <w:pPr>
        <w:adjustRightInd w:val="0"/>
        <w:snapToGrid w:val="0"/>
        <w:spacing w:line="360" w:lineRule="auto"/>
        <w:ind w:firstLine="480" w:firstLineChars="200"/>
        <w:rPr>
          <w:bCs/>
          <w:sz w:val="24"/>
        </w:rPr>
      </w:pPr>
      <w:r>
        <w:rPr>
          <w:rFonts w:hint="eastAsia"/>
          <w:bCs/>
          <w:sz w:val="24"/>
        </w:rPr>
        <w:t>3</w:t>
      </w:r>
      <w:r>
        <w:rPr>
          <w:bCs/>
          <w:sz w:val="24"/>
        </w:rPr>
        <w:t>、基金财产的清算</w:t>
      </w:r>
    </w:p>
    <w:p w14:paraId="046C46AC">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（1）基金财产清算小组：自出现《基金合同》终止事由之日起30个工作日内成立基金财产清算小组，基金管理人组织基金财产清算小组并在中国证监会的监督下进行基金清算。</w:t>
      </w:r>
    </w:p>
    <w:p w14:paraId="23BCCA12">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32D4A62">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14:paraId="19164B68">
      <w:pPr>
        <w:adjustRightInd w:val="0"/>
        <w:snapToGrid w:val="0"/>
        <w:spacing w:line="360" w:lineRule="auto"/>
        <w:ind w:firstLine="480" w:firstLineChars="200"/>
        <w:rPr>
          <w:bCs/>
          <w:sz w:val="24"/>
        </w:rPr>
      </w:pPr>
      <w:r>
        <w:rPr>
          <w:rFonts w:hint="eastAsia"/>
          <w:bCs/>
          <w:sz w:val="24"/>
        </w:rPr>
        <w:t>（4）基金财产清算程序：</w:t>
      </w:r>
    </w:p>
    <w:p w14:paraId="02B33D6E">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14:paraId="423D35FD">
      <w:pPr>
        <w:adjustRightInd w:val="0"/>
        <w:snapToGrid w:val="0"/>
        <w:spacing w:line="360" w:lineRule="auto"/>
        <w:ind w:firstLine="480" w:firstLineChars="200"/>
        <w:rPr>
          <w:bCs/>
          <w:sz w:val="24"/>
        </w:rPr>
      </w:pPr>
      <w:r>
        <w:rPr>
          <w:rFonts w:hint="eastAsia"/>
          <w:bCs/>
          <w:sz w:val="24"/>
        </w:rPr>
        <w:t>2）对基金财产和债权债务进行清理和确认；</w:t>
      </w:r>
    </w:p>
    <w:p w14:paraId="3BCD106F">
      <w:pPr>
        <w:adjustRightInd w:val="0"/>
        <w:snapToGrid w:val="0"/>
        <w:spacing w:line="360" w:lineRule="auto"/>
        <w:ind w:firstLine="480" w:firstLineChars="200"/>
        <w:rPr>
          <w:bCs/>
          <w:sz w:val="24"/>
        </w:rPr>
      </w:pPr>
      <w:r>
        <w:rPr>
          <w:rFonts w:hint="eastAsia"/>
          <w:bCs/>
          <w:sz w:val="24"/>
        </w:rPr>
        <w:t>3）对基金财产进行估值和变现；</w:t>
      </w:r>
    </w:p>
    <w:p w14:paraId="6D093989">
      <w:pPr>
        <w:adjustRightInd w:val="0"/>
        <w:snapToGrid w:val="0"/>
        <w:spacing w:line="360" w:lineRule="auto"/>
        <w:ind w:firstLine="480" w:firstLineChars="200"/>
        <w:rPr>
          <w:bCs/>
          <w:sz w:val="24"/>
        </w:rPr>
      </w:pPr>
      <w:r>
        <w:rPr>
          <w:rFonts w:hint="eastAsia"/>
          <w:bCs/>
          <w:sz w:val="24"/>
        </w:rPr>
        <w:t>4）制作清算报告；</w:t>
      </w:r>
    </w:p>
    <w:p w14:paraId="4C312D4A">
      <w:pPr>
        <w:adjustRightInd w:val="0"/>
        <w:snapToGrid w:val="0"/>
        <w:spacing w:line="360" w:lineRule="auto"/>
        <w:ind w:firstLine="480" w:firstLineChars="200"/>
        <w:rPr>
          <w:bCs/>
          <w:sz w:val="24"/>
        </w:rPr>
      </w:pPr>
      <w:r>
        <w:rPr>
          <w:rFonts w:hint="eastAsia"/>
          <w:bCs/>
          <w:sz w:val="24"/>
        </w:rPr>
        <w:t>5）聘请符合《中华人民共和国证券法》规定的会计师事务所对清算报告进行外部审计，聘请律师事务所对清算报告出具法律意见书；</w:t>
      </w:r>
    </w:p>
    <w:p w14:paraId="676C4825">
      <w:pPr>
        <w:adjustRightInd w:val="0"/>
        <w:snapToGrid w:val="0"/>
        <w:spacing w:line="360" w:lineRule="auto"/>
        <w:ind w:firstLine="480" w:firstLineChars="200"/>
        <w:rPr>
          <w:bCs/>
          <w:sz w:val="24"/>
        </w:rPr>
      </w:pPr>
      <w:r>
        <w:rPr>
          <w:rFonts w:hint="eastAsia"/>
          <w:bCs/>
          <w:sz w:val="24"/>
        </w:rPr>
        <w:t>6）将清算报告报中国证监会备案并公告；</w:t>
      </w:r>
    </w:p>
    <w:p w14:paraId="07EF2922">
      <w:pPr>
        <w:adjustRightInd w:val="0"/>
        <w:snapToGrid w:val="0"/>
        <w:spacing w:line="360" w:lineRule="auto"/>
        <w:ind w:firstLine="480" w:firstLineChars="200"/>
        <w:rPr>
          <w:bCs/>
          <w:sz w:val="24"/>
        </w:rPr>
      </w:pPr>
      <w:r>
        <w:rPr>
          <w:rFonts w:hint="eastAsia"/>
          <w:bCs/>
          <w:sz w:val="24"/>
        </w:rPr>
        <w:t>7）对基金剩余财产进行分配。</w:t>
      </w:r>
    </w:p>
    <w:p w14:paraId="3A81F23A">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14:paraId="08494092">
      <w:pPr>
        <w:adjustRightInd w:val="0"/>
        <w:snapToGrid w:val="0"/>
        <w:spacing w:line="360" w:lineRule="auto"/>
        <w:ind w:firstLine="480" w:firstLineChars="200"/>
        <w:rPr>
          <w:bCs/>
          <w:sz w:val="24"/>
        </w:rPr>
      </w:pPr>
      <w:r>
        <w:rPr>
          <w:rFonts w:hint="eastAsia"/>
          <w:bCs/>
          <w:sz w:val="24"/>
        </w:rPr>
        <w:t>4</w:t>
      </w:r>
      <w:r>
        <w:rPr>
          <w:bCs/>
          <w:sz w:val="24"/>
        </w:rPr>
        <w:t>、清算费用</w:t>
      </w:r>
    </w:p>
    <w:p w14:paraId="2E762FDE">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16079B29">
      <w:pPr>
        <w:adjustRightInd w:val="0"/>
        <w:snapToGrid w:val="0"/>
        <w:spacing w:line="360" w:lineRule="auto"/>
        <w:ind w:firstLine="480" w:firstLineChars="200"/>
        <w:rPr>
          <w:bCs/>
          <w:sz w:val="24"/>
        </w:rPr>
      </w:pPr>
      <w:r>
        <w:rPr>
          <w:rFonts w:hint="eastAsia"/>
          <w:bCs/>
          <w:sz w:val="24"/>
        </w:rPr>
        <w:t>5</w:t>
      </w:r>
      <w:r>
        <w:rPr>
          <w:bCs/>
          <w:sz w:val="24"/>
        </w:rPr>
        <w:t>、基金财产清算剩余资产的分配</w:t>
      </w:r>
    </w:p>
    <w:p w14:paraId="050B6A6B">
      <w:pPr>
        <w:adjustRightInd w:val="0"/>
        <w:snapToGrid w:val="0"/>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14:paraId="0B794DBD">
      <w:pPr>
        <w:adjustRightInd w:val="0"/>
        <w:snapToGrid w:val="0"/>
        <w:spacing w:line="360" w:lineRule="auto"/>
        <w:ind w:firstLine="480" w:firstLineChars="200"/>
        <w:rPr>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209958AA">
      <w:pPr>
        <w:adjustRightInd w:val="0"/>
        <w:snapToGrid w:val="0"/>
        <w:spacing w:line="360" w:lineRule="auto"/>
        <w:ind w:firstLine="480" w:firstLineChars="200"/>
        <w:rPr>
          <w:bCs/>
          <w:sz w:val="24"/>
        </w:rPr>
      </w:pPr>
      <w:r>
        <w:rPr>
          <w:rFonts w:hint="eastAsia"/>
          <w:bCs/>
          <w:sz w:val="24"/>
        </w:rPr>
        <w:t>6</w:t>
      </w:r>
      <w:r>
        <w:rPr>
          <w:bCs/>
          <w:sz w:val="24"/>
        </w:rPr>
        <w:t>、基金财产清算的公告</w:t>
      </w:r>
    </w:p>
    <w:p w14:paraId="5C4FBBBD">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49F8211C">
      <w:pPr>
        <w:adjustRightInd w:val="0"/>
        <w:snapToGrid w:val="0"/>
        <w:spacing w:line="360" w:lineRule="auto"/>
        <w:ind w:firstLine="480" w:firstLineChars="200"/>
        <w:rPr>
          <w:bCs/>
          <w:sz w:val="24"/>
        </w:rPr>
      </w:pPr>
      <w:r>
        <w:rPr>
          <w:rFonts w:hint="eastAsia"/>
          <w:bCs/>
          <w:sz w:val="24"/>
        </w:rPr>
        <w:t>7</w:t>
      </w:r>
      <w:r>
        <w:rPr>
          <w:bCs/>
          <w:sz w:val="24"/>
        </w:rPr>
        <w:t>、基金财产清算账册及文件的保存</w:t>
      </w:r>
    </w:p>
    <w:p w14:paraId="0CC990C9">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14:paraId="77721517">
      <w:pPr>
        <w:adjustRightInd w:val="0"/>
        <w:snapToGrid w:val="0"/>
        <w:spacing w:line="360" w:lineRule="auto"/>
        <w:ind w:firstLine="482"/>
        <w:outlineLvl w:val="1"/>
        <w:rPr>
          <w:b/>
          <w:bCs/>
          <w:sz w:val="24"/>
        </w:rPr>
      </w:pPr>
      <w:r>
        <w:rPr>
          <w:b/>
          <w:bCs/>
          <w:sz w:val="24"/>
        </w:rPr>
        <w:t>（四）争议</w:t>
      </w:r>
      <w:r>
        <w:rPr>
          <w:rFonts w:hint="eastAsia"/>
          <w:b/>
          <w:bCs/>
          <w:sz w:val="24"/>
        </w:rPr>
        <w:t>解决方式</w:t>
      </w:r>
    </w:p>
    <w:p w14:paraId="69274225">
      <w:pPr>
        <w:adjustRightInd w:val="0"/>
        <w:snapToGrid w:val="0"/>
        <w:spacing w:line="360" w:lineRule="auto"/>
        <w:ind w:firstLine="482" w:firstLineChars="200"/>
        <w:rPr>
          <w:b/>
          <w:sz w:val="24"/>
        </w:rPr>
      </w:pPr>
      <w:r>
        <w:rPr>
          <w:rFonts w:hint="eastAsia"/>
          <w:b/>
          <w:sz w:val="24"/>
        </w:rPr>
        <w:t>各方当事人同意，因《基金合同》而产生的或与《基金合同》有关的一切争议，如经友好协商未能解决的，任何一方均有权将争议提交</w:t>
      </w:r>
      <w:r>
        <w:rPr>
          <w:b/>
          <w:sz w:val="24"/>
        </w:rPr>
        <w:t>中国</w:t>
      </w:r>
      <w:r>
        <w:rPr>
          <w:rFonts w:hint="eastAsia"/>
          <w:b/>
          <w:sz w:val="24"/>
        </w:rPr>
        <w:t>国际经济贸易仲裁委员会，按照</w:t>
      </w:r>
      <w:r>
        <w:rPr>
          <w:b/>
          <w:sz w:val="24"/>
        </w:rPr>
        <w:t>中国</w:t>
      </w:r>
      <w:r>
        <w:rPr>
          <w:rFonts w:hint="eastAsia"/>
          <w:b/>
          <w:sz w:val="24"/>
        </w:rPr>
        <w:t>国际经济贸易仲裁委员会届时有效的仲裁规则进行仲裁。仲裁地点为</w:t>
      </w:r>
      <w:r>
        <w:rPr>
          <w:b/>
          <w:sz w:val="24"/>
        </w:rPr>
        <w:t>北京</w:t>
      </w:r>
      <w:r>
        <w:rPr>
          <w:rFonts w:hint="eastAsia"/>
          <w:b/>
          <w:sz w:val="24"/>
        </w:rPr>
        <w:t>市。仲裁裁决是终局的，对各方当事人均有约束力，除非仲裁裁决另有规定，仲裁费由败诉方承担。</w:t>
      </w:r>
    </w:p>
    <w:p w14:paraId="3D191EC0">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14:paraId="0E9091DC">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bookmarkStart w:id="102" w:name="_Toc523711688"/>
    </w:p>
    <w:p w14:paraId="50CABE29">
      <w:pPr>
        <w:adjustRightInd w:val="0"/>
        <w:snapToGrid w:val="0"/>
        <w:spacing w:line="360" w:lineRule="auto"/>
        <w:ind w:firstLine="482"/>
        <w:outlineLvl w:val="1"/>
        <w:rPr>
          <w:b/>
          <w:bCs/>
          <w:sz w:val="24"/>
        </w:rPr>
      </w:pPr>
      <w:r>
        <w:rPr>
          <w:b/>
          <w:bCs/>
          <w:sz w:val="24"/>
        </w:rPr>
        <w:t>（五）基金合同存放地和投资者取得基金合同的方式</w:t>
      </w:r>
    </w:p>
    <w:bookmarkEnd w:id="102"/>
    <w:p w14:paraId="255B94EC">
      <w:pPr>
        <w:adjustRightInd w:val="0"/>
        <w:snapToGrid w:val="0"/>
        <w:spacing w:line="360" w:lineRule="auto"/>
        <w:ind w:firstLine="480" w:firstLineChars="200"/>
        <w:rPr>
          <w:bCs/>
          <w:sz w:val="24"/>
        </w:rPr>
      </w:pPr>
      <w:r>
        <w:rPr>
          <w:rFonts w:hint="eastAsia"/>
          <w:bCs/>
          <w:sz w:val="24"/>
        </w:rPr>
        <w:t>《基金合同》正本</w:t>
      </w:r>
      <w:r>
        <w:rPr>
          <w:bCs/>
          <w:sz w:val="24"/>
        </w:rPr>
        <w:t>一式</w:t>
      </w:r>
      <w:r>
        <w:rPr>
          <w:rFonts w:hint="eastAsia"/>
          <w:bCs/>
          <w:sz w:val="24"/>
        </w:rPr>
        <w:t>三</w:t>
      </w:r>
      <w:r>
        <w:rPr>
          <w:bCs/>
          <w:sz w:val="24"/>
        </w:rPr>
        <w:t>份</w:t>
      </w:r>
      <w:r>
        <w:rPr>
          <w:rFonts w:hint="eastAsia"/>
          <w:bCs/>
          <w:sz w:val="24"/>
        </w:rPr>
        <w:t>，除上报有关监管机构一</w:t>
      </w:r>
      <w:r>
        <w:rPr>
          <w:bCs/>
          <w:sz w:val="24"/>
        </w:rPr>
        <w:t>份</w:t>
      </w:r>
      <w:r>
        <w:rPr>
          <w:rFonts w:hint="eastAsia"/>
          <w:bCs/>
          <w:sz w:val="24"/>
        </w:rPr>
        <w:t>外，基金管理人、基金托管人各持有一份，每份具有同等的法律效力。</w:t>
      </w:r>
    </w:p>
    <w:p w14:paraId="66DAF8D5">
      <w:pPr>
        <w:adjustRightInd w:val="0"/>
        <w:snapToGrid w:val="0"/>
        <w:spacing w:line="360" w:lineRule="auto"/>
        <w:ind w:firstLine="480" w:firstLineChars="20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14:paraId="4970D0C9">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3" w:name="_Toc48122021"/>
      <w:r>
        <w:rPr>
          <w:rFonts w:hint="eastAsia" w:ascii="宋体" w:hAnsi="宋体"/>
          <w:b/>
          <w:kern w:val="0"/>
          <w:sz w:val="30"/>
        </w:rPr>
        <w:t>二十、托管协议的内容摘要</w:t>
      </w:r>
      <w:bookmarkEnd w:id="103"/>
    </w:p>
    <w:p w14:paraId="595D8674">
      <w:pPr>
        <w:adjustRightInd w:val="0"/>
        <w:snapToGrid w:val="0"/>
        <w:spacing w:line="360" w:lineRule="auto"/>
        <w:ind w:firstLine="482"/>
        <w:outlineLvl w:val="1"/>
        <w:rPr>
          <w:b/>
          <w:bCs/>
          <w:sz w:val="24"/>
        </w:rPr>
      </w:pPr>
      <w:r>
        <w:rPr>
          <w:rFonts w:hint="eastAsia"/>
          <w:b/>
          <w:bCs/>
          <w:sz w:val="24"/>
        </w:rPr>
        <w:t>（一）托管协议当事人</w:t>
      </w:r>
    </w:p>
    <w:p w14:paraId="10DAD615">
      <w:pPr>
        <w:widowControl/>
        <w:adjustRightInd w:val="0"/>
        <w:snapToGrid w:val="0"/>
        <w:spacing w:line="360" w:lineRule="auto"/>
        <w:ind w:firstLine="480" w:firstLineChars="200"/>
        <w:rPr>
          <w:bCs/>
          <w:sz w:val="24"/>
        </w:rPr>
      </w:pPr>
      <w:r>
        <w:rPr>
          <w:rFonts w:hint="eastAsia"/>
          <w:bCs/>
          <w:sz w:val="24"/>
        </w:rPr>
        <w:t>1、基金管理人</w:t>
      </w:r>
    </w:p>
    <w:p w14:paraId="243E555C">
      <w:pPr>
        <w:widowControl/>
        <w:adjustRightInd w:val="0"/>
        <w:snapToGrid w:val="0"/>
        <w:spacing w:line="360" w:lineRule="auto"/>
        <w:ind w:firstLine="480" w:firstLineChars="200"/>
        <w:rPr>
          <w:bCs/>
          <w:sz w:val="24"/>
        </w:rPr>
      </w:pPr>
      <w:r>
        <w:rPr>
          <w:rFonts w:hint="eastAsia"/>
          <w:bCs/>
          <w:sz w:val="24"/>
        </w:rPr>
        <w:t>名称：交银施罗德基金管理有限公司</w:t>
      </w:r>
    </w:p>
    <w:p w14:paraId="73C07FA4">
      <w:pPr>
        <w:widowControl/>
        <w:adjustRightInd w:val="0"/>
        <w:snapToGrid w:val="0"/>
        <w:spacing w:line="360" w:lineRule="auto"/>
        <w:ind w:firstLine="480" w:firstLineChars="200"/>
        <w:rPr>
          <w:bCs/>
          <w:sz w:val="24"/>
        </w:rPr>
      </w:pPr>
      <w:r>
        <w:rPr>
          <w:rFonts w:hint="eastAsia"/>
          <w:bCs/>
          <w:sz w:val="24"/>
        </w:rPr>
        <w:t>注册地址：中国（上海）自由贸易试验区银城中路188号交通银行大楼二层（裙）</w:t>
      </w:r>
    </w:p>
    <w:p w14:paraId="3B93237E">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14:paraId="11CF9B39">
      <w:pPr>
        <w:widowControl/>
        <w:adjustRightInd w:val="0"/>
        <w:snapToGrid w:val="0"/>
        <w:spacing w:line="360" w:lineRule="auto"/>
        <w:ind w:firstLine="480" w:firstLineChars="200"/>
        <w:rPr>
          <w:bCs/>
          <w:sz w:val="24"/>
        </w:rPr>
      </w:pPr>
      <w:r>
        <w:rPr>
          <w:rFonts w:hint="eastAsia"/>
          <w:bCs/>
          <w:sz w:val="24"/>
        </w:rPr>
        <w:t>邮政编码：200120</w:t>
      </w:r>
    </w:p>
    <w:p w14:paraId="18CCBB4E">
      <w:pPr>
        <w:widowControl/>
        <w:adjustRightInd w:val="0"/>
        <w:snapToGrid w:val="0"/>
        <w:spacing w:line="360" w:lineRule="auto"/>
        <w:ind w:firstLine="480" w:firstLineChars="200"/>
        <w:rPr>
          <w:rFonts w:hint="eastAsia" w:eastAsia="宋体"/>
          <w:bCs/>
          <w:sz w:val="24"/>
          <w:lang w:eastAsia="zh-CN"/>
        </w:rPr>
      </w:pPr>
      <w:r>
        <w:rPr>
          <w:rFonts w:hint="eastAsia"/>
          <w:bCs/>
          <w:sz w:val="24"/>
        </w:rPr>
        <w:t>法定代表人：</w:t>
      </w:r>
      <w:r>
        <w:rPr>
          <w:rFonts w:hint="eastAsia"/>
          <w:bCs/>
          <w:sz w:val="24"/>
          <w:lang w:eastAsia="zh-CN"/>
        </w:rPr>
        <w:t>袁庆伟（代任）</w:t>
      </w:r>
    </w:p>
    <w:p w14:paraId="6E7E299F">
      <w:pPr>
        <w:widowControl/>
        <w:adjustRightInd w:val="0"/>
        <w:snapToGrid w:val="0"/>
        <w:spacing w:line="360" w:lineRule="auto"/>
        <w:ind w:firstLine="480" w:firstLineChars="200"/>
        <w:rPr>
          <w:bCs/>
          <w:sz w:val="24"/>
        </w:rPr>
      </w:pPr>
      <w:r>
        <w:rPr>
          <w:rFonts w:hint="eastAsia"/>
          <w:bCs/>
          <w:sz w:val="24"/>
        </w:rPr>
        <w:t>成立日期：2005年8月4日</w:t>
      </w:r>
    </w:p>
    <w:p w14:paraId="36FB9B86">
      <w:pPr>
        <w:widowControl/>
        <w:adjustRightInd w:val="0"/>
        <w:snapToGrid w:val="0"/>
        <w:spacing w:line="360" w:lineRule="auto"/>
        <w:ind w:firstLine="480" w:firstLineChars="200"/>
        <w:rPr>
          <w:bCs/>
          <w:sz w:val="24"/>
        </w:rPr>
      </w:pPr>
      <w:r>
        <w:rPr>
          <w:rFonts w:hint="eastAsia"/>
          <w:bCs/>
          <w:sz w:val="24"/>
        </w:rPr>
        <w:t>批准设立机关及批准设立文号：中国证监会证监基金字[2005]128号</w:t>
      </w:r>
    </w:p>
    <w:p w14:paraId="186F9CAE">
      <w:pPr>
        <w:widowControl/>
        <w:adjustRightInd w:val="0"/>
        <w:snapToGrid w:val="0"/>
        <w:spacing w:line="360" w:lineRule="auto"/>
        <w:ind w:firstLine="480" w:firstLineChars="200"/>
        <w:rPr>
          <w:bCs/>
          <w:sz w:val="24"/>
        </w:rPr>
      </w:pPr>
      <w:r>
        <w:rPr>
          <w:rFonts w:hint="eastAsia"/>
          <w:bCs/>
          <w:sz w:val="24"/>
        </w:rPr>
        <w:t>组织形式：有限责任公司</w:t>
      </w:r>
    </w:p>
    <w:p w14:paraId="6CFE78D0">
      <w:pPr>
        <w:widowControl/>
        <w:adjustRightInd w:val="0"/>
        <w:snapToGrid w:val="0"/>
        <w:spacing w:line="360" w:lineRule="auto"/>
        <w:ind w:firstLine="480" w:firstLineChars="200"/>
        <w:rPr>
          <w:bCs/>
          <w:sz w:val="24"/>
        </w:rPr>
      </w:pPr>
      <w:r>
        <w:rPr>
          <w:rFonts w:hint="eastAsia"/>
          <w:bCs/>
          <w:sz w:val="24"/>
        </w:rPr>
        <w:t>注册资本：2亿元人民币</w:t>
      </w:r>
    </w:p>
    <w:p w14:paraId="73AC5B8C">
      <w:pPr>
        <w:widowControl/>
        <w:adjustRightInd w:val="0"/>
        <w:snapToGrid w:val="0"/>
        <w:spacing w:line="360" w:lineRule="auto"/>
        <w:ind w:firstLine="480" w:firstLineChars="200"/>
        <w:rPr>
          <w:bCs/>
          <w:sz w:val="24"/>
        </w:rPr>
      </w:pPr>
      <w:r>
        <w:rPr>
          <w:rFonts w:hint="eastAsia"/>
          <w:bCs/>
          <w:sz w:val="24"/>
        </w:rPr>
        <w:t>存续期间：持续经营</w:t>
      </w:r>
    </w:p>
    <w:p w14:paraId="06FEA418">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经营范围：基金募集、基金销售、资产管理和中国证监会许可的其他业务</w:t>
      </w:r>
    </w:p>
    <w:p w14:paraId="516AC44D">
      <w:pPr>
        <w:widowControl/>
        <w:adjustRightInd w:val="0"/>
        <w:snapToGrid w:val="0"/>
        <w:spacing w:line="360" w:lineRule="auto"/>
        <w:ind w:firstLine="480" w:firstLineChars="200"/>
        <w:rPr>
          <w:bCs/>
          <w:sz w:val="24"/>
        </w:rPr>
      </w:pPr>
      <w:r>
        <w:rPr>
          <w:rFonts w:hint="eastAsia"/>
          <w:bCs/>
          <w:sz w:val="24"/>
        </w:rPr>
        <w:t>2、基金托管人</w:t>
      </w:r>
    </w:p>
    <w:p w14:paraId="0C3FABD6">
      <w:pPr>
        <w:widowControl/>
        <w:adjustRightInd w:val="0"/>
        <w:snapToGrid w:val="0"/>
        <w:spacing w:line="360" w:lineRule="auto"/>
        <w:ind w:firstLine="480" w:firstLineChars="200"/>
        <w:rPr>
          <w:bCs/>
          <w:sz w:val="24"/>
        </w:rPr>
      </w:pPr>
      <w:r>
        <w:rPr>
          <w:rFonts w:hint="eastAsia"/>
          <w:bCs/>
          <w:sz w:val="24"/>
        </w:rPr>
        <w:t>名称：中国农业银行股份有限公司</w:t>
      </w:r>
    </w:p>
    <w:p w14:paraId="08916368">
      <w:pPr>
        <w:widowControl/>
        <w:adjustRightInd w:val="0"/>
        <w:snapToGrid w:val="0"/>
        <w:spacing w:line="360" w:lineRule="auto"/>
        <w:ind w:firstLine="480" w:firstLineChars="200"/>
        <w:rPr>
          <w:bCs/>
          <w:sz w:val="24"/>
        </w:rPr>
      </w:pPr>
      <w:r>
        <w:rPr>
          <w:rFonts w:hint="eastAsia"/>
          <w:bCs/>
          <w:sz w:val="24"/>
        </w:rPr>
        <w:t>注册地址：北京市东城区建国门内大街69号</w:t>
      </w:r>
    </w:p>
    <w:p w14:paraId="43024E4C">
      <w:pPr>
        <w:widowControl/>
        <w:adjustRightInd w:val="0"/>
        <w:snapToGrid w:val="0"/>
        <w:spacing w:line="360" w:lineRule="auto"/>
        <w:ind w:firstLine="480" w:firstLineChars="200"/>
        <w:rPr>
          <w:bCs/>
          <w:sz w:val="24"/>
        </w:rPr>
      </w:pPr>
      <w:r>
        <w:rPr>
          <w:rFonts w:hint="eastAsia"/>
          <w:bCs/>
          <w:sz w:val="24"/>
        </w:rPr>
        <w:t>办公地址：北京市西城区复兴门内大街28号凯晨世贸中心东座九层</w:t>
      </w:r>
    </w:p>
    <w:p w14:paraId="11011EA6">
      <w:pPr>
        <w:widowControl/>
        <w:adjustRightInd w:val="0"/>
        <w:snapToGrid w:val="0"/>
        <w:spacing w:line="360" w:lineRule="auto"/>
        <w:ind w:firstLine="480" w:firstLineChars="200"/>
        <w:rPr>
          <w:bCs/>
          <w:sz w:val="24"/>
        </w:rPr>
      </w:pPr>
      <w:r>
        <w:rPr>
          <w:rFonts w:hint="eastAsia"/>
          <w:bCs/>
          <w:sz w:val="24"/>
        </w:rPr>
        <w:t>邮政编码：100031</w:t>
      </w:r>
    </w:p>
    <w:p w14:paraId="0896094C">
      <w:pPr>
        <w:widowControl/>
        <w:adjustRightInd w:val="0"/>
        <w:snapToGrid w:val="0"/>
        <w:spacing w:line="360" w:lineRule="auto"/>
        <w:ind w:firstLine="480" w:firstLineChars="200"/>
        <w:rPr>
          <w:bCs/>
          <w:sz w:val="24"/>
        </w:rPr>
      </w:pPr>
      <w:r>
        <w:rPr>
          <w:rFonts w:hint="eastAsia"/>
          <w:bCs/>
          <w:sz w:val="24"/>
        </w:rPr>
        <w:t>法定代表人：谷澍</w:t>
      </w:r>
    </w:p>
    <w:p w14:paraId="0A1E188D">
      <w:pPr>
        <w:widowControl/>
        <w:adjustRightInd w:val="0"/>
        <w:snapToGrid w:val="0"/>
        <w:spacing w:line="360" w:lineRule="auto"/>
        <w:ind w:firstLine="480" w:firstLineChars="200"/>
        <w:rPr>
          <w:bCs/>
          <w:sz w:val="24"/>
        </w:rPr>
      </w:pPr>
      <w:r>
        <w:rPr>
          <w:rFonts w:hint="eastAsia"/>
          <w:bCs/>
          <w:sz w:val="24"/>
        </w:rPr>
        <w:t>成立时间：2009年1月15日</w:t>
      </w:r>
    </w:p>
    <w:p w14:paraId="192ABAD5">
      <w:pPr>
        <w:widowControl/>
        <w:adjustRightInd w:val="0"/>
        <w:snapToGrid w:val="0"/>
        <w:spacing w:line="360" w:lineRule="auto"/>
        <w:ind w:firstLine="480" w:firstLineChars="200"/>
        <w:rPr>
          <w:bCs/>
          <w:sz w:val="24"/>
        </w:rPr>
      </w:pPr>
      <w:r>
        <w:rPr>
          <w:rFonts w:hint="eastAsia"/>
          <w:bCs/>
          <w:sz w:val="24"/>
        </w:rPr>
        <w:t>基金托管资格批文及文号：中国证监会证监基字[1998]23号</w:t>
      </w:r>
    </w:p>
    <w:p w14:paraId="261D8173">
      <w:pPr>
        <w:widowControl/>
        <w:adjustRightInd w:val="0"/>
        <w:snapToGrid w:val="0"/>
        <w:spacing w:line="360" w:lineRule="auto"/>
        <w:ind w:firstLine="480" w:firstLineChars="200"/>
        <w:rPr>
          <w:bCs/>
          <w:sz w:val="24"/>
        </w:rPr>
      </w:pPr>
      <w:r>
        <w:rPr>
          <w:rFonts w:hint="eastAsia"/>
          <w:bCs/>
          <w:sz w:val="24"/>
        </w:rPr>
        <w:t>批准设立机关和批准设立文号：中国银监会银监复[2009]13号</w:t>
      </w:r>
    </w:p>
    <w:p w14:paraId="591A7253">
      <w:pPr>
        <w:widowControl/>
        <w:adjustRightInd w:val="0"/>
        <w:snapToGrid w:val="0"/>
        <w:spacing w:line="360" w:lineRule="auto"/>
        <w:ind w:firstLine="480" w:firstLineChars="200"/>
        <w:rPr>
          <w:bCs/>
          <w:sz w:val="24"/>
        </w:rPr>
      </w:pPr>
      <w:r>
        <w:rPr>
          <w:rFonts w:hint="eastAsia"/>
          <w:bCs/>
          <w:sz w:val="24"/>
        </w:rPr>
        <w:t>组织形式：股份有限公司</w:t>
      </w:r>
    </w:p>
    <w:p w14:paraId="464F36E4">
      <w:pPr>
        <w:widowControl/>
        <w:adjustRightInd w:val="0"/>
        <w:snapToGrid w:val="0"/>
        <w:spacing w:line="360" w:lineRule="auto"/>
        <w:ind w:firstLine="480" w:firstLineChars="200"/>
        <w:rPr>
          <w:bCs/>
          <w:sz w:val="24"/>
        </w:rPr>
      </w:pPr>
      <w:r>
        <w:rPr>
          <w:rFonts w:hint="eastAsia"/>
          <w:bCs/>
          <w:sz w:val="24"/>
        </w:rPr>
        <w:t>注册资本：34,998,303.4万元人民币</w:t>
      </w:r>
    </w:p>
    <w:p w14:paraId="175D07CA">
      <w:pPr>
        <w:widowControl/>
        <w:adjustRightInd w:val="0"/>
        <w:snapToGrid w:val="0"/>
        <w:spacing w:line="360" w:lineRule="auto"/>
        <w:ind w:firstLine="480" w:firstLineChars="200"/>
        <w:rPr>
          <w:bCs/>
          <w:sz w:val="24"/>
        </w:rPr>
      </w:pPr>
      <w:r>
        <w:rPr>
          <w:rFonts w:hint="eastAsia"/>
          <w:bCs/>
          <w:sz w:val="24"/>
        </w:rPr>
        <w:t>存续期间：持续经营</w:t>
      </w:r>
    </w:p>
    <w:p w14:paraId="13820F30">
      <w:pPr>
        <w:widowControl/>
        <w:adjustRightInd w:val="0"/>
        <w:snapToGrid w:val="0"/>
        <w:spacing w:line="360" w:lineRule="auto"/>
        <w:ind w:firstLine="480" w:firstLineChars="200"/>
        <w:rPr>
          <w:bCs/>
          <w:sz w:val="24"/>
        </w:rPr>
      </w:pPr>
      <w:r>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4530C5BE">
      <w:pPr>
        <w:adjustRightInd w:val="0"/>
        <w:snapToGrid w:val="0"/>
        <w:spacing w:line="360" w:lineRule="auto"/>
        <w:ind w:firstLine="482"/>
        <w:outlineLvl w:val="1"/>
        <w:rPr>
          <w:b/>
          <w:bCs/>
          <w:sz w:val="24"/>
        </w:rPr>
      </w:pPr>
      <w:r>
        <w:rPr>
          <w:rFonts w:hint="eastAsia"/>
          <w:b/>
          <w:bCs/>
          <w:sz w:val="24"/>
        </w:rPr>
        <w:t>（二）基金托管人对基金管理人的业务监督和核查</w:t>
      </w:r>
    </w:p>
    <w:p w14:paraId="636D54F0">
      <w:pPr>
        <w:adjustRightInd w:val="0"/>
        <w:snapToGrid w:val="0"/>
        <w:spacing w:line="360" w:lineRule="auto"/>
        <w:ind w:firstLine="482"/>
        <w:rPr>
          <w:rFonts w:ascii="宋体" w:hAnsi="宋体"/>
          <w:sz w:val="24"/>
          <w:szCs w:val="24"/>
        </w:rPr>
      </w:pPr>
      <w:r>
        <w:rPr>
          <w:rFonts w:hint="eastAsia" w:ascii="宋体" w:hAnsi="宋体"/>
          <w:sz w:val="24"/>
          <w:szCs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14:paraId="34AD32FE">
      <w:pPr>
        <w:adjustRightInd w:val="0"/>
        <w:snapToGrid w:val="0"/>
        <w:spacing w:line="360" w:lineRule="auto"/>
        <w:ind w:firstLine="482"/>
        <w:rPr>
          <w:rFonts w:ascii="宋体" w:hAnsi="宋体"/>
          <w:sz w:val="24"/>
          <w:szCs w:val="24"/>
        </w:rPr>
      </w:pPr>
      <w:r>
        <w:rPr>
          <w:rFonts w:hint="eastAsia" w:ascii="宋体" w:hAnsi="宋体"/>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EC02B7D">
      <w:pPr>
        <w:adjustRightInd w:val="0"/>
        <w:snapToGrid w:val="0"/>
        <w:spacing w:line="360" w:lineRule="auto"/>
        <w:ind w:firstLine="482"/>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14:paraId="7A490ABE">
      <w:pPr>
        <w:adjustRightInd w:val="0"/>
        <w:snapToGrid w:val="0"/>
        <w:spacing w:line="360" w:lineRule="auto"/>
        <w:ind w:firstLine="482"/>
        <w:rPr>
          <w:rFonts w:ascii="宋体" w:hAnsi="宋体"/>
          <w:sz w:val="24"/>
          <w:szCs w:val="24"/>
        </w:rPr>
      </w:pPr>
      <w:r>
        <w:rPr>
          <w:rFonts w:hint="eastAsia" w:ascii="宋体" w:hAnsi="宋体"/>
          <w:sz w:val="24"/>
          <w:szCs w:val="24"/>
        </w:rPr>
        <w:t>基金的投资组合比例为：股票投资（含存托凭证）占基金资产的比例为60%-95%（其中投资于港股通标的股票的比例占股票资产的0%-50%），投资于消费主题相关股票（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3F8C1539">
      <w:pPr>
        <w:adjustRightInd w:val="0"/>
        <w:snapToGrid w:val="0"/>
        <w:spacing w:line="360" w:lineRule="auto"/>
        <w:ind w:firstLine="482"/>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14:paraId="63EEFB43">
      <w:pPr>
        <w:adjustRightInd w:val="0"/>
        <w:snapToGrid w:val="0"/>
        <w:spacing w:line="360" w:lineRule="auto"/>
        <w:ind w:firstLine="482"/>
        <w:rPr>
          <w:rFonts w:ascii="宋体" w:hAnsi="宋体"/>
          <w:sz w:val="24"/>
          <w:szCs w:val="24"/>
        </w:rPr>
      </w:pPr>
      <w:r>
        <w:rPr>
          <w:rFonts w:hint="eastAsia" w:ascii="宋体" w:hAnsi="宋体"/>
          <w:sz w:val="24"/>
          <w:szCs w:val="24"/>
        </w:rPr>
        <w:t>2、基金托管人根据有关法律法规的规定及基金合同的约定，对基金投资、融资比例进行监督。基金托管人按下述比例和调整期限进行监督：</w:t>
      </w:r>
    </w:p>
    <w:p w14:paraId="537FD10D">
      <w:pPr>
        <w:adjustRightInd w:val="0"/>
        <w:snapToGrid w:val="0"/>
        <w:spacing w:line="360" w:lineRule="auto"/>
        <w:ind w:firstLine="482"/>
        <w:rPr>
          <w:rFonts w:ascii="宋体" w:hAnsi="宋体"/>
          <w:sz w:val="24"/>
          <w:szCs w:val="24"/>
        </w:rPr>
      </w:pPr>
      <w:r>
        <w:rPr>
          <w:rFonts w:hint="eastAsia" w:ascii="宋体" w:hAnsi="宋体"/>
          <w:sz w:val="24"/>
          <w:szCs w:val="24"/>
        </w:rPr>
        <w:t>（1）股票投资（含存托凭证）占基金资产的比例为60%-95%（其中投资于港股通标的股票的比例占股票资产的0%-50%），投资于消费主题相关股票（含存托凭证）的比例不低于非现金基金资产的80%；</w:t>
      </w:r>
    </w:p>
    <w:p w14:paraId="7D62474C">
      <w:pPr>
        <w:adjustRightInd w:val="0"/>
        <w:snapToGrid w:val="0"/>
        <w:spacing w:line="360" w:lineRule="auto"/>
        <w:ind w:firstLine="482"/>
        <w:rPr>
          <w:rFonts w:ascii="宋体" w:hAnsi="宋体"/>
          <w:sz w:val="24"/>
          <w:szCs w:val="24"/>
        </w:rPr>
      </w:pPr>
      <w:r>
        <w:rPr>
          <w:rFonts w:hint="eastAsia" w:ascii="宋体" w:hAnsi="宋体"/>
          <w:sz w:val="24"/>
          <w:szCs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21832F36">
      <w:pPr>
        <w:adjustRightInd w:val="0"/>
        <w:snapToGrid w:val="0"/>
        <w:spacing w:line="360" w:lineRule="auto"/>
        <w:ind w:firstLine="482"/>
        <w:rPr>
          <w:rFonts w:ascii="宋体" w:hAnsi="宋体"/>
          <w:sz w:val="24"/>
          <w:szCs w:val="24"/>
        </w:rPr>
      </w:pPr>
      <w:r>
        <w:rPr>
          <w:rFonts w:hint="eastAsia" w:ascii="宋体" w:hAnsi="宋体"/>
          <w:sz w:val="24"/>
          <w:szCs w:val="24"/>
        </w:rPr>
        <w:t>（3）本基金持有一家公司发行的证券（同一家公司在内地和香港同时上市的A+H股合计计算），其市值不超过基金资产净值的10％；</w:t>
      </w:r>
    </w:p>
    <w:p w14:paraId="63721849">
      <w:pPr>
        <w:adjustRightInd w:val="0"/>
        <w:snapToGrid w:val="0"/>
        <w:spacing w:line="360" w:lineRule="auto"/>
        <w:ind w:firstLine="482"/>
        <w:rPr>
          <w:rFonts w:ascii="宋体" w:hAnsi="宋体"/>
          <w:sz w:val="24"/>
          <w:szCs w:val="24"/>
        </w:rPr>
      </w:pPr>
      <w:r>
        <w:rPr>
          <w:rFonts w:hint="eastAsia" w:ascii="宋体" w:hAnsi="宋体"/>
          <w:sz w:val="24"/>
          <w:szCs w:val="24"/>
        </w:rPr>
        <w:t>（4）本基金管理人管理的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14:paraId="28CEEF4A">
      <w:pPr>
        <w:adjustRightInd w:val="0"/>
        <w:snapToGrid w:val="0"/>
        <w:spacing w:line="360" w:lineRule="auto"/>
        <w:ind w:firstLine="482"/>
        <w:rPr>
          <w:rFonts w:ascii="宋体" w:hAnsi="宋体"/>
          <w:sz w:val="24"/>
          <w:szCs w:val="24"/>
        </w:rPr>
      </w:pPr>
      <w:r>
        <w:rPr>
          <w:rFonts w:hint="eastAsia" w:ascii="宋体" w:hAnsi="宋体"/>
          <w:sz w:val="24"/>
          <w:szCs w:val="24"/>
        </w:rPr>
        <w:t>（5）本基金投资于同一原始权益人的各类资产支持证券的比例，不得超过基金资产净值的10％；</w:t>
      </w:r>
    </w:p>
    <w:p w14:paraId="7B8AFCE0">
      <w:pPr>
        <w:adjustRightInd w:val="0"/>
        <w:snapToGrid w:val="0"/>
        <w:spacing w:line="360" w:lineRule="auto"/>
        <w:ind w:firstLine="482"/>
        <w:rPr>
          <w:rFonts w:ascii="宋体" w:hAnsi="宋体"/>
          <w:sz w:val="24"/>
          <w:szCs w:val="24"/>
        </w:rPr>
      </w:pPr>
      <w:r>
        <w:rPr>
          <w:rFonts w:hint="eastAsia" w:ascii="宋体" w:hAnsi="宋体"/>
          <w:sz w:val="24"/>
          <w:szCs w:val="24"/>
        </w:rPr>
        <w:t>（6）本基金持有的全部资产支持证券，其市值不得超过基金资产净值的20％；</w:t>
      </w:r>
    </w:p>
    <w:p w14:paraId="7404CFCC">
      <w:pPr>
        <w:adjustRightInd w:val="0"/>
        <w:snapToGrid w:val="0"/>
        <w:spacing w:line="360" w:lineRule="auto"/>
        <w:ind w:firstLine="482"/>
        <w:rPr>
          <w:rFonts w:ascii="宋体" w:hAnsi="宋体"/>
          <w:sz w:val="24"/>
          <w:szCs w:val="24"/>
        </w:rPr>
      </w:pPr>
      <w:r>
        <w:rPr>
          <w:rFonts w:hint="eastAsia" w:ascii="宋体" w:hAnsi="宋体"/>
          <w:sz w:val="24"/>
          <w:szCs w:val="24"/>
        </w:rPr>
        <w:t>（7）本基金持有的同一（指同一信用级别）资产支持证券的比例，不得超过该资产支持证券规模的10％；</w:t>
      </w:r>
    </w:p>
    <w:p w14:paraId="08C34503">
      <w:pPr>
        <w:adjustRightInd w:val="0"/>
        <w:snapToGrid w:val="0"/>
        <w:spacing w:line="360" w:lineRule="auto"/>
        <w:ind w:firstLine="482"/>
        <w:rPr>
          <w:rFonts w:ascii="宋体" w:hAnsi="宋体"/>
          <w:sz w:val="24"/>
          <w:szCs w:val="24"/>
        </w:rPr>
      </w:pPr>
      <w:r>
        <w:rPr>
          <w:rFonts w:hint="eastAsia" w:ascii="宋体" w:hAnsi="宋体"/>
          <w:sz w:val="24"/>
          <w:szCs w:val="24"/>
        </w:rPr>
        <w:t>（8）本基金管理人管理的且由本基金托管人托管的全部基金投资于同一原始权益人的各类资产支持证券，不得超过其各类资产支持证券合计规模的10％；</w:t>
      </w:r>
    </w:p>
    <w:p w14:paraId="1FD94289">
      <w:pPr>
        <w:adjustRightInd w:val="0"/>
        <w:snapToGrid w:val="0"/>
        <w:spacing w:line="360" w:lineRule="auto"/>
        <w:ind w:firstLine="482"/>
        <w:rPr>
          <w:rFonts w:ascii="宋体" w:hAnsi="宋体"/>
          <w:sz w:val="24"/>
          <w:szCs w:val="24"/>
        </w:rPr>
      </w:pPr>
      <w:r>
        <w:rPr>
          <w:rFonts w:hint="eastAsia" w:ascii="宋体" w:hAnsi="宋体"/>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5D1E82C4">
      <w:pPr>
        <w:adjustRightInd w:val="0"/>
        <w:snapToGrid w:val="0"/>
        <w:spacing w:line="360" w:lineRule="auto"/>
        <w:ind w:firstLine="482"/>
        <w:rPr>
          <w:rFonts w:ascii="宋体" w:hAnsi="宋体"/>
          <w:sz w:val="24"/>
          <w:szCs w:val="24"/>
        </w:rPr>
      </w:pPr>
      <w:r>
        <w:rPr>
          <w:rFonts w:hint="eastAsia" w:ascii="宋体" w:hAnsi="宋体"/>
          <w:sz w:val="24"/>
          <w:szCs w:val="24"/>
        </w:rPr>
        <w:t>（10）基金财产参与股票发行申购，本基金所申报的金额不超过本基金的总资产，本基金所申报的股票数量不超过拟发行股票公司本次发行股票的总量；</w:t>
      </w:r>
    </w:p>
    <w:p w14:paraId="59BC6456">
      <w:pPr>
        <w:adjustRightInd w:val="0"/>
        <w:snapToGrid w:val="0"/>
        <w:spacing w:line="360" w:lineRule="auto"/>
        <w:ind w:firstLine="482"/>
        <w:rPr>
          <w:rFonts w:ascii="宋体" w:hAnsi="宋体"/>
          <w:sz w:val="24"/>
          <w:szCs w:val="24"/>
        </w:rPr>
      </w:pPr>
      <w:r>
        <w:rPr>
          <w:rFonts w:hint="eastAsia" w:ascii="宋体" w:hAnsi="宋体"/>
          <w:sz w:val="24"/>
          <w:szCs w:val="24"/>
        </w:rPr>
        <w:t>（11）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84E2B58">
      <w:pPr>
        <w:adjustRightInd w:val="0"/>
        <w:snapToGrid w:val="0"/>
        <w:spacing w:line="360" w:lineRule="auto"/>
        <w:ind w:firstLine="482"/>
        <w:rPr>
          <w:rFonts w:ascii="宋体" w:hAnsi="宋体"/>
          <w:sz w:val="24"/>
          <w:szCs w:val="24"/>
        </w:rPr>
      </w:pPr>
      <w:r>
        <w:rPr>
          <w:rFonts w:hint="eastAsia" w:ascii="宋体" w:hAnsi="宋体"/>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87B79E0">
      <w:pPr>
        <w:adjustRightInd w:val="0"/>
        <w:snapToGrid w:val="0"/>
        <w:spacing w:line="360" w:lineRule="auto"/>
        <w:ind w:firstLine="482"/>
        <w:rPr>
          <w:rFonts w:ascii="宋体" w:hAnsi="宋体"/>
          <w:sz w:val="24"/>
          <w:szCs w:val="24"/>
        </w:rPr>
      </w:pPr>
      <w:r>
        <w:rPr>
          <w:rFonts w:hint="eastAsia" w:ascii="宋体" w:hAnsi="宋体"/>
          <w:sz w:val="24"/>
          <w:szCs w:val="24"/>
        </w:rPr>
        <w:t>（13）本基金与私募类证券资管产品及中国证监会认定的其他主体为交易对手开展逆回购交易的，可接受质押品的资质要求应当与基金合同约定的投资范围保持一致；</w:t>
      </w:r>
    </w:p>
    <w:p w14:paraId="346FA2E5">
      <w:pPr>
        <w:adjustRightInd w:val="0"/>
        <w:snapToGrid w:val="0"/>
        <w:spacing w:line="360" w:lineRule="auto"/>
        <w:ind w:firstLine="482"/>
        <w:rPr>
          <w:rFonts w:ascii="宋体" w:hAnsi="宋体"/>
          <w:sz w:val="24"/>
          <w:szCs w:val="24"/>
        </w:rPr>
      </w:pPr>
      <w:r>
        <w:rPr>
          <w:rFonts w:hint="eastAsia" w:ascii="宋体" w:hAnsi="宋体"/>
          <w:sz w:val="24"/>
          <w:szCs w:val="24"/>
        </w:rPr>
        <w:t>（14）若本基金参与股指期货交易，则：</w:t>
      </w:r>
    </w:p>
    <w:p w14:paraId="2E48DBCC">
      <w:pPr>
        <w:adjustRightInd w:val="0"/>
        <w:snapToGrid w:val="0"/>
        <w:spacing w:line="360" w:lineRule="auto"/>
        <w:ind w:firstLine="482"/>
        <w:rPr>
          <w:rFonts w:ascii="宋体" w:hAnsi="宋体"/>
          <w:sz w:val="24"/>
          <w:szCs w:val="24"/>
        </w:rPr>
      </w:pPr>
      <w:r>
        <w:rPr>
          <w:rFonts w:hint="eastAsia" w:ascii="宋体" w:hAnsi="宋体"/>
          <w:sz w:val="24"/>
          <w:szCs w:val="24"/>
        </w:rPr>
        <w:t>1）本基金在任何交易日日终，持有的买入股指期货合约价值，不得超过基金资产净值的10%；</w:t>
      </w:r>
    </w:p>
    <w:p w14:paraId="67236FB6">
      <w:pPr>
        <w:adjustRightInd w:val="0"/>
        <w:snapToGrid w:val="0"/>
        <w:spacing w:line="360" w:lineRule="auto"/>
        <w:ind w:firstLine="482"/>
        <w:rPr>
          <w:rFonts w:ascii="宋体" w:hAnsi="宋体"/>
          <w:sz w:val="24"/>
          <w:szCs w:val="24"/>
        </w:rPr>
      </w:pPr>
      <w:r>
        <w:rPr>
          <w:rFonts w:hint="eastAsia" w:ascii="宋体" w:hAnsi="宋体"/>
          <w:sz w:val="24"/>
          <w:szCs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19F6481F">
      <w:pPr>
        <w:adjustRightInd w:val="0"/>
        <w:snapToGrid w:val="0"/>
        <w:spacing w:line="360" w:lineRule="auto"/>
        <w:ind w:firstLine="482"/>
        <w:rPr>
          <w:rFonts w:ascii="宋体" w:hAnsi="宋体"/>
          <w:sz w:val="24"/>
          <w:szCs w:val="24"/>
        </w:rPr>
      </w:pPr>
      <w:r>
        <w:rPr>
          <w:rFonts w:hint="eastAsia" w:ascii="宋体" w:hAnsi="宋体"/>
          <w:sz w:val="24"/>
          <w:szCs w:val="24"/>
        </w:rPr>
        <w:t>3）本基金在任何交易日日终，持有的卖出股指期货合约价值不得超过基金持有的股票总市值的20%；</w:t>
      </w:r>
    </w:p>
    <w:p w14:paraId="6690F68C">
      <w:pPr>
        <w:adjustRightInd w:val="0"/>
        <w:snapToGrid w:val="0"/>
        <w:spacing w:line="360" w:lineRule="auto"/>
        <w:ind w:firstLine="482"/>
        <w:rPr>
          <w:rFonts w:ascii="宋体" w:hAnsi="宋体"/>
          <w:sz w:val="24"/>
          <w:szCs w:val="24"/>
        </w:rPr>
      </w:pPr>
      <w:r>
        <w:rPr>
          <w:rFonts w:hint="eastAsia" w:ascii="宋体" w:hAnsi="宋体"/>
          <w:sz w:val="24"/>
          <w:szCs w:val="24"/>
        </w:rPr>
        <w:t>4）本基金所持有的股票市值和买入、卖出股指期货合约价值，合计（轧差计算）应当符合基金合同关于股票投资比例的有关约定；</w:t>
      </w:r>
    </w:p>
    <w:p w14:paraId="1DBC8BFD">
      <w:pPr>
        <w:adjustRightInd w:val="0"/>
        <w:snapToGrid w:val="0"/>
        <w:spacing w:line="360" w:lineRule="auto"/>
        <w:ind w:firstLine="482"/>
        <w:rPr>
          <w:rFonts w:ascii="宋体" w:hAnsi="宋体"/>
          <w:sz w:val="24"/>
          <w:szCs w:val="24"/>
        </w:rPr>
      </w:pPr>
      <w:r>
        <w:rPr>
          <w:rFonts w:hint="eastAsia" w:ascii="宋体" w:hAnsi="宋体"/>
          <w:sz w:val="24"/>
          <w:szCs w:val="24"/>
        </w:rPr>
        <w:t>5）本基金在任何交易日内交易（不包括平仓）的股指期货合约的成交金额不得超过上一交易日基金资产净值的20%；</w:t>
      </w:r>
    </w:p>
    <w:p w14:paraId="6ED82528">
      <w:pPr>
        <w:adjustRightInd w:val="0"/>
        <w:snapToGrid w:val="0"/>
        <w:spacing w:line="360" w:lineRule="auto"/>
        <w:ind w:firstLine="482"/>
        <w:rPr>
          <w:rFonts w:ascii="宋体" w:hAnsi="宋体"/>
          <w:sz w:val="24"/>
          <w:szCs w:val="24"/>
        </w:rPr>
      </w:pPr>
      <w:r>
        <w:rPr>
          <w:rFonts w:hint="eastAsia" w:ascii="宋体" w:hAnsi="宋体"/>
          <w:sz w:val="24"/>
          <w:szCs w:val="24"/>
        </w:rPr>
        <w:t>（15）本基金资产总值不超过基金资产净值的140%；</w:t>
      </w:r>
    </w:p>
    <w:p w14:paraId="7AEA73C8">
      <w:pPr>
        <w:adjustRightInd w:val="0"/>
        <w:snapToGrid w:val="0"/>
        <w:spacing w:line="360" w:lineRule="auto"/>
        <w:ind w:firstLine="482"/>
        <w:rPr>
          <w:rFonts w:ascii="宋体" w:hAnsi="宋体"/>
          <w:sz w:val="24"/>
          <w:szCs w:val="24"/>
        </w:rPr>
      </w:pPr>
      <w:r>
        <w:rPr>
          <w:rFonts w:hint="eastAsia" w:ascii="宋体" w:hAnsi="宋体"/>
          <w:sz w:val="24"/>
          <w:szCs w:val="24"/>
        </w:rPr>
        <w:t>（16）本基金投资存托凭证的比例限制依照境内上市交易的股票执行；</w:t>
      </w:r>
    </w:p>
    <w:p w14:paraId="30A47FE5">
      <w:pPr>
        <w:adjustRightInd w:val="0"/>
        <w:snapToGrid w:val="0"/>
        <w:spacing w:line="360" w:lineRule="auto"/>
        <w:ind w:firstLine="482"/>
        <w:rPr>
          <w:rFonts w:ascii="宋体" w:hAnsi="宋体"/>
          <w:sz w:val="24"/>
          <w:szCs w:val="24"/>
        </w:rPr>
      </w:pPr>
      <w:r>
        <w:rPr>
          <w:rFonts w:hint="eastAsia" w:ascii="宋体" w:hAnsi="宋体"/>
          <w:sz w:val="24"/>
          <w:szCs w:val="24"/>
        </w:rPr>
        <w:t>（17）法律法规及中国证监会规定的和《基金合同》约定的其他投资限制。</w:t>
      </w:r>
    </w:p>
    <w:p w14:paraId="4E5795EF">
      <w:pPr>
        <w:adjustRightInd w:val="0"/>
        <w:snapToGrid w:val="0"/>
        <w:spacing w:line="360" w:lineRule="auto"/>
        <w:ind w:firstLine="482"/>
        <w:rPr>
          <w:rFonts w:ascii="宋体" w:hAnsi="宋体"/>
          <w:sz w:val="24"/>
          <w:szCs w:val="24"/>
        </w:rPr>
      </w:pPr>
      <w:r>
        <w:rPr>
          <w:rFonts w:hint="eastAsia" w:ascii="宋体" w:hAnsi="宋体"/>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11F6499">
      <w:pPr>
        <w:adjustRightInd w:val="0"/>
        <w:snapToGrid w:val="0"/>
        <w:spacing w:line="360" w:lineRule="auto"/>
        <w:ind w:firstLine="482"/>
        <w:rPr>
          <w:rFonts w:ascii="宋体" w:hAnsi="宋体"/>
          <w:sz w:val="24"/>
          <w:szCs w:val="24"/>
        </w:rPr>
      </w:pPr>
      <w:r>
        <w:rPr>
          <w:rFonts w:hint="eastAsia" w:ascii="宋体" w:hAnsi="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958A8AA">
      <w:pPr>
        <w:adjustRightInd w:val="0"/>
        <w:snapToGrid w:val="0"/>
        <w:spacing w:line="360" w:lineRule="auto"/>
        <w:ind w:firstLine="482"/>
        <w:rPr>
          <w:rFonts w:ascii="宋体" w:hAnsi="宋体"/>
          <w:sz w:val="24"/>
          <w:szCs w:val="24"/>
        </w:rPr>
      </w:pPr>
      <w:r>
        <w:rPr>
          <w:rFonts w:hint="eastAsia" w:ascii="宋体" w:hAnsi="宋体"/>
          <w:sz w:val="24"/>
          <w:szCs w:val="24"/>
        </w:rPr>
        <w:t>法律法规或监管部门取消或变更上述限制，如适用于本基金，基金管理人在履行适当程序后，则本基金投资不再受相关限制或以变更后的规定为准。</w:t>
      </w:r>
    </w:p>
    <w:p w14:paraId="206CAC30">
      <w:pPr>
        <w:adjustRightInd w:val="0"/>
        <w:snapToGrid w:val="0"/>
        <w:spacing w:line="360" w:lineRule="auto"/>
        <w:ind w:firstLine="482"/>
        <w:rPr>
          <w:rFonts w:ascii="宋体" w:hAnsi="宋体"/>
          <w:sz w:val="24"/>
          <w:szCs w:val="24"/>
        </w:rPr>
      </w:pPr>
      <w:r>
        <w:rPr>
          <w:rFonts w:hint="eastAsia" w:ascii="宋体" w:hAnsi="宋体"/>
          <w:sz w:val="24"/>
          <w:szCs w:val="24"/>
        </w:rPr>
        <w:t>3、基金托管人根据有关法律法规的规定及基金合同的约定，对本协议第十五条第11项基金投资禁止行为进行监督。</w:t>
      </w:r>
    </w:p>
    <w:p w14:paraId="2D4C9971">
      <w:pPr>
        <w:adjustRightInd w:val="0"/>
        <w:snapToGrid w:val="0"/>
        <w:spacing w:line="360" w:lineRule="auto"/>
        <w:ind w:firstLine="482"/>
        <w:rPr>
          <w:rFonts w:ascii="宋体" w:hAnsi="宋体"/>
          <w:sz w:val="24"/>
          <w:szCs w:val="24"/>
        </w:rPr>
      </w:pPr>
      <w:r>
        <w:rPr>
          <w:rFonts w:hint="eastAsia" w:ascii="宋体" w:hAnsi="宋体"/>
          <w:sz w:val="24"/>
          <w:szCs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12AFE9F9">
      <w:pPr>
        <w:adjustRightInd w:val="0"/>
        <w:snapToGrid w:val="0"/>
        <w:spacing w:line="360" w:lineRule="auto"/>
        <w:ind w:firstLine="482"/>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961A59">
      <w:pPr>
        <w:adjustRightInd w:val="0"/>
        <w:snapToGrid w:val="0"/>
        <w:spacing w:line="360" w:lineRule="auto"/>
        <w:ind w:firstLine="482"/>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14:paraId="632E9EDD">
      <w:pPr>
        <w:adjustRightInd w:val="0"/>
        <w:snapToGrid w:val="0"/>
        <w:spacing w:line="360" w:lineRule="auto"/>
        <w:ind w:firstLine="482"/>
        <w:rPr>
          <w:rFonts w:ascii="宋体" w:hAnsi="宋体"/>
          <w:sz w:val="24"/>
          <w:szCs w:val="24"/>
        </w:rPr>
      </w:pPr>
      <w:r>
        <w:rPr>
          <w:rFonts w:hint="eastAsia" w:ascii="宋体" w:hAnsi="宋体"/>
          <w:sz w:val="24"/>
          <w:szCs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对银行间债券市场交易对手名单进行更新，如基金管理人根据市场情况需要临时调整银行间债券市场交易对手名单，应向基金托管人说明理由，在与交易对手发生交易前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相应损失和责任。如基金管理人在基金投资运作之前未向基金托管人提供银行间债券市场交易对手名单的，视为基金管理人认可全市场交易对手。</w:t>
      </w:r>
    </w:p>
    <w:p w14:paraId="4E2FDA7B">
      <w:pPr>
        <w:adjustRightInd w:val="0"/>
        <w:snapToGrid w:val="0"/>
        <w:spacing w:line="360" w:lineRule="auto"/>
        <w:ind w:firstLine="482"/>
        <w:rPr>
          <w:rFonts w:ascii="宋体" w:hAnsi="宋体"/>
          <w:sz w:val="24"/>
          <w:szCs w:val="24"/>
        </w:rPr>
      </w:pPr>
      <w:r>
        <w:rPr>
          <w:rFonts w:hint="eastAsia" w:ascii="宋体" w:hAnsi="宋体"/>
          <w:sz w:val="24"/>
          <w:szCs w:val="24"/>
        </w:rPr>
        <w:t>5、基金托管人根据有关法律法规的规定及基金合同的约定，对基金管理人投资银行存款进行监督。</w:t>
      </w:r>
    </w:p>
    <w:p w14:paraId="313D59F1">
      <w:pPr>
        <w:adjustRightInd w:val="0"/>
        <w:snapToGrid w:val="0"/>
        <w:spacing w:line="360" w:lineRule="auto"/>
        <w:ind w:firstLine="482"/>
        <w:rPr>
          <w:rFonts w:ascii="宋体" w:hAnsi="宋体"/>
          <w:sz w:val="24"/>
          <w:szCs w:val="24"/>
        </w:rPr>
      </w:pPr>
      <w:r>
        <w:rPr>
          <w:rFonts w:hint="eastAsia" w:ascii="宋体" w:hAnsi="宋体"/>
          <w:sz w:val="24"/>
          <w:szCs w:val="24"/>
        </w:rPr>
        <w:t>基金投资银行存款的，基金管理人应根据法律法规的规定及基金合同的约定，建立投资制度、审慎选择存款银行，做好风险控制；并按照基金托管人的要求配合基金托管人完成相关业务办理。</w:t>
      </w:r>
    </w:p>
    <w:p w14:paraId="70713E77">
      <w:pPr>
        <w:adjustRightInd w:val="0"/>
        <w:snapToGrid w:val="0"/>
        <w:spacing w:line="360" w:lineRule="auto"/>
        <w:ind w:firstLine="482"/>
        <w:rPr>
          <w:rFonts w:ascii="宋体" w:hAnsi="宋体"/>
          <w:sz w:val="24"/>
          <w:szCs w:val="24"/>
        </w:rPr>
      </w:pPr>
      <w:r>
        <w:rPr>
          <w:rFonts w:hint="eastAsia" w:ascii="宋体" w:hAnsi="宋体"/>
          <w:sz w:val="24"/>
          <w:szCs w:val="24"/>
        </w:rPr>
        <w:t>6、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4B75F0DE">
      <w:pPr>
        <w:adjustRightInd w:val="0"/>
        <w:snapToGrid w:val="0"/>
        <w:spacing w:line="360" w:lineRule="auto"/>
        <w:ind w:firstLine="482"/>
        <w:rPr>
          <w:rFonts w:ascii="宋体" w:hAnsi="宋体"/>
          <w:sz w:val="24"/>
          <w:szCs w:val="24"/>
        </w:rPr>
      </w:pPr>
      <w:r>
        <w:rPr>
          <w:rFonts w:hint="eastAsia" w:ascii="宋体" w:hAnsi="宋体"/>
          <w:sz w:val="24"/>
          <w:szCs w:val="24"/>
        </w:rPr>
        <w:t>如果基金管理人未经基金托管人的审核擅自将不实的业绩表现数据印制在宣传推介材料上，则基金托管人对此不承担相应责任，并将在发现后立即报告中国证监会。</w:t>
      </w:r>
    </w:p>
    <w:p w14:paraId="370CBDBF">
      <w:pPr>
        <w:adjustRightInd w:val="0"/>
        <w:snapToGrid w:val="0"/>
        <w:spacing w:line="360" w:lineRule="auto"/>
        <w:ind w:firstLine="482"/>
        <w:rPr>
          <w:rFonts w:ascii="宋体" w:hAnsi="宋体"/>
          <w:sz w:val="24"/>
          <w:szCs w:val="24"/>
        </w:rPr>
      </w:pPr>
      <w:r>
        <w:rPr>
          <w:rFonts w:hint="eastAsia" w:ascii="宋体" w:hAnsi="宋体"/>
          <w:sz w:val="24"/>
          <w:szCs w:val="24"/>
        </w:rPr>
        <w:t>7、基金托管人根据有关法律法规的规定及基金合同的约定，对基金投资流通受限证券进行监督。</w:t>
      </w:r>
    </w:p>
    <w:p w14:paraId="1055C947">
      <w:pPr>
        <w:adjustRightInd w:val="0"/>
        <w:snapToGrid w:val="0"/>
        <w:spacing w:line="360" w:lineRule="auto"/>
        <w:ind w:firstLine="482"/>
        <w:rPr>
          <w:rFonts w:ascii="宋体" w:hAnsi="宋体"/>
          <w:sz w:val="24"/>
          <w:szCs w:val="24"/>
        </w:rPr>
      </w:pPr>
      <w:r>
        <w:rPr>
          <w:rFonts w:hint="eastAsia" w:ascii="宋体" w:hAnsi="宋体"/>
          <w:sz w:val="24"/>
          <w:szCs w:val="24"/>
        </w:rPr>
        <w:t>（1）基金投资流通受限证券，应遵守《关于基金投资非公开发行股票等流通受限证券有关问题的通知》等有关法律法规规定。</w:t>
      </w:r>
    </w:p>
    <w:p w14:paraId="392C138E">
      <w:pPr>
        <w:adjustRightInd w:val="0"/>
        <w:snapToGrid w:val="0"/>
        <w:spacing w:line="360" w:lineRule="auto"/>
        <w:ind w:firstLine="482"/>
        <w:rPr>
          <w:rFonts w:ascii="宋体" w:hAnsi="宋体"/>
          <w:sz w:val="24"/>
          <w:szCs w:val="24"/>
        </w:rPr>
      </w:pPr>
      <w:r>
        <w:rPr>
          <w:rFonts w:hint="eastAsia" w:ascii="宋体" w:hAnsi="宋体"/>
          <w:sz w:val="24"/>
          <w:szCs w:val="24"/>
        </w:rPr>
        <w:t>（2）此处的流通受限证券与上文提及的流动性受限资产并不完全一致，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57B032E">
      <w:pPr>
        <w:adjustRightInd w:val="0"/>
        <w:snapToGrid w:val="0"/>
        <w:spacing w:line="360" w:lineRule="auto"/>
        <w:ind w:firstLine="482"/>
        <w:rPr>
          <w:rFonts w:ascii="宋体" w:hAnsi="宋体"/>
          <w:sz w:val="24"/>
          <w:szCs w:val="24"/>
        </w:rPr>
      </w:pPr>
      <w:r>
        <w:rPr>
          <w:rFonts w:hint="eastAsia" w:ascii="宋体" w:hAnsi="宋体"/>
          <w:sz w:val="24"/>
          <w:szCs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69CCD974">
      <w:pPr>
        <w:adjustRightInd w:val="0"/>
        <w:snapToGrid w:val="0"/>
        <w:spacing w:line="360" w:lineRule="auto"/>
        <w:ind w:firstLine="482"/>
        <w:rPr>
          <w:rFonts w:ascii="宋体" w:hAnsi="宋体"/>
          <w:sz w:val="24"/>
          <w:szCs w:val="24"/>
        </w:rPr>
      </w:pPr>
      <w:r>
        <w:rPr>
          <w:rFonts w:hint="eastAsia" w:ascii="宋体" w:hAnsi="宋体"/>
          <w:sz w:val="24"/>
          <w:szCs w:val="24"/>
        </w:rPr>
        <w:t>（4）在投资流通受限证券之前，基金管理人应提前向基金托管人提供有关流通受限证券的相关信息，具体应当包括但不限于如下文件（如有）：</w:t>
      </w:r>
    </w:p>
    <w:p w14:paraId="41171A00">
      <w:pPr>
        <w:adjustRightInd w:val="0"/>
        <w:snapToGrid w:val="0"/>
        <w:spacing w:line="360" w:lineRule="auto"/>
        <w:ind w:firstLine="482"/>
        <w:rPr>
          <w:rFonts w:ascii="宋体" w:hAnsi="宋体"/>
          <w:sz w:val="24"/>
          <w:szCs w:val="24"/>
        </w:rPr>
      </w:pPr>
      <w:r>
        <w:rPr>
          <w:rFonts w:hint="eastAsia" w:ascii="宋体" w:hAnsi="宋体"/>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03D71FB4">
      <w:pPr>
        <w:adjustRightInd w:val="0"/>
        <w:snapToGrid w:val="0"/>
        <w:spacing w:line="360" w:lineRule="auto"/>
        <w:ind w:firstLine="482"/>
        <w:rPr>
          <w:rFonts w:ascii="宋体" w:hAnsi="宋体"/>
          <w:sz w:val="24"/>
          <w:szCs w:val="24"/>
        </w:rPr>
      </w:pPr>
      <w:r>
        <w:rPr>
          <w:rFonts w:hint="eastAsia" w:ascii="宋体" w:hAnsi="宋体"/>
          <w:sz w:val="24"/>
          <w:szCs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14:paraId="43ABD57F">
      <w:pPr>
        <w:adjustRightInd w:val="0"/>
        <w:snapToGrid w:val="0"/>
        <w:spacing w:line="360" w:lineRule="auto"/>
        <w:ind w:firstLine="482"/>
        <w:rPr>
          <w:rFonts w:ascii="宋体" w:hAnsi="宋体"/>
          <w:sz w:val="24"/>
          <w:szCs w:val="24"/>
        </w:rPr>
      </w:pPr>
      <w:r>
        <w:rPr>
          <w:rFonts w:hint="eastAsia" w:ascii="宋体" w:hAnsi="宋体"/>
          <w:sz w:val="24"/>
          <w:szCs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14:paraId="678C16C3">
      <w:pPr>
        <w:adjustRightInd w:val="0"/>
        <w:snapToGrid w:val="0"/>
        <w:spacing w:line="360" w:lineRule="auto"/>
        <w:ind w:firstLine="482"/>
        <w:rPr>
          <w:rFonts w:ascii="宋体" w:hAnsi="宋体"/>
          <w:sz w:val="24"/>
          <w:szCs w:val="24"/>
        </w:rPr>
      </w:pPr>
      <w:r>
        <w:rPr>
          <w:rFonts w:hint="eastAsia" w:ascii="宋体" w:hAnsi="宋体"/>
          <w:sz w:val="24"/>
          <w:szCs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68BF080B">
      <w:pPr>
        <w:adjustRightInd w:val="0"/>
        <w:snapToGrid w:val="0"/>
        <w:spacing w:line="360" w:lineRule="auto"/>
        <w:ind w:firstLine="482"/>
        <w:rPr>
          <w:rFonts w:ascii="宋体" w:hAnsi="宋体"/>
          <w:sz w:val="24"/>
          <w:szCs w:val="24"/>
        </w:rPr>
      </w:pPr>
      <w:r>
        <w:rPr>
          <w:rFonts w:hint="eastAsia" w:ascii="宋体" w:hAnsi="宋体"/>
          <w:sz w:val="24"/>
          <w:szCs w:val="24"/>
        </w:rPr>
        <w:t>8、基金托管人发现基金管理人的上述事项及投资指令或实际投资运作中违反法律法规和基金合同的规定，对于尚未完成的交易程序，应当拒绝执行；按照交易程序已经达成交易的或无法拒绝执行的，应及时以书面形式通知基金管理人限期纠正。基金管理人应积极配合和协助基金托管人的监督和核查。基金管理人收到通知后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39417BDC">
      <w:pPr>
        <w:adjustRightInd w:val="0"/>
        <w:snapToGrid w:val="0"/>
        <w:spacing w:line="360" w:lineRule="auto"/>
        <w:ind w:firstLine="482"/>
        <w:rPr>
          <w:rFonts w:ascii="宋体" w:hAnsi="宋体"/>
          <w:sz w:val="24"/>
          <w:szCs w:val="24"/>
        </w:rPr>
      </w:pPr>
      <w:r>
        <w:rPr>
          <w:rFonts w:hint="eastAsia" w:ascii="宋体" w:hAnsi="宋体"/>
          <w:sz w:val="24"/>
          <w:szCs w:val="24"/>
        </w:rPr>
        <w:t>9、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基金管理人应根据基金托管人履行投资监督职责的需要，在符合法律法规及监管规定的前提下，及时、准确、完整地向基金托管人提供托管产品运作所必需的全部数据、信息、文件及投资范围、比例限制等监督标准。基金托管人在无法取得有效信息的情况下，不承担相应监督责任。因基金管理人在依法依规前提下提供信息不及时、不准确或不完整导致基金托管人无法有效履行监督职责的，由基金管理人承担相应责任。</w:t>
      </w:r>
    </w:p>
    <w:p w14:paraId="51F48CB3">
      <w:pPr>
        <w:adjustRightInd w:val="0"/>
        <w:snapToGrid w:val="0"/>
        <w:spacing w:line="360" w:lineRule="auto"/>
        <w:ind w:firstLine="482"/>
        <w:outlineLvl w:val="1"/>
        <w:rPr>
          <w:b/>
          <w:bCs/>
          <w:sz w:val="24"/>
        </w:rPr>
      </w:pPr>
      <w:r>
        <w:rPr>
          <w:rFonts w:hint="eastAsia" w:ascii="宋体" w:hAnsi="宋体"/>
          <w:sz w:val="24"/>
          <w:szCs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B475975">
      <w:pPr>
        <w:adjustRightInd w:val="0"/>
        <w:snapToGrid w:val="0"/>
        <w:spacing w:line="360" w:lineRule="auto"/>
        <w:ind w:firstLine="482"/>
        <w:outlineLvl w:val="1"/>
        <w:rPr>
          <w:b/>
          <w:bCs/>
          <w:sz w:val="24"/>
        </w:rPr>
      </w:pPr>
      <w:r>
        <w:rPr>
          <w:rFonts w:hint="eastAsia"/>
          <w:b/>
          <w:bCs/>
          <w:sz w:val="24"/>
        </w:rPr>
        <w:t>（三）基金管理人对基金托管人的业务核查</w:t>
      </w:r>
    </w:p>
    <w:p w14:paraId="1D799ACA">
      <w:pPr>
        <w:adjustRightInd w:val="0"/>
        <w:snapToGrid w:val="0"/>
        <w:spacing w:line="360" w:lineRule="auto"/>
        <w:ind w:firstLine="482"/>
        <w:rPr>
          <w:rFonts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基金资产净值和各类基金份额的基金份额净值、根据基金管理人指令办理清算交收、相关信息披露和监督基金投资运作等行为。</w:t>
      </w:r>
    </w:p>
    <w:p w14:paraId="18A3C115">
      <w:pPr>
        <w:adjustRightInd w:val="0"/>
        <w:snapToGrid w:val="0"/>
        <w:spacing w:line="360" w:lineRule="auto"/>
        <w:ind w:firstLine="482"/>
        <w:rPr>
          <w:rFonts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14:paraId="6783A0F8">
      <w:pPr>
        <w:adjustRightInd w:val="0"/>
        <w:snapToGrid w:val="0"/>
        <w:spacing w:line="360" w:lineRule="auto"/>
        <w:ind w:firstLine="482"/>
        <w:rPr>
          <w:rFonts w:ascii="宋体" w:hAnsi="宋体"/>
          <w:sz w:val="24"/>
          <w:szCs w:val="24"/>
        </w:rPr>
      </w:pPr>
      <w:r>
        <w:rPr>
          <w:rFonts w:hint="eastAsia" w:ascii="宋体" w:hAnsi="宋体"/>
          <w:sz w:val="24"/>
          <w:szCs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70C4B8D">
      <w:pPr>
        <w:adjustRightInd w:val="0"/>
        <w:snapToGrid w:val="0"/>
        <w:spacing w:line="360" w:lineRule="auto"/>
        <w:ind w:firstLine="482"/>
        <w:outlineLvl w:val="1"/>
        <w:rPr>
          <w:b/>
          <w:bCs/>
          <w:sz w:val="24"/>
        </w:rPr>
      </w:pPr>
      <w:r>
        <w:rPr>
          <w:rFonts w:hint="eastAsia"/>
          <w:b/>
          <w:bCs/>
          <w:sz w:val="24"/>
        </w:rPr>
        <w:t>（四）基金财产的保管</w:t>
      </w:r>
    </w:p>
    <w:p w14:paraId="00910237">
      <w:pPr>
        <w:adjustRightInd w:val="0"/>
        <w:snapToGrid w:val="0"/>
        <w:spacing w:line="360" w:lineRule="auto"/>
        <w:ind w:firstLine="482"/>
        <w:rPr>
          <w:rFonts w:ascii="宋体" w:hAnsi="宋体"/>
          <w:sz w:val="24"/>
          <w:szCs w:val="24"/>
        </w:rPr>
      </w:pPr>
      <w:r>
        <w:rPr>
          <w:rFonts w:hint="eastAsia" w:ascii="宋体" w:hAnsi="宋体"/>
          <w:sz w:val="24"/>
          <w:szCs w:val="24"/>
        </w:rPr>
        <w:t>1、基金财产保管的原则</w:t>
      </w:r>
    </w:p>
    <w:p w14:paraId="5B83B01D">
      <w:pPr>
        <w:adjustRightInd w:val="0"/>
        <w:snapToGrid w:val="0"/>
        <w:spacing w:line="360" w:lineRule="auto"/>
        <w:ind w:firstLine="482"/>
        <w:rPr>
          <w:rFonts w:ascii="宋体" w:hAnsi="宋体"/>
          <w:sz w:val="24"/>
          <w:szCs w:val="24"/>
        </w:rPr>
      </w:pPr>
      <w:r>
        <w:rPr>
          <w:rFonts w:hint="eastAsia" w:ascii="宋体" w:hAnsi="宋体"/>
          <w:sz w:val="24"/>
          <w:szCs w:val="24"/>
        </w:rPr>
        <w:t>（1）基金财产应独立于基金管理人、基金托管人、证券经纪机构的固有财产。</w:t>
      </w:r>
    </w:p>
    <w:p w14:paraId="0D27DDA6">
      <w:pPr>
        <w:adjustRightInd w:val="0"/>
        <w:snapToGrid w:val="0"/>
        <w:spacing w:line="360" w:lineRule="auto"/>
        <w:ind w:firstLine="482"/>
        <w:rPr>
          <w:rFonts w:ascii="宋体" w:hAnsi="宋体"/>
          <w:sz w:val="24"/>
          <w:szCs w:val="24"/>
        </w:rPr>
      </w:pPr>
      <w:r>
        <w:rPr>
          <w:rFonts w:hint="eastAsia" w:ascii="宋体" w:hAnsi="宋体"/>
          <w:sz w:val="24"/>
          <w:szCs w:val="24"/>
        </w:rPr>
        <w:t>（2）基金托管人应安全保管基金财产。未经基金管理人依据合法程序作出的合法合规指令，基金托管人不得自行运用、处分、分配基金的任何财产。</w:t>
      </w:r>
    </w:p>
    <w:p w14:paraId="653F61CA">
      <w:pPr>
        <w:adjustRightInd w:val="0"/>
        <w:snapToGrid w:val="0"/>
        <w:spacing w:line="360" w:lineRule="auto"/>
        <w:ind w:firstLine="482"/>
        <w:rPr>
          <w:rFonts w:ascii="宋体" w:hAnsi="宋体"/>
          <w:sz w:val="24"/>
          <w:szCs w:val="24"/>
        </w:rPr>
      </w:pPr>
      <w:r>
        <w:rPr>
          <w:rFonts w:hint="eastAsia" w:ascii="宋体" w:hAnsi="宋体"/>
          <w:sz w:val="24"/>
          <w:szCs w:val="24"/>
        </w:rPr>
        <w:t>（3）基金托管人按照规定开设基金财产的资金账户、证券账户等投资所需账户。</w:t>
      </w:r>
    </w:p>
    <w:p w14:paraId="232692F8">
      <w:pPr>
        <w:adjustRightInd w:val="0"/>
        <w:snapToGrid w:val="0"/>
        <w:spacing w:line="360" w:lineRule="auto"/>
        <w:ind w:firstLine="482"/>
        <w:rPr>
          <w:rFonts w:ascii="宋体" w:hAnsi="宋体"/>
          <w:sz w:val="24"/>
          <w:szCs w:val="24"/>
        </w:rPr>
      </w:pPr>
      <w:r>
        <w:rPr>
          <w:rFonts w:hint="eastAsia" w:ascii="宋体" w:hAnsi="宋体"/>
          <w:sz w:val="24"/>
          <w:szCs w:val="24"/>
        </w:rPr>
        <w:t>（4）基金托管人对所托管的不同基金财产分别设置账户，与基金托管人的其他业务和其他基金的托管业务实行严格的分账管理，独立核算，确保基金财产的完整与独立。</w:t>
      </w:r>
    </w:p>
    <w:p w14:paraId="3BA71A42">
      <w:pPr>
        <w:adjustRightInd w:val="0"/>
        <w:snapToGrid w:val="0"/>
        <w:spacing w:line="360" w:lineRule="auto"/>
        <w:ind w:firstLine="482"/>
        <w:rPr>
          <w:rFonts w:ascii="宋体" w:hAnsi="宋体"/>
          <w:sz w:val="24"/>
          <w:szCs w:val="24"/>
        </w:rPr>
      </w:pPr>
      <w:r>
        <w:rPr>
          <w:rFonts w:hint="eastAsia" w:ascii="宋体" w:hAnsi="宋体"/>
          <w:sz w:val="24"/>
          <w:szCs w:val="24"/>
        </w:rPr>
        <w:t>（5）基金托管人根据基金管理人的指令，按照基金合同和本协议的约定保管基金财产，如有特殊情况双方可另行协商解决。</w:t>
      </w:r>
    </w:p>
    <w:p w14:paraId="29FF8288">
      <w:pPr>
        <w:adjustRightInd w:val="0"/>
        <w:snapToGrid w:val="0"/>
        <w:spacing w:line="360" w:lineRule="auto"/>
        <w:ind w:firstLine="482"/>
        <w:rPr>
          <w:rFonts w:ascii="宋体" w:hAnsi="宋体"/>
          <w:sz w:val="24"/>
          <w:szCs w:val="24"/>
        </w:rPr>
      </w:pPr>
      <w:r>
        <w:rPr>
          <w:rFonts w:hint="eastAsia" w:ascii="宋体" w:hAnsi="宋体"/>
          <w:sz w:val="24"/>
          <w:szCs w:val="24"/>
        </w:rPr>
        <w:t>（6）对于因为基金申购、投资产生的应收资产，应由基金管理人负责与有关当事人确定到账日期并通知基金托管人，到账日基金财产没有到达基金资金账户的，基金托管人应及时通知基金管理人采取措施进行催收。由此给基金财产造成损失的，基金托管人对此不承担相应责任，但应提供必要的协助。</w:t>
      </w:r>
    </w:p>
    <w:p w14:paraId="5EA486AC">
      <w:pPr>
        <w:adjustRightInd w:val="0"/>
        <w:snapToGrid w:val="0"/>
        <w:spacing w:line="360" w:lineRule="auto"/>
        <w:ind w:firstLine="482"/>
        <w:rPr>
          <w:rFonts w:ascii="宋体" w:hAnsi="宋体"/>
          <w:sz w:val="24"/>
          <w:szCs w:val="24"/>
        </w:rPr>
      </w:pPr>
      <w:r>
        <w:rPr>
          <w:rFonts w:hint="eastAsia" w:ascii="宋体" w:hAnsi="宋体"/>
          <w:sz w:val="24"/>
          <w:szCs w:val="24"/>
        </w:rPr>
        <w:t>（7）除依据法律法规和基金合同的规定外，基金托管人不得委托第三人托管基金财产。</w:t>
      </w:r>
    </w:p>
    <w:p w14:paraId="21425B21">
      <w:pPr>
        <w:adjustRightInd w:val="0"/>
        <w:snapToGrid w:val="0"/>
        <w:spacing w:line="360" w:lineRule="auto"/>
        <w:ind w:firstLine="482"/>
        <w:rPr>
          <w:rFonts w:ascii="宋体" w:hAnsi="宋体"/>
          <w:sz w:val="24"/>
          <w:szCs w:val="24"/>
        </w:rPr>
      </w:pPr>
      <w:r>
        <w:rPr>
          <w:rFonts w:hint="eastAsia" w:ascii="宋体" w:hAnsi="宋体"/>
          <w:sz w:val="24"/>
          <w:szCs w:val="24"/>
        </w:rPr>
        <w:t>2、基金募集期间及募集资金的验资</w:t>
      </w:r>
    </w:p>
    <w:p w14:paraId="779EE367">
      <w:pPr>
        <w:adjustRightInd w:val="0"/>
        <w:snapToGrid w:val="0"/>
        <w:spacing w:line="360" w:lineRule="auto"/>
        <w:ind w:firstLine="482"/>
        <w:rPr>
          <w:rFonts w:ascii="宋体" w:hAnsi="宋体"/>
          <w:sz w:val="24"/>
          <w:szCs w:val="24"/>
        </w:rPr>
      </w:pPr>
      <w:r>
        <w:rPr>
          <w:rFonts w:hint="eastAsia" w:ascii="宋体" w:hAnsi="宋体"/>
          <w:sz w:val="24"/>
          <w:szCs w:val="24"/>
        </w:rPr>
        <w:t>（1）基金募集期间的认购款项应存于专用账户。该账户由基金管理人或基金管理人委托的登记机构开立并管理。</w:t>
      </w:r>
    </w:p>
    <w:p w14:paraId="66860D4A">
      <w:pPr>
        <w:adjustRightInd w:val="0"/>
        <w:snapToGrid w:val="0"/>
        <w:spacing w:line="360" w:lineRule="auto"/>
        <w:ind w:firstLine="482"/>
        <w:rPr>
          <w:rFonts w:ascii="宋体" w:hAnsi="宋体"/>
          <w:sz w:val="24"/>
          <w:szCs w:val="24"/>
        </w:rPr>
      </w:pPr>
      <w:r>
        <w:rPr>
          <w:rFonts w:hint="eastAsia" w:ascii="宋体" w:hAnsi="宋体"/>
          <w:sz w:val="24"/>
          <w:szCs w:val="24"/>
        </w:rPr>
        <w:t>（2）基金募集期满或基金停止募集时，发起资金提供方认购金额及承诺持有期限符合《基金法》、《运作办法》等有关规定后，基金管理人应将募集到的属于基金财产的全部资金划入基金托管人为本基金开立的基金托管资金账户，同时在规定时间内，聘请符合《中华人民共和国证券法》规定的会计师事务所进行验资，出具验资报告。验资报告需对发起资金提供方及其持有份额进行专门说明，出具的验资报告由参加验资的2名或2名以上中国注册会计师签字方为有效。</w:t>
      </w:r>
    </w:p>
    <w:p w14:paraId="0CE86029">
      <w:pPr>
        <w:adjustRightInd w:val="0"/>
        <w:snapToGrid w:val="0"/>
        <w:spacing w:line="360" w:lineRule="auto"/>
        <w:ind w:firstLine="482"/>
        <w:rPr>
          <w:rFonts w:ascii="宋体" w:hAnsi="宋体"/>
          <w:sz w:val="24"/>
          <w:szCs w:val="24"/>
        </w:rPr>
      </w:pPr>
      <w:r>
        <w:rPr>
          <w:rFonts w:hint="eastAsia" w:ascii="宋体" w:hAnsi="宋体"/>
          <w:sz w:val="24"/>
          <w:szCs w:val="24"/>
        </w:rPr>
        <w:t>（3）若基金募集期限届满，未能达到基金备案的条件，由基金管理人按规定办理退款等事宜，基金托管人应提供充分协助。</w:t>
      </w:r>
    </w:p>
    <w:p w14:paraId="06948684">
      <w:pPr>
        <w:adjustRightInd w:val="0"/>
        <w:snapToGrid w:val="0"/>
        <w:spacing w:line="360" w:lineRule="auto"/>
        <w:ind w:firstLine="482"/>
        <w:rPr>
          <w:rFonts w:ascii="宋体" w:hAnsi="宋体"/>
          <w:sz w:val="24"/>
          <w:szCs w:val="24"/>
        </w:rPr>
      </w:pPr>
      <w:r>
        <w:rPr>
          <w:rFonts w:hint="eastAsia" w:ascii="宋体" w:hAnsi="宋体"/>
          <w:sz w:val="24"/>
          <w:szCs w:val="24"/>
        </w:rPr>
        <w:t>3、基金托管资金账户的开立和管理</w:t>
      </w:r>
    </w:p>
    <w:p w14:paraId="38DB3ADB">
      <w:pPr>
        <w:adjustRightInd w:val="0"/>
        <w:snapToGrid w:val="0"/>
        <w:spacing w:line="360" w:lineRule="auto"/>
        <w:ind w:firstLine="482"/>
        <w:rPr>
          <w:rFonts w:ascii="宋体" w:hAnsi="宋体"/>
          <w:sz w:val="24"/>
          <w:szCs w:val="24"/>
        </w:rPr>
      </w:pPr>
      <w:r>
        <w:rPr>
          <w:rFonts w:hint="eastAsia" w:ascii="宋体" w:hAnsi="宋体"/>
          <w:sz w:val="24"/>
          <w:szCs w:val="24"/>
        </w:rPr>
        <w:t>（1）基金托管人应负责本基金的基金托管资金账户的开设和管理。</w:t>
      </w:r>
    </w:p>
    <w:p w14:paraId="61B79CA3">
      <w:pPr>
        <w:adjustRightInd w:val="0"/>
        <w:snapToGrid w:val="0"/>
        <w:spacing w:line="360" w:lineRule="auto"/>
        <w:ind w:firstLine="482"/>
        <w:rPr>
          <w:rFonts w:ascii="宋体" w:hAnsi="宋体"/>
          <w:sz w:val="24"/>
          <w:szCs w:val="24"/>
        </w:rPr>
      </w:pPr>
      <w:r>
        <w:rPr>
          <w:rFonts w:hint="eastAsia" w:ascii="宋体" w:hAnsi="宋体"/>
          <w:sz w:val="24"/>
          <w:szCs w:val="24"/>
        </w:rPr>
        <w:t>（2）基金托管人应以本基金的名义在其营业机构开设本基金的基金托管资金账户，并根据基金管理人合法合规的指令办理资金收付。资金账户名称应当包含开户主体全称和基金名称。本基金的银行预留印鉴由基金托管人保管和使用。本基金的一切货币收支活动，包括但不限于投资、支付赎回金额、支付基金收益、收取申购款，均需通过本基金的基金托管资金账户进行。</w:t>
      </w:r>
    </w:p>
    <w:p w14:paraId="019AC886">
      <w:pPr>
        <w:adjustRightInd w:val="0"/>
        <w:snapToGrid w:val="0"/>
        <w:spacing w:line="360" w:lineRule="auto"/>
        <w:ind w:firstLine="482"/>
        <w:rPr>
          <w:rFonts w:ascii="宋体" w:hAnsi="宋体"/>
          <w:sz w:val="24"/>
          <w:szCs w:val="24"/>
        </w:rPr>
      </w:pPr>
      <w:r>
        <w:rPr>
          <w:rFonts w:hint="eastAsia" w:ascii="宋体" w:hAnsi="宋体"/>
          <w:sz w:val="24"/>
          <w:szCs w:val="24"/>
        </w:rPr>
        <w:t>（3）基金托管资金账户的开立和使用，限于满足开展本基金业务的需要。基金托管人和基金管理人不得假借本基金的名义开立任何其他银行账户；亦不得使用基金的任何账户进行本基金业务以外的活动。</w:t>
      </w:r>
    </w:p>
    <w:p w14:paraId="386434E0">
      <w:pPr>
        <w:adjustRightInd w:val="0"/>
        <w:snapToGrid w:val="0"/>
        <w:spacing w:line="360" w:lineRule="auto"/>
        <w:ind w:firstLine="482"/>
        <w:rPr>
          <w:rFonts w:ascii="宋体" w:hAnsi="宋体"/>
          <w:sz w:val="24"/>
          <w:szCs w:val="24"/>
        </w:rPr>
      </w:pPr>
      <w:r>
        <w:rPr>
          <w:rFonts w:hint="eastAsia" w:ascii="宋体" w:hAnsi="宋体"/>
          <w:sz w:val="24"/>
          <w:szCs w:val="24"/>
        </w:rPr>
        <w:t>（4）基金托管资金账户的开立和管理应符合相关法律法规的有关规定。</w:t>
      </w:r>
    </w:p>
    <w:p w14:paraId="63287AF3">
      <w:pPr>
        <w:adjustRightInd w:val="0"/>
        <w:snapToGrid w:val="0"/>
        <w:spacing w:line="360" w:lineRule="auto"/>
        <w:ind w:firstLine="482"/>
        <w:rPr>
          <w:rFonts w:ascii="宋体" w:hAnsi="宋体"/>
          <w:sz w:val="24"/>
          <w:szCs w:val="24"/>
        </w:rPr>
      </w:pPr>
      <w:r>
        <w:rPr>
          <w:rFonts w:hint="eastAsia" w:ascii="宋体" w:hAnsi="宋体"/>
          <w:sz w:val="24"/>
          <w:szCs w:val="24"/>
        </w:rPr>
        <w:t>（5）在符合法律法规规定的条件下，基金托管人可以通过基金托管人专用账户办理基金资产的支付。</w:t>
      </w:r>
    </w:p>
    <w:p w14:paraId="305C7C81">
      <w:pPr>
        <w:adjustRightInd w:val="0"/>
        <w:snapToGrid w:val="0"/>
        <w:spacing w:line="360" w:lineRule="auto"/>
        <w:ind w:firstLine="482"/>
        <w:rPr>
          <w:rFonts w:ascii="宋体" w:hAnsi="宋体"/>
          <w:sz w:val="24"/>
          <w:szCs w:val="24"/>
        </w:rPr>
      </w:pPr>
      <w:r>
        <w:rPr>
          <w:rFonts w:hint="eastAsia" w:ascii="宋体" w:hAnsi="宋体"/>
          <w:sz w:val="24"/>
          <w:szCs w:val="24"/>
        </w:rPr>
        <w:t>4、基金证券账户的开立和管理</w:t>
      </w:r>
    </w:p>
    <w:p w14:paraId="2CFCF7A9">
      <w:pPr>
        <w:adjustRightInd w:val="0"/>
        <w:snapToGrid w:val="0"/>
        <w:spacing w:line="360" w:lineRule="auto"/>
        <w:ind w:firstLine="482"/>
        <w:rPr>
          <w:rFonts w:ascii="宋体" w:hAnsi="宋体"/>
          <w:sz w:val="24"/>
          <w:szCs w:val="24"/>
        </w:rPr>
      </w:pPr>
      <w:r>
        <w:rPr>
          <w:rFonts w:hint="eastAsia" w:ascii="宋体" w:hAnsi="宋体"/>
          <w:sz w:val="24"/>
          <w:szCs w:val="24"/>
        </w:rPr>
        <w:t>（1）基金托管人在中国证券登记结算有限责任公司为本基金开立基金托管人与基金联名的证券账户。</w:t>
      </w:r>
    </w:p>
    <w:p w14:paraId="0AD217EF">
      <w:pPr>
        <w:adjustRightInd w:val="0"/>
        <w:snapToGrid w:val="0"/>
        <w:spacing w:line="360" w:lineRule="auto"/>
        <w:ind w:firstLine="482"/>
        <w:rPr>
          <w:rFonts w:ascii="宋体" w:hAnsi="宋体"/>
          <w:sz w:val="24"/>
          <w:szCs w:val="24"/>
        </w:rPr>
      </w:pPr>
      <w:r>
        <w:rPr>
          <w:rFonts w:hint="eastAsia" w:ascii="宋体" w:hAnsi="宋体"/>
          <w:sz w:val="24"/>
          <w:szCs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5A536EE9">
      <w:pPr>
        <w:adjustRightInd w:val="0"/>
        <w:snapToGrid w:val="0"/>
        <w:spacing w:line="360" w:lineRule="auto"/>
        <w:ind w:firstLine="482"/>
        <w:rPr>
          <w:rFonts w:ascii="宋体" w:hAnsi="宋体"/>
          <w:sz w:val="24"/>
          <w:szCs w:val="24"/>
        </w:rPr>
      </w:pPr>
      <w:r>
        <w:rPr>
          <w:rFonts w:hint="eastAsia" w:ascii="宋体" w:hAnsi="宋体"/>
          <w:sz w:val="24"/>
          <w:szCs w:val="24"/>
        </w:rPr>
        <w:t>（3）基金证券账户的开立由基金托管人负责，账户资产的管理和运用由基金管理人负责。</w:t>
      </w:r>
    </w:p>
    <w:p w14:paraId="65127A27">
      <w:pPr>
        <w:adjustRightInd w:val="0"/>
        <w:snapToGrid w:val="0"/>
        <w:spacing w:line="360" w:lineRule="auto"/>
        <w:ind w:firstLine="482"/>
        <w:rPr>
          <w:rFonts w:ascii="宋体" w:hAnsi="宋体"/>
          <w:sz w:val="24"/>
          <w:szCs w:val="24"/>
        </w:rPr>
      </w:pPr>
      <w:r>
        <w:rPr>
          <w:rFonts w:hint="eastAsia" w:ascii="宋体" w:hAnsi="宋体"/>
          <w:sz w:val="24"/>
          <w:szCs w:val="24"/>
        </w:rPr>
        <w:t>（4）在本托管协议生效日之后，本基金被允许从事其他投资品种的投资业务，涉及相关账户的开设、使用的，按有关规定开设、使用并管理；若无相关规定，则基金托管人应协助基金管理人办理账户的开立手续。</w:t>
      </w:r>
    </w:p>
    <w:p w14:paraId="202895D1">
      <w:pPr>
        <w:adjustRightInd w:val="0"/>
        <w:snapToGrid w:val="0"/>
        <w:spacing w:line="360" w:lineRule="auto"/>
        <w:ind w:firstLine="482"/>
        <w:rPr>
          <w:rFonts w:ascii="宋体" w:hAnsi="宋体"/>
          <w:sz w:val="24"/>
          <w:szCs w:val="24"/>
        </w:rPr>
      </w:pPr>
      <w:r>
        <w:rPr>
          <w:rFonts w:hint="eastAsia" w:ascii="宋体" w:hAnsi="宋体"/>
          <w:sz w:val="24"/>
          <w:szCs w:val="24"/>
        </w:rPr>
        <w:t>5、证券交易资金账户的开立和管理</w:t>
      </w:r>
    </w:p>
    <w:p w14:paraId="69874FEE">
      <w:pPr>
        <w:adjustRightInd w:val="0"/>
        <w:snapToGrid w:val="0"/>
        <w:spacing w:line="360" w:lineRule="auto"/>
        <w:ind w:firstLine="482"/>
        <w:rPr>
          <w:rFonts w:ascii="宋体" w:hAnsi="宋体"/>
          <w:sz w:val="24"/>
          <w:szCs w:val="24"/>
        </w:rPr>
      </w:pPr>
      <w:r>
        <w:rPr>
          <w:rFonts w:hint="eastAsia" w:ascii="宋体" w:hAnsi="宋体"/>
          <w:sz w:val="24"/>
          <w:szCs w:val="24"/>
        </w:rPr>
        <w:t>（1）基金管理人以本基金的名义在代理证券买卖的证券经纪商处开立证券交易资金账户，用于办理基金托管人所托管的本基金在证券交易所进行证券投资所涉及的资金结算业务。</w:t>
      </w:r>
    </w:p>
    <w:p w14:paraId="2E19B323">
      <w:pPr>
        <w:adjustRightInd w:val="0"/>
        <w:snapToGrid w:val="0"/>
        <w:spacing w:line="360" w:lineRule="auto"/>
        <w:ind w:firstLine="482"/>
        <w:rPr>
          <w:rFonts w:ascii="宋体" w:hAnsi="宋体"/>
          <w:sz w:val="24"/>
          <w:szCs w:val="24"/>
        </w:rPr>
      </w:pPr>
      <w:r>
        <w:rPr>
          <w:rFonts w:hint="eastAsia" w:ascii="宋体" w:hAnsi="宋体"/>
          <w:sz w:val="24"/>
          <w:szCs w:val="24"/>
        </w:rPr>
        <w:t>（2）证券交易资金账户与基金托管资金账户建立三方存管关系。证券交易资金账户内的资金，只能通过证银转账方式将资金划转至基金托管资金账户，不得将资金划转至其他任何银行账户。</w:t>
      </w:r>
    </w:p>
    <w:p w14:paraId="54BCC90E">
      <w:pPr>
        <w:adjustRightInd w:val="0"/>
        <w:snapToGrid w:val="0"/>
        <w:spacing w:line="360" w:lineRule="auto"/>
        <w:ind w:firstLine="482"/>
        <w:rPr>
          <w:rFonts w:ascii="宋体" w:hAnsi="宋体"/>
          <w:sz w:val="24"/>
          <w:szCs w:val="24"/>
        </w:rPr>
      </w:pPr>
      <w:r>
        <w:rPr>
          <w:rFonts w:hint="eastAsia" w:ascii="宋体" w:hAnsi="宋体"/>
          <w:sz w:val="24"/>
          <w:szCs w:val="24"/>
        </w:rPr>
        <w:t>（3）如因基金管理人、证券经纪商原因致使对应关系无法建立，基金托管人不承担相应责任。基金托管人不负责办理场内的证券交易资金清算，也不负责保管证券交易资金账户内存放的资金。</w:t>
      </w:r>
    </w:p>
    <w:p w14:paraId="099C0672">
      <w:pPr>
        <w:adjustRightInd w:val="0"/>
        <w:snapToGrid w:val="0"/>
        <w:spacing w:line="360" w:lineRule="auto"/>
        <w:ind w:firstLine="482"/>
        <w:rPr>
          <w:rFonts w:ascii="宋体" w:hAnsi="宋体"/>
          <w:sz w:val="24"/>
          <w:szCs w:val="24"/>
        </w:rPr>
      </w:pPr>
      <w:r>
        <w:rPr>
          <w:rFonts w:hint="eastAsia" w:ascii="宋体" w:hAnsi="宋体"/>
          <w:sz w:val="24"/>
          <w:szCs w:val="24"/>
        </w:rPr>
        <w:t>6、债券托管专户的开设和管理</w:t>
      </w:r>
    </w:p>
    <w:p w14:paraId="123728A2">
      <w:pPr>
        <w:adjustRightInd w:val="0"/>
        <w:snapToGrid w:val="0"/>
        <w:spacing w:line="360" w:lineRule="auto"/>
        <w:ind w:firstLine="482"/>
        <w:rPr>
          <w:rFonts w:ascii="宋体" w:hAnsi="宋体"/>
          <w:sz w:val="24"/>
          <w:szCs w:val="24"/>
        </w:rPr>
      </w:pPr>
      <w:r>
        <w:rPr>
          <w:rFonts w:hint="eastAsia" w:ascii="宋体" w:hAnsi="宋体"/>
          <w:sz w:val="24"/>
          <w:szCs w:val="24"/>
        </w:rPr>
        <w:t>基金合同生效后，基金托管人根据中国人民银行、中央国债登记结算有限责任公司、银行间市场清算所股份有限公司的有关规定，以本基金的名义在中央国债登记结算有限责任公司、银行间市场清算所股份有限公司开立债券托管与结算账户，并代表基金进行银行间市场债券的结算。基金管理人代表基金签订全国银行间债券市场债券回购主协议。</w:t>
      </w:r>
    </w:p>
    <w:p w14:paraId="3B9A8E55">
      <w:pPr>
        <w:adjustRightInd w:val="0"/>
        <w:snapToGrid w:val="0"/>
        <w:spacing w:line="360" w:lineRule="auto"/>
        <w:ind w:firstLine="482"/>
        <w:rPr>
          <w:rFonts w:ascii="宋体" w:hAnsi="宋体"/>
          <w:sz w:val="24"/>
          <w:szCs w:val="24"/>
        </w:rPr>
      </w:pPr>
      <w:r>
        <w:rPr>
          <w:rFonts w:hint="eastAsia" w:ascii="宋体" w:hAnsi="宋体"/>
          <w:sz w:val="24"/>
          <w:szCs w:val="24"/>
        </w:rPr>
        <w:t>7、基金投资银行存款账户的开立和管理</w:t>
      </w:r>
    </w:p>
    <w:p w14:paraId="10092DD7">
      <w:pPr>
        <w:adjustRightInd w:val="0"/>
        <w:snapToGrid w:val="0"/>
        <w:spacing w:line="360" w:lineRule="auto"/>
        <w:ind w:firstLine="482"/>
        <w:rPr>
          <w:rFonts w:ascii="宋体" w:hAnsi="宋体"/>
          <w:sz w:val="24"/>
          <w:szCs w:val="24"/>
        </w:rPr>
      </w:pPr>
      <w:r>
        <w:rPr>
          <w:rFonts w:hint="eastAsia" w:ascii="宋体" w:hAnsi="宋体"/>
          <w:sz w:val="24"/>
          <w:szCs w:val="24"/>
        </w:rPr>
        <w:t>基金投资银行定期存款应由基金管理人与存款银行总行或其授权分行签订总体合作协议，并将资金存放于存款银行总行或其授权分行指定的分支机构。</w:t>
      </w:r>
    </w:p>
    <w:p w14:paraId="02130E1C">
      <w:pPr>
        <w:adjustRightInd w:val="0"/>
        <w:snapToGrid w:val="0"/>
        <w:spacing w:line="360" w:lineRule="auto"/>
        <w:ind w:firstLine="482"/>
        <w:rPr>
          <w:rFonts w:ascii="宋体" w:hAnsi="宋体"/>
          <w:sz w:val="24"/>
          <w:szCs w:val="24"/>
        </w:rPr>
      </w:pPr>
      <w:r>
        <w:rPr>
          <w:rFonts w:hint="eastAsia" w:ascii="宋体" w:hAnsi="宋体"/>
          <w:sz w:val="24"/>
          <w:szCs w:val="24"/>
        </w:rPr>
        <w:t>存款账户必须以基金名义开立，账户名称为基金名称，存款账户开户文件上加盖预留印鉴及基金管理人公章。存款证实书原件由托管人负责保管。</w:t>
      </w:r>
    </w:p>
    <w:p w14:paraId="1C00BD73">
      <w:pPr>
        <w:adjustRightInd w:val="0"/>
        <w:snapToGrid w:val="0"/>
        <w:spacing w:line="360" w:lineRule="auto"/>
        <w:ind w:firstLine="482"/>
        <w:rPr>
          <w:rFonts w:ascii="宋体" w:hAnsi="宋体"/>
          <w:sz w:val="24"/>
          <w:szCs w:val="24"/>
        </w:rPr>
      </w:pPr>
      <w:r>
        <w:rPr>
          <w:rFonts w:hint="eastAsia" w:ascii="宋体" w:hAnsi="宋体"/>
          <w:sz w:val="24"/>
          <w:szCs w:val="24"/>
        </w:rPr>
        <w:t>本基金投资银行存款时，基金管理人应当与存款银行签订具体存款协议，明确存款的类型、期限、利率、金额、账号、对账方式、支取方式、账户管理等细则。存款协议须约定将托管人为本基金开立的托管银行账户指定为唯一回款账户，任何情况下，存款银行都不得将存款本息划往任何其他账户。</w:t>
      </w:r>
    </w:p>
    <w:p w14:paraId="7B226FE8">
      <w:pPr>
        <w:adjustRightInd w:val="0"/>
        <w:snapToGrid w:val="0"/>
        <w:spacing w:line="360" w:lineRule="auto"/>
        <w:ind w:firstLine="482"/>
        <w:rPr>
          <w:rFonts w:ascii="宋体" w:hAnsi="宋体"/>
          <w:sz w:val="24"/>
          <w:szCs w:val="24"/>
        </w:rPr>
      </w:pPr>
      <w:r>
        <w:rPr>
          <w:rFonts w:hint="eastAsia" w:ascii="宋体" w:hAnsi="宋体"/>
          <w:sz w:val="24"/>
          <w:szCs w:val="24"/>
        </w:rPr>
        <w:t>基金所投资定期存款存续期间，基金管理人、基金托管人应当与存款银行建立定期对账机制，确保基金银行存款业务账目及核对的真实、准确。</w:t>
      </w:r>
    </w:p>
    <w:p w14:paraId="285B31EC">
      <w:pPr>
        <w:adjustRightInd w:val="0"/>
        <w:snapToGrid w:val="0"/>
        <w:spacing w:line="360" w:lineRule="auto"/>
        <w:ind w:firstLine="482"/>
        <w:rPr>
          <w:rFonts w:ascii="宋体" w:hAnsi="宋体"/>
          <w:sz w:val="24"/>
          <w:szCs w:val="24"/>
        </w:rPr>
      </w:pPr>
      <w:r>
        <w:rPr>
          <w:rFonts w:hint="eastAsia" w:ascii="宋体" w:hAnsi="宋体"/>
          <w:sz w:val="24"/>
          <w:szCs w:val="24"/>
        </w:rPr>
        <w:t>8、其他账户的开立和管理</w:t>
      </w:r>
    </w:p>
    <w:p w14:paraId="2CEEB6F8">
      <w:pPr>
        <w:adjustRightInd w:val="0"/>
        <w:snapToGrid w:val="0"/>
        <w:spacing w:line="360" w:lineRule="auto"/>
        <w:ind w:firstLine="482"/>
        <w:rPr>
          <w:rFonts w:ascii="宋体" w:hAnsi="宋体"/>
          <w:sz w:val="24"/>
          <w:szCs w:val="24"/>
        </w:rPr>
      </w:pPr>
      <w:r>
        <w:rPr>
          <w:rFonts w:hint="eastAsia" w:ascii="宋体" w:hAnsi="宋体"/>
          <w:sz w:val="24"/>
          <w:szCs w:val="24"/>
        </w:rPr>
        <w:t>（1）因业务发展需要而开立的其他账户，可以根据法律法规和基金合同的规定，在基金管理人和基金托管人商议后开立。新账户按有关规则使用并管理。</w:t>
      </w:r>
    </w:p>
    <w:p w14:paraId="3460F8DE">
      <w:pPr>
        <w:adjustRightInd w:val="0"/>
        <w:snapToGrid w:val="0"/>
        <w:spacing w:line="360" w:lineRule="auto"/>
        <w:ind w:firstLine="482"/>
        <w:rPr>
          <w:rFonts w:ascii="宋体" w:hAnsi="宋体"/>
          <w:sz w:val="24"/>
          <w:szCs w:val="24"/>
        </w:rPr>
      </w:pPr>
      <w:r>
        <w:rPr>
          <w:rFonts w:hint="eastAsia" w:ascii="宋体" w:hAnsi="宋体"/>
          <w:sz w:val="24"/>
          <w:szCs w:val="24"/>
        </w:rPr>
        <w:t>（2）法律法规等有关规定对相关账户的开立和管理另有规定的，从其规定办理。</w:t>
      </w:r>
    </w:p>
    <w:p w14:paraId="2462EFD7">
      <w:pPr>
        <w:adjustRightInd w:val="0"/>
        <w:snapToGrid w:val="0"/>
        <w:spacing w:line="360" w:lineRule="auto"/>
        <w:ind w:firstLine="482"/>
        <w:rPr>
          <w:rFonts w:ascii="宋体" w:hAnsi="宋体"/>
          <w:sz w:val="24"/>
          <w:szCs w:val="24"/>
        </w:rPr>
      </w:pPr>
      <w:r>
        <w:rPr>
          <w:rFonts w:hint="eastAsia" w:ascii="宋体" w:hAnsi="宋体"/>
          <w:sz w:val="24"/>
          <w:szCs w:val="24"/>
        </w:rPr>
        <w:t>9、基金财产投资的有关有价凭证等的保管</w:t>
      </w:r>
    </w:p>
    <w:p w14:paraId="4A2F6DB0">
      <w:pPr>
        <w:adjustRightInd w:val="0"/>
        <w:snapToGrid w:val="0"/>
        <w:spacing w:line="360" w:lineRule="auto"/>
        <w:ind w:firstLine="482"/>
        <w:rPr>
          <w:rFonts w:ascii="宋体" w:hAnsi="宋体"/>
          <w:sz w:val="24"/>
          <w:szCs w:val="24"/>
        </w:rPr>
      </w:pPr>
      <w:r>
        <w:rPr>
          <w:rFonts w:hint="eastAsia" w:ascii="宋体" w:hAnsi="宋体"/>
          <w:sz w:val="24"/>
          <w:szCs w:val="24"/>
        </w:rPr>
        <w:t>基金财产投资的有关实物证券、银行定期存款存单等有价凭证由基金托管人负责妥善保管，保管凭证由基金托管人持有。基金管理人承诺对交接给基金托管人保管的有价凭证的真实性、完整性负责，基金托管人只负责对有价凭证进行保管，不负责对有价凭证真伪的辨别，不对有价凭证对应存款的本金及收益的安全负责。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的证券不承担保管责任。</w:t>
      </w:r>
    </w:p>
    <w:p w14:paraId="66D257EB">
      <w:pPr>
        <w:adjustRightInd w:val="0"/>
        <w:snapToGrid w:val="0"/>
        <w:spacing w:line="360" w:lineRule="auto"/>
        <w:ind w:firstLine="482"/>
        <w:rPr>
          <w:rFonts w:ascii="宋体" w:hAnsi="宋体"/>
          <w:sz w:val="24"/>
          <w:szCs w:val="24"/>
        </w:rPr>
      </w:pPr>
      <w:r>
        <w:rPr>
          <w:rFonts w:hint="eastAsia" w:ascii="宋体" w:hAnsi="宋体"/>
          <w:sz w:val="24"/>
          <w:szCs w:val="24"/>
        </w:rPr>
        <w:t>10、与基金财产有关的重大合同的保管</w:t>
      </w:r>
    </w:p>
    <w:p w14:paraId="383A910B">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14:paraId="3C12E556">
      <w:pPr>
        <w:adjustRightInd w:val="0"/>
        <w:snapToGrid w:val="0"/>
        <w:spacing w:line="360" w:lineRule="auto"/>
        <w:ind w:firstLine="482"/>
        <w:outlineLvl w:val="1"/>
        <w:rPr>
          <w:b/>
          <w:bCs/>
          <w:sz w:val="24"/>
        </w:rPr>
      </w:pPr>
      <w:r>
        <w:rPr>
          <w:b/>
          <w:bCs/>
          <w:sz w:val="24"/>
        </w:rPr>
        <w:t>（五）基金资产净值</w:t>
      </w:r>
      <w:r>
        <w:rPr>
          <w:rFonts w:hint="eastAsia"/>
          <w:b/>
          <w:bCs/>
          <w:sz w:val="24"/>
        </w:rPr>
        <w:t>计算和会计核算</w:t>
      </w:r>
    </w:p>
    <w:p w14:paraId="1372A7BF">
      <w:pPr>
        <w:adjustRightInd w:val="0"/>
        <w:snapToGrid w:val="0"/>
        <w:spacing w:line="360" w:lineRule="auto"/>
        <w:ind w:firstLine="482"/>
        <w:rPr>
          <w:rFonts w:ascii="宋体" w:hAnsi="宋体"/>
          <w:sz w:val="24"/>
          <w:szCs w:val="24"/>
        </w:rPr>
      </w:pPr>
      <w:r>
        <w:rPr>
          <w:rFonts w:hint="eastAsia" w:ascii="宋体" w:hAnsi="宋体"/>
          <w:sz w:val="24"/>
          <w:szCs w:val="24"/>
        </w:rPr>
        <w:t>1、基金资产净值的计算及复核程序</w:t>
      </w:r>
    </w:p>
    <w:p w14:paraId="4ACD5482">
      <w:pPr>
        <w:adjustRightInd w:val="0"/>
        <w:snapToGrid w:val="0"/>
        <w:spacing w:line="360" w:lineRule="auto"/>
        <w:ind w:firstLine="482"/>
        <w:rPr>
          <w:rFonts w:ascii="宋体" w:hAnsi="宋体"/>
          <w:sz w:val="24"/>
          <w:szCs w:val="24"/>
        </w:rPr>
      </w:pPr>
      <w:r>
        <w:rPr>
          <w:rFonts w:hint="eastAsia" w:ascii="宋体" w:hAnsi="宋体"/>
          <w:sz w:val="24"/>
          <w:szCs w:val="24"/>
        </w:rPr>
        <w:t>（1）基金资产净值</w:t>
      </w:r>
    </w:p>
    <w:p w14:paraId="2DE935F3">
      <w:pPr>
        <w:adjustRightInd w:val="0"/>
        <w:snapToGrid w:val="0"/>
        <w:spacing w:line="360" w:lineRule="auto"/>
        <w:ind w:firstLine="482"/>
        <w:rPr>
          <w:rFonts w:ascii="宋体" w:hAnsi="宋体"/>
          <w:sz w:val="24"/>
          <w:szCs w:val="24"/>
        </w:rPr>
      </w:pPr>
      <w:r>
        <w:rPr>
          <w:rFonts w:hint="eastAsia" w:ascii="宋体" w:hAnsi="宋体"/>
          <w:sz w:val="24"/>
          <w:szCs w:val="24"/>
        </w:rPr>
        <w:t>基金资产净值是指基金资产总值减去基金负债后的价值。</w:t>
      </w:r>
    </w:p>
    <w:p w14:paraId="33C4A361">
      <w:pPr>
        <w:adjustRightInd w:val="0"/>
        <w:snapToGrid w:val="0"/>
        <w:spacing w:line="360" w:lineRule="auto"/>
        <w:ind w:firstLine="482"/>
        <w:rPr>
          <w:rFonts w:ascii="宋体" w:hAnsi="宋体"/>
          <w:sz w:val="24"/>
          <w:szCs w:val="24"/>
        </w:rPr>
      </w:pPr>
      <w:r>
        <w:rPr>
          <w:rFonts w:hint="eastAsia" w:ascii="宋体" w:hAnsi="宋体"/>
          <w:sz w:val="24"/>
          <w:szCs w:val="24"/>
        </w:rPr>
        <w:t>各类基金份额的基金份额净值是按照每个工作日闭市后，该类基金份额的基金资产净值除以当日该类基金份额的余额数量计算，均精确到0.0001元，小数点后第5位四舍五入，由此产生的误差计入基金财产。基金管理人可以设立大额赎回情形下的净值精度应急调整机制，具体可参见相关公告。国家另有规定的，从其规定。</w:t>
      </w:r>
    </w:p>
    <w:p w14:paraId="225A8E2A">
      <w:pPr>
        <w:adjustRightInd w:val="0"/>
        <w:snapToGrid w:val="0"/>
        <w:spacing w:line="360" w:lineRule="auto"/>
        <w:ind w:firstLine="482"/>
        <w:rPr>
          <w:rFonts w:ascii="宋体" w:hAnsi="宋体"/>
          <w:sz w:val="24"/>
          <w:szCs w:val="24"/>
        </w:rPr>
      </w:pPr>
      <w:r>
        <w:rPr>
          <w:rFonts w:hint="eastAsia" w:ascii="宋体" w:hAnsi="宋体"/>
          <w:sz w:val="24"/>
          <w:szCs w:val="24"/>
        </w:rPr>
        <w:t>基金管理人于每个工作日计算各类基金份额的基金资产净值及基金份额净值，经基金托管人复核，并按规定公告，如遇特殊情况，经履行适当程序，可以适当延迟计算或公告。</w:t>
      </w:r>
    </w:p>
    <w:p w14:paraId="4FE54A08">
      <w:pPr>
        <w:adjustRightInd w:val="0"/>
        <w:snapToGrid w:val="0"/>
        <w:spacing w:line="360" w:lineRule="auto"/>
        <w:ind w:firstLine="482"/>
        <w:rPr>
          <w:rFonts w:ascii="宋体" w:hAnsi="宋体"/>
          <w:sz w:val="24"/>
          <w:szCs w:val="24"/>
        </w:rPr>
      </w:pPr>
      <w:r>
        <w:rPr>
          <w:rFonts w:hint="eastAsia" w:ascii="宋体" w:hAnsi="宋体"/>
          <w:sz w:val="24"/>
          <w:szCs w:val="24"/>
        </w:rPr>
        <w:t>（2）复核程序</w:t>
      </w:r>
    </w:p>
    <w:p w14:paraId="7B375CDA">
      <w:pPr>
        <w:adjustRightInd w:val="0"/>
        <w:snapToGrid w:val="0"/>
        <w:spacing w:line="360" w:lineRule="auto"/>
        <w:ind w:firstLine="482"/>
        <w:rPr>
          <w:rFonts w:ascii="宋体" w:hAnsi="宋体"/>
          <w:sz w:val="24"/>
          <w:szCs w:val="24"/>
        </w:rPr>
      </w:pPr>
      <w:r>
        <w:rPr>
          <w:rFonts w:hint="eastAsia" w:ascii="宋体" w:hAnsi="宋体"/>
          <w:sz w:val="24"/>
          <w:szCs w:val="24"/>
        </w:rPr>
        <w:t>基金管理人应每个工作日对基金资产估值，但基金管理人根据法律法规或基金合同的规定暂停估值时除外。基金管理人每个工作日对基金资产进行估值后，将基金资产净值、各类基金份额净值结果发送基金托管人，经基金托管人复核无误后，由基金管理人依据基金合同和相关法律法规的规定对外公布。</w:t>
      </w:r>
    </w:p>
    <w:p w14:paraId="51439F47">
      <w:pPr>
        <w:adjustRightInd w:val="0"/>
        <w:snapToGrid w:val="0"/>
        <w:spacing w:line="360" w:lineRule="auto"/>
        <w:ind w:firstLine="482"/>
        <w:rPr>
          <w:rFonts w:ascii="宋体" w:hAnsi="宋体"/>
          <w:sz w:val="24"/>
          <w:szCs w:val="24"/>
        </w:rPr>
      </w:pPr>
      <w:r>
        <w:rPr>
          <w:rFonts w:hint="eastAsia" w:ascii="宋体" w:hAnsi="宋体"/>
          <w:sz w:val="24"/>
          <w:szCs w:val="24"/>
        </w:rPr>
        <w:t>2、基金资产估值方法和特殊情形的处理</w:t>
      </w:r>
    </w:p>
    <w:p w14:paraId="49990B4A">
      <w:pPr>
        <w:adjustRightInd w:val="0"/>
        <w:snapToGrid w:val="0"/>
        <w:spacing w:line="360" w:lineRule="auto"/>
        <w:ind w:firstLine="482"/>
        <w:rPr>
          <w:rFonts w:ascii="宋体" w:hAnsi="宋体"/>
          <w:sz w:val="24"/>
          <w:szCs w:val="24"/>
        </w:rPr>
      </w:pPr>
      <w:r>
        <w:rPr>
          <w:rFonts w:hint="eastAsia" w:ascii="宋体" w:hAnsi="宋体"/>
          <w:sz w:val="24"/>
          <w:szCs w:val="24"/>
        </w:rPr>
        <w:t>（1）估值对象</w:t>
      </w:r>
    </w:p>
    <w:p w14:paraId="3B49D2F5">
      <w:pPr>
        <w:adjustRightInd w:val="0"/>
        <w:snapToGrid w:val="0"/>
        <w:spacing w:line="360" w:lineRule="auto"/>
        <w:ind w:firstLine="482"/>
        <w:rPr>
          <w:rFonts w:ascii="宋体" w:hAnsi="宋体"/>
          <w:sz w:val="24"/>
          <w:szCs w:val="24"/>
        </w:rPr>
      </w:pPr>
      <w:r>
        <w:rPr>
          <w:rFonts w:hint="eastAsia" w:ascii="宋体" w:hAnsi="宋体"/>
          <w:sz w:val="24"/>
          <w:szCs w:val="24"/>
        </w:rPr>
        <w:t>基金所拥有的股票、债券、资产支持证券、股指期货和其他投资等持续以公允价值计量的金融资产及负债。</w:t>
      </w:r>
    </w:p>
    <w:p w14:paraId="58C8AC69">
      <w:pPr>
        <w:adjustRightInd w:val="0"/>
        <w:snapToGrid w:val="0"/>
        <w:spacing w:line="360" w:lineRule="auto"/>
        <w:ind w:firstLine="482"/>
        <w:rPr>
          <w:rFonts w:ascii="宋体" w:hAnsi="宋体"/>
          <w:sz w:val="24"/>
          <w:szCs w:val="24"/>
        </w:rPr>
      </w:pPr>
      <w:r>
        <w:rPr>
          <w:rFonts w:hint="eastAsia" w:ascii="宋体" w:hAnsi="宋体"/>
          <w:sz w:val="24"/>
          <w:szCs w:val="24"/>
        </w:rPr>
        <w:t>（2）估值方法</w:t>
      </w:r>
    </w:p>
    <w:p w14:paraId="5A1C9C38">
      <w:pPr>
        <w:adjustRightInd w:val="0"/>
        <w:snapToGrid w:val="0"/>
        <w:spacing w:line="360" w:lineRule="auto"/>
        <w:ind w:firstLine="482"/>
        <w:rPr>
          <w:rFonts w:ascii="宋体" w:hAnsi="宋体"/>
          <w:sz w:val="24"/>
          <w:szCs w:val="24"/>
        </w:rPr>
      </w:pPr>
      <w:r>
        <w:rPr>
          <w:rFonts w:hint="eastAsia" w:ascii="宋体" w:hAnsi="宋体"/>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2B9437">
      <w:pPr>
        <w:adjustRightInd w:val="0"/>
        <w:snapToGrid w:val="0"/>
        <w:spacing w:line="360" w:lineRule="auto"/>
        <w:ind w:firstLine="482"/>
        <w:rPr>
          <w:rFonts w:ascii="宋体" w:hAnsi="宋体"/>
          <w:sz w:val="24"/>
          <w:szCs w:val="24"/>
        </w:rPr>
      </w:pPr>
      <w:r>
        <w:rPr>
          <w:rFonts w:hint="eastAsia" w:ascii="宋体" w:hAnsi="宋体"/>
          <w:sz w:val="24"/>
          <w:szCs w:val="24"/>
        </w:rPr>
        <w:t>2）处于未上市期间的有价证券应区分如下情况处理：</w:t>
      </w:r>
    </w:p>
    <w:p w14:paraId="15FF700A">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送股、转增股、配股和公开增发的新股，按估值日在证券交易所挂牌的同一股票的估值方法估值；该日无交易的，以最近一日的市价（收盘价）估值；</w:t>
      </w:r>
    </w:p>
    <w:p w14:paraId="0BB1C50D">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首次公开发行未上市的股票和债券，采用估值技术确定公允价值；</w:t>
      </w:r>
    </w:p>
    <w:p w14:paraId="48B10D21">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F5347B9">
      <w:pPr>
        <w:adjustRightInd w:val="0"/>
        <w:snapToGrid w:val="0"/>
        <w:spacing w:line="360" w:lineRule="auto"/>
        <w:ind w:firstLine="482"/>
        <w:rPr>
          <w:rFonts w:ascii="宋体" w:hAnsi="宋体"/>
          <w:sz w:val="24"/>
          <w:szCs w:val="24"/>
        </w:rPr>
      </w:pPr>
      <w:r>
        <w:rPr>
          <w:rFonts w:hint="eastAsia" w:ascii="宋体" w:hAnsi="宋体"/>
          <w:sz w:val="24"/>
          <w:szCs w:val="24"/>
        </w:rPr>
        <w:t>3）对于已上市或已挂牌转让的不含权固定收益品种（另有规定的除外），选取第三方估值基准服务机构提供的相应品种当日的估值全价进行估值。</w:t>
      </w:r>
    </w:p>
    <w:p w14:paraId="068D5BAC">
      <w:pPr>
        <w:adjustRightInd w:val="0"/>
        <w:snapToGrid w:val="0"/>
        <w:spacing w:line="360" w:lineRule="auto"/>
        <w:ind w:firstLine="482"/>
        <w:rPr>
          <w:rFonts w:ascii="宋体" w:hAnsi="宋体"/>
          <w:sz w:val="24"/>
          <w:szCs w:val="24"/>
        </w:rPr>
      </w:pPr>
      <w:r>
        <w:rPr>
          <w:rFonts w:hint="eastAsia" w:ascii="宋体" w:hAnsi="宋体"/>
          <w:sz w:val="24"/>
          <w:szCs w:val="24"/>
        </w:rPr>
        <w:t>4）对于已上市或已挂牌转让的含权固定收益品种（另有规定的除外），选取第三方估值基准服务机构提供的相应品种当日的唯一估值全价或推荐估值全价进行估值。</w:t>
      </w:r>
    </w:p>
    <w:p w14:paraId="565AC820">
      <w:pPr>
        <w:adjustRightInd w:val="0"/>
        <w:snapToGrid w:val="0"/>
        <w:spacing w:line="360" w:lineRule="auto"/>
        <w:ind w:firstLine="482"/>
        <w:rPr>
          <w:rFonts w:ascii="宋体" w:hAnsi="宋体"/>
          <w:sz w:val="24"/>
          <w:szCs w:val="24"/>
        </w:rPr>
      </w:pPr>
      <w:r>
        <w:rPr>
          <w:rFonts w:hint="eastAsia" w:ascii="宋体" w:hAnsi="宋体"/>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0E3AA41">
      <w:pPr>
        <w:adjustRightInd w:val="0"/>
        <w:snapToGrid w:val="0"/>
        <w:spacing w:line="360" w:lineRule="auto"/>
        <w:ind w:firstLine="482"/>
        <w:rPr>
          <w:rFonts w:ascii="宋体" w:hAnsi="宋体"/>
          <w:sz w:val="24"/>
          <w:szCs w:val="24"/>
        </w:rPr>
      </w:pPr>
      <w:r>
        <w:rPr>
          <w:rFonts w:hint="eastAsia" w:ascii="宋体" w:hAnsi="宋体"/>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E572320">
      <w:pPr>
        <w:adjustRightInd w:val="0"/>
        <w:snapToGrid w:val="0"/>
        <w:spacing w:line="360" w:lineRule="auto"/>
        <w:ind w:firstLine="482"/>
        <w:rPr>
          <w:rFonts w:ascii="宋体" w:hAnsi="宋体"/>
          <w:sz w:val="24"/>
          <w:szCs w:val="24"/>
        </w:rPr>
      </w:pPr>
      <w:r>
        <w:rPr>
          <w:rFonts w:hint="eastAsia" w:ascii="宋体" w:hAnsi="宋体"/>
          <w:sz w:val="24"/>
          <w:szCs w:val="24"/>
        </w:rPr>
        <w:t>6）对于未上市或未挂牌转让且不存在活跃市场的固定收益品种，采用在当前情况下适用并且有足够可利用数据和其他信息支持的估值技术确定其公允价值。</w:t>
      </w:r>
    </w:p>
    <w:p w14:paraId="75C77D15">
      <w:pPr>
        <w:adjustRightInd w:val="0"/>
        <w:snapToGrid w:val="0"/>
        <w:spacing w:line="360" w:lineRule="auto"/>
        <w:ind w:firstLine="482"/>
        <w:rPr>
          <w:rFonts w:ascii="宋体" w:hAnsi="宋体"/>
          <w:sz w:val="24"/>
          <w:szCs w:val="24"/>
        </w:rPr>
      </w:pPr>
      <w:r>
        <w:rPr>
          <w:rFonts w:hint="eastAsia" w:ascii="宋体" w:hAnsi="宋体"/>
          <w:sz w:val="24"/>
          <w:szCs w:val="24"/>
        </w:rPr>
        <w:t>7）本基金投资股指期货合约，一般以估值当日结算价进行估值，估值当日无结算价的，且最近交易日后经济环境未发生重大变化的，采用最近交易日结算价估值。</w:t>
      </w:r>
    </w:p>
    <w:p w14:paraId="54EA7183">
      <w:pPr>
        <w:adjustRightInd w:val="0"/>
        <w:snapToGrid w:val="0"/>
        <w:spacing w:line="360" w:lineRule="auto"/>
        <w:ind w:firstLine="482"/>
        <w:rPr>
          <w:rFonts w:ascii="宋体" w:hAnsi="宋体"/>
          <w:sz w:val="24"/>
          <w:szCs w:val="24"/>
        </w:rPr>
      </w:pPr>
      <w:r>
        <w:rPr>
          <w:rFonts w:hint="eastAsia" w:ascii="宋体" w:hAnsi="宋体"/>
          <w:sz w:val="24"/>
          <w:szCs w:val="24"/>
        </w:rPr>
        <w:t>8）同一证券同时在两个或两个以上市场交易的，按证券所处的市场分别估值。</w:t>
      </w:r>
    </w:p>
    <w:p w14:paraId="061AD696">
      <w:pPr>
        <w:adjustRightInd w:val="0"/>
        <w:snapToGrid w:val="0"/>
        <w:spacing w:line="360" w:lineRule="auto"/>
        <w:ind w:firstLine="482"/>
        <w:rPr>
          <w:rFonts w:ascii="宋体" w:hAnsi="宋体"/>
          <w:sz w:val="24"/>
          <w:szCs w:val="24"/>
        </w:rPr>
      </w:pPr>
      <w:r>
        <w:rPr>
          <w:rFonts w:hint="eastAsia" w:ascii="宋体" w:hAnsi="宋体"/>
          <w:sz w:val="24"/>
          <w:szCs w:val="24"/>
        </w:rPr>
        <w:t>9）估值计算中涉及港币对人民币汇率的，将依据下列信息提供机构所提供的汇率为基准：当日中国人民银行或其授权机构公布的人民币与港币的中间价。</w:t>
      </w:r>
    </w:p>
    <w:p w14:paraId="6634E0D8">
      <w:pPr>
        <w:adjustRightInd w:val="0"/>
        <w:snapToGrid w:val="0"/>
        <w:spacing w:line="360" w:lineRule="auto"/>
        <w:ind w:firstLine="482"/>
        <w:rPr>
          <w:rFonts w:ascii="宋体" w:hAnsi="宋体"/>
          <w:sz w:val="24"/>
          <w:szCs w:val="24"/>
        </w:rPr>
      </w:pPr>
      <w:r>
        <w:rPr>
          <w:rFonts w:hint="eastAsia" w:ascii="宋体" w:hAnsi="宋体"/>
          <w:sz w:val="24"/>
          <w:szCs w:val="24"/>
        </w:rPr>
        <w:t>10）对于因税收规定调整或其他原因导致本基金实际交纳税金与估算的应交税金有差异的，本基金将在相关税金调整日或实际支付日进行相应的会计处理。</w:t>
      </w:r>
    </w:p>
    <w:p w14:paraId="714A447D">
      <w:pPr>
        <w:adjustRightInd w:val="0"/>
        <w:snapToGrid w:val="0"/>
        <w:spacing w:line="360" w:lineRule="auto"/>
        <w:ind w:firstLine="482"/>
        <w:rPr>
          <w:rFonts w:ascii="宋体" w:hAnsi="宋体"/>
          <w:sz w:val="24"/>
          <w:szCs w:val="24"/>
        </w:rPr>
      </w:pPr>
      <w:r>
        <w:rPr>
          <w:rFonts w:hint="eastAsia" w:ascii="宋体" w:hAnsi="宋体"/>
          <w:sz w:val="24"/>
          <w:szCs w:val="24"/>
        </w:rPr>
        <w:t>11）本基金投资存托凭证的估值核算依照境内上市交易的股票执行。</w:t>
      </w:r>
    </w:p>
    <w:p w14:paraId="4461437D">
      <w:pPr>
        <w:adjustRightInd w:val="0"/>
        <w:snapToGrid w:val="0"/>
        <w:spacing w:line="360" w:lineRule="auto"/>
        <w:ind w:firstLine="482"/>
        <w:rPr>
          <w:rFonts w:ascii="宋体" w:hAnsi="宋体"/>
          <w:sz w:val="24"/>
          <w:szCs w:val="24"/>
        </w:rPr>
      </w:pPr>
      <w:r>
        <w:rPr>
          <w:rFonts w:hint="eastAsia" w:ascii="宋体" w:hAnsi="宋体"/>
          <w:sz w:val="24"/>
          <w:szCs w:val="24"/>
        </w:rPr>
        <w:t>12）如有确凿证据表明按上述方法进行估值不能客观反映其公允价值的，基金管理人可根据具体情况与基金托管人商定后，按最能反映公允价值的价格估值。</w:t>
      </w:r>
    </w:p>
    <w:p w14:paraId="6E72E96C">
      <w:pPr>
        <w:adjustRightInd w:val="0"/>
        <w:snapToGrid w:val="0"/>
        <w:spacing w:line="360" w:lineRule="auto"/>
        <w:ind w:firstLine="482"/>
        <w:rPr>
          <w:rFonts w:ascii="宋体" w:hAnsi="宋体"/>
          <w:sz w:val="24"/>
          <w:szCs w:val="24"/>
        </w:rPr>
      </w:pPr>
      <w:r>
        <w:rPr>
          <w:rFonts w:hint="eastAsia" w:ascii="宋体" w:hAnsi="宋体"/>
          <w:sz w:val="24"/>
          <w:szCs w:val="24"/>
        </w:rPr>
        <w:t>13）当发生大额申购或赎回情形时，基金管理人可以采用摆动定价机制，以确保基金估值的公平性。</w:t>
      </w:r>
    </w:p>
    <w:p w14:paraId="77A8F62D">
      <w:pPr>
        <w:adjustRightInd w:val="0"/>
        <w:snapToGrid w:val="0"/>
        <w:spacing w:line="360" w:lineRule="auto"/>
        <w:ind w:firstLine="482"/>
        <w:rPr>
          <w:rFonts w:ascii="宋体" w:hAnsi="宋体"/>
          <w:sz w:val="24"/>
          <w:szCs w:val="24"/>
        </w:rPr>
      </w:pPr>
      <w:r>
        <w:rPr>
          <w:rFonts w:hint="eastAsia" w:ascii="宋体" w:hAnsi="宋体"/>
          <w:sz w:val="24"/>
          <w:szCs w:val="24"/>
        </w:rPr>
        <w:t>14）相关法律法规以及监管部门有强制规定的，从其规定。如有新增事项，按国家最新规定估值。</w:t>
      </w:r>
    </w:p>
    <w:p w14:paraId="63C6BC84">
      <w:pPr>
        <w:adjustRightInd w:val="0"/>
        <w:snapToGrid w:val="0"/>
        <w:spacing w:line="360" w:lineRule="auto"/>
        <w:ind w:firstLine="482"/>
        <w:rPr>
          <w:rFonts w:ascii="宋体" w:hAnsi="宋体"/>
          <w:sz w:val="24"/>
          <w:szCs w:val="24"/>
        </w:rPr>
      </w:pPr>
      <w:r>
        <w:rPr>
          <w:rFonts w:hint="eastAsia" w:ascii="宋体"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37551E1">
      <w:pPr>
        <w:adjustRightInd w:val="0"/>
        <w:snapToGrid w:val="0"/>
        <w:spacing w:line="360" w:lineRule="auto"/>
        <w:ind w:firstLine="482"/>
        <w:rPr>
          <w:rFonts w:ascii="宋体" w:hAnsi="宋体"/>
          <w:sz w:val="24"/>
          <w:szCs w:val="24"/>
        </w:rPr>
      </w:pPr>
      <w:r>
        <w:rPr>
          <w:rFonts w:hint="eastAsia" w:ascii="宋体"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1284F9F">
      <w:pPr>
        <w:adjustRightInd w:val="0"/>
        <w:snapToGrid w:val="0"/>
        <w:spacing w:line="360" w:lineRule="auto"/>
        <w:ind w:firstLine="482"/>
        <w:rPr>
          <w:rFonts w:ascii="宋体" w:hAnsi="宋体"/>
          <w:sz w:val="24"/>
          <w:szCs w:val="24"/>
        </w:rPr>
      </w:pPr>
      <w:r>
        <w:rPr>
          <w:rFonts w:hint="eastAsia" w:ascii="宋体" w:hAnsi="宋体"/>
          <w:sz w:val="24"/>
          <w:szCs w:val="24"/>
        </w:rPr>
        <w:t>（3）特殊情形的处理</w:t>
      </w:r>
    </w:p>
    <w:p w14:paraId="22A80FDF">
      <w:pPr>
        <w:adjustRightInd w:val="0"/>
        <w:snapToGrid w:val="0"/>
        <w:spacing w:line="360" w:lineRule="auto"/>
        <w:ind w:firstLine="482"/>
        <w:rPr>
          <w:rFonts w:ascii="宋体" w:hAnsi="宋体"/>
          <w:sz w:val="24"/>
          <w:szCs w:val="24"/>
        </w:rPr>
      </w:pPr>
      <w:r>
        <w:rPr>
          <w:rFonts w:hint="eastAsia" w:ascii="宋体" w:hAnsi="宋体"/>
          <w:sz w:val="24"/>
          <w:szCs w:val="24"/>
        </w:rPr>
        <w:t>1）基金管理人或基金托管人按估值方法的第12）项进行估值时，所造成的误差不作为基金资产估值错误处理。</w:t>
      </w:r>
    </w:p>
    <w:p w14:paraId="32A4B7AC">
      <w:pPr>
        <w:adjustRightInd w:val="0"/>
        <w:snapToGrid w:val="0"/>
        <w:spacing w:line="360" w:lineRule="auto"/>
        <w:ind w:firstLine="482"/>
        <w:rPr>
          <w:rFonts w:ascii="宋体" w:hAnsi="宋体"/>
          <w:sz w:val="24"/>
          <w:szCs w:val="24"/>
        </w:rPr>
      </w:pPr>
      <w:r>
        <w:rPr>
          <w:rFonts w:hint="eastAsia" w:ascii="宋体" w:hAnsi="宋体"/>
          <w:sz w:val="24"/>
          <w:szCs w:val="24"/>
        </w:rPr>
        <w:t>2）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1AF2DF37">
      <w:pPr>
        <w:adjustRightInd w:val="0"/>
        <w:snapToGrid w:val="0"/>
        <w:spacing w:line="360" w:lineRule="auto"/>
        <w:ind w:firstLine="482"/>
        <w:rPr>
          <w:rFonts w:ascii="宋体" w:hAnsi="宋体"/>
          <w:sz w:val="24"/>
          <w:szCs w:val="24"/>
        </w:rPr>
      </w:pPr>
      <w:r>
        <w:rPr>
          <w:rFonts w:hint="eastAsia" w:ascii="宋体" w:hAnsi="宋体"/>
          <w:sz w:val="24"/>
          <w:szCs w:val="24"/>
        </w:rPr>
        <w:t>3、基金估值错误的处理方式</w:t>
      </w:r>
    </w:p>
    <w:p w14:paraId="1BCBAEEC">
      <w:pPr>
        <w:adjustRightInd w:val="0"/>
        <w:snapToGrid w:val="0"/>
        <w:spacing w:line="360" w:lineRule="auto"/>
        <w:ind w:firstLine="482"/>
        <w:rPr>
          <w:rFonts w:ascii="宋体" w:hAnsi="宋体"/>
          <w:sz w:val="24"/>
          <w:szCs w:val="24"/>
        </w:rPr>
      </w:pPr>
      <w:r>
        <w:rPr>
          <w:rFonts w:hint="eastAsia" w:ascii="宋体" w:hAnsi="宋体"/>
          <w:sz w:val="24"/>
          <w:szCs w:val="24"/>
        </w:rPr>
        <w:t>（1）当任一类基金份额净值小数点后4位以内(含第4位)发生估值错误时，视为该类基金份额净值错误；基金份额净值出现错误时，基金管理人应当立即予以纠正，通报基金托管人，并采取合理的措施防止损失进一步扩大；任一类基金份额的错误偏差达到该类基金份额净值的0.25%时，基金管理人应当通报基金托管人并报中国证监会备案；错误偏差达到该类基金份额净值的0.5%时，基金管理人应当公告并报中国证监会备案；当发生基金份额净值错误时，由基金管理人负责处理，由此给基金份额持有人和基金造成损失的，应由基金管理人先行赔付，基金管理人按差错情形，有权向其他当事人追偿。</w:t>
      </w:r>
    </w:p>
    <w:p w14:paraId="44729BFD">
      <w:pPr>
        <w:adjustRightInd w:val="0"/>
        <w:snapToGrid w:val="0"/>
        <w:spacing w:line="360" w:lineRule="auto"/>
        <w:ind w:firstLine="482"/>
        <w:rPr>
          <w:rFonts w:ascii="宋体" w:hAnsi="宋体"/>
          <w:sz w:val="24"/>
          <w:szCs w:val="24"/>
        </w:rPr>
      </w:pPr>
      <w:r>
        <w:rPr>
          <w:rFonts w:hint="eastAsia" w:ascii="宋体" w:hAnsi="宋体"/>
          <w:sz w:val="24"/>
          <w:szCs w:val="24"/>
        </w:rPr>
        <w:t>（2）当基金份额净值错误给基金和基金份额持有人造成损失需要进行赔偿时，基金管理人和基金托管人应根据实际情况界定双方承担的责任，经确认后按以下条款进行赔偿：</w:t>
      </w:r>
    </w:p>
    <w:p w14:paraId="5015A7AF">
      <w:pPr>
        <w:adjustRightInd w:val="0"/>
        <w:snapToGrid w:val="0"/>
        <w:spacing w:line="360" w:lineRule="auto"/>
        <w:ind w:firstLine="482"/>
        <w:rPr>
          <w:rFonts w:ascii="宋体" w:hAnsi="宋体"/>
          <w:sz w:val="24"/>
          <w:szCs w:val="24"/>
        </w:rPr>
      </w:pPr>
      <w:r>
        <w:rPr>
          <w:rFonts w:hint="eastAsia" w:ascii="宋体" w:hAnsi="宋体"/>
          <w:sz w:val="24"/>
          <w:szCs w:val="24"/>
        </w:rPr>
        <w:t>1）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14:paraId="1F450C7F">
      <w:pPr>
        <w:adjustRightInd w:val="0"/>
        <w:snapToGrid w:val="0"/>
        <w:spacing w:line="360" w:lineRule="auto"/>
        <w:ind w:firstLine="482"/>
        <w:rPr>
          <w:rFonts w:ascii="宋体" w:hAnsi="宋体"/>
          <w:sz w:val="24"/>
          <w:szCs w:val="24"/>
        </w:rPr>
      </w:pPr>
      <w:r>
        <w:rPr>
          <w:rFonts w:hint="eastAsia" w:ascii="宋体" w:hAnsi="宋体"/>
          <w:sz w:val="24"/>
          <w:szCs w:val="24"/>
        </w:rPr>
        <w:t>2）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基金管理人与基金托管人按照过错程度各自承担相应的责任。</w:t>
      </w:r>
    </w:p>
    <w:p w14:paraId="7A03EE30">
      <w:pPr>
        <w:adjustRightInd w:val="0"/>
        <w:snapToGrid w:val="0"/>
        <w:spacing w:line="360" w:lineRule="auto"/>
        <w:ind w:firstLine="482"/>
        <w:rPr>
          <w:rFonts w:ascii="宋体" w:hAnsi="宋体"/>
          <w:sz w:val="24"/>
          <w:szCs w:val="24"/>
        </w:rPr>
      </w:pPr>
      <w:r>
        <w:rPr>
          <w:rFonts w:hint="eastAsia" w:ascii="宋体" w:hAnsi="宋体"/>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3DA361A">
      <w:pPr>
        <w:adjustRightInd w:val="0"/>
        <w:snapToGrid w:val="0"/>
        <w:spacing w:line="360" w:lineRule="auto"/>
        <w:ind w:firstLine="482"/>
        <w:rPr>
          <w:rFonts w:ascii="宋体" w:hAnsi="宋体"/>
          <w:sz w:val="24"/>
          <w:szCs w:val="24"/>
        </w:rPr>
      </w:pPr>
      <w:r>
        <w:rPr>
          <w:rFonts w:hint="eastAsia" w:ascii="宋体" w:hAnsi="宋体"/>
          <w:sz w:val="24"/>
          <w:szCs w:val="24"/>
        </w:rPr>
        <w:t>4）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14:paraId="45A956F6">
      <w:pPr>
        <w:adjustRightInd w:val="0"/>
        <w:snapToGrid w:val="0"/>
        <w:spacing w:line="360" w:lineRule="auto"/>
        <w:ind w:firstLine="482"/>
        <w:rPr>
          <w:rFonts w:ascii="宋体" w:hAnsi="宋体"/>
          <w:sz w:val="24"/>
          <w:szCs w:val="24"/>
        </w:rPr>
      </w:pPr>
      <w:r>
        <w:rPr>
          <w:rFonts w:hint="eastAsia" w:ascii="宋体" w:hAnsi="宋体"/>
          <w:sz w:val="24"/>
          <w:szCs w:val="24"/>
        </w:rPr>
        <w:t>（3）基金管理人和基金托管人由于各自技术系统设置而产生的净值计算尾差，以基金管理人计算结果为准。</w:t>
      </w:r>
    </w:p>
    <w:p w14:paraId="631CD2FB">
      <w:pPr>
        <w:adjustRightInd w:val="0"/>
        <w:snapToGrid w:val="0"/>
        <w:spacing w:line="360" w:lineRule="auto"/>
        <w:ind w:firstLine="482"/>
        <w:rPr>
          <w:rFonts w:ascii="宋体" w:hAnsi="宋体"/>
          <w:sz w:val="24"/>
          <w:szCs w:val="24"/>
        </w:rPr>
      </w:pPr>
      <w:r>
        <w:rPr>
          <w:rFonts w:hint="eastAsia" w:ascii="宋体" w:hAnsi="宋体"/>
          <w:sz w:val="24"/>
          <w:szCs w:val="24"/>
        </w:rPr>
        <w:t>（4）对于托管人仅能依赖基金管理人所提供、且无法从公开市场或其他独立第三方获取可靠数据，托管人对该等数据的责任限于进行形式审核，即检查数据格式是否符合约定、接收渠道是否依约、以及是否与基金管理人提供的其他相关文件存在明显矛盾，托管人不对该等数据的实质真实性、准确性及内在合理性承担审核或验证责任，亦不因此种依赖关系而对该部分核算估值结果的最终正确性承担责任。托管人对因该等数据本身缺陷导致的任何核算估值差错、信息披露失实及由此引发的任何后果，不承担任何责任。</w:t>
      </w:r>
    </w:p>
    <w:p w14:paraId="512564D2">
      <w:pPr>
        <w:adjustRightInd w:val="0"/>
        <w:snapToGrid w:val="0"/>
        <w:spacing w:line="360" w:lineRule="auto"/>
        <w:ind w:firstLine="482"/>
        <w:rPr>
          <w:rFonts w:ascii="宋体" w:hAnsi="宋体"/>
          <w:sz w:val="24"/>
          <w:szCs w:val="24"/>
        </w:rPr>
      </w:pPr>
      <w:r>
        <w:rPr>
          <w:rFonts w:hint="eastAsia" w:ascii="宋体" w:hAnsi="宋体"/>
          <w:sz w:val="24"/>
          <w:szCs w:val="24"/>
        </w:rPr>
        <w:t>（5）前述内容如法律法规或监管机构另有规定的，从其规定处理。</w:t>
      </w:r>
    </w:p>
    <w:p w14:paraId="1A55F917">
      <w:pPr>
        <w:adjustRightInd w:val="0"/>
        <w:snapToGrid w:val="0"/>
        <w:spacing w:line="360" w:lineRule="auto"/>
        <w:ind w:firstLine="482"/>
        <w:rPr>
          <w:rFonts w:ascii="宋体" w:hAnsi="宋体"/>
          <w:sz w:val="24"/>
          <w:szCs w:val="24"/>
        </w:rPr>
      </w:pPr>
      <w:r>
        <w:rPr>
          <w:rFonts w:hint="eastAsia" w:ascii="宋体" w:hAnsi="宋体"/>
          <w:sz w:val="24"/>
          <w:szCs w:val="24"/>
        </w:rPr>
        <w:t>4、暂停估值的情形</w:t>
      </w:r>
    </w:p>
    <w:p w14:paraId="5D3BD613">
      <w:pPr>
        <w:adjustRightInd w:val="0"/>
        <w:snapToGrid w:val="0"/>
        <w:spacing w:line="360" w:lineRule="auto"/>
        <w:ind w:firstLine="482"/>
        <w:rPr>
          <w:rFonts w:ascii="宋体" w:hAnsi="宋体"/>
          <w:sz w:val="24"/>
          <w:szCs w:val="24"/>
        </w:rPr>
      </w:pPr>
      <w:r>
        <w:rPr>
          <w:rFonts w:hint="eastAsia" w:ascii="宋体" w:hAnsi="宋体"/>
          <w:sz w:val="24"/>
          <w:szCs w:val="24"/>
        </w:rPr>
        <w:t>（1）基金投资所涉及的证券、期货交易市场遇法定节假日或因其他原因暂停营业时；</w:t>
      </w:r>
    </w:p>
    <w:p w14:paraId="0C04DDC8">
      <w:pPr>
        <w:adjustRightInd w:val="0"/>
        <w:snapToGrid w:val="0"/>
        <w:spacing w:line="360" w:lineRule="auto"/>
        <w:ind w:firstLine="482"/>
        <w:rPr>
          <w:rFonts w:ascii="宋体" w:hAnsi="宋体"/>
          <w:sz w:val="24"/>
          <w:szCs w:val="24"/>
        </w:rPr>
      </w:pPr>
      <w:r>
        <w:rPr>
          <w:rFonts w:hint="eastAsia" w:ascii="宋体" w:hAnsi="宋体"/>
          <w:sz w:val="24"/>
          <w:szCs w:val="24"/>
        </w:rPr>
        <w:t>（2）因不可抗力致使基金管理人、基金托管人无法准确评估基金资产价值时；</w:t>
      </w:r>
    </w:p>
    <w:p w14:paraId="1BAD38E6">
      <w:pPr>
        <w:adjustRightInd w:val="0"/>
        <w:snapToGrid w:val="0"/>
        <w:spacing w:line="360" w:lineRule="auto"/>
        <w:ind w:firstLine="482"/>
        <w:rPr>
          <w:rFonts w:ascii="宋体" w:hAnsi="宋体"/>
          <w:sz w:val="24"/>
          <w:szCs w:val="24"/>
        </w:rPr>
      </w:pPr>
      <w:r>
        <w:rPr>
          <w:rFonts w:hint="eastAsia" w:ascii="宋体" w:hAnsi="宋体"/>
          <w:sz w:val="24"/>
          <w:szCs w:val="24"/>
        </w:rPr>
        <w:t>（3）当特定资产占前一估值日基金资产净值50%以上的，经与基金托管人协商确认后，基金管理人应当暂停估值；</w:t>
      </w:r>
    </w:p>
    <w:p w14:paraId="41469E14">
      <w:pPr>
        <w:adjustRightInd w:val="0"/>
        <w:snapToGrid w:val="0"/>
        <w:spacing w:line="360" w:lineRule="auto"/>
        <w:ind w:firstLine="482"/>
        <w:rPr>
          <w:rFonts w:ascii="宋体" w:hAnsi="宋体"/>
          <w:sz w:val="24"/>
          <w:szCs w:val="24"/>
        </w:rPr>
      </w:pPr>
      <w:r>
        <w:rPr>
          <w:rFonts w:hint="eastAsia" w:ascii="宋体" w:hAnsi="宋体"/>
          <w:sz w:val="24"/>
          <w:szCs w:val="24"/>
        </w:rPr>
        <w:t>（4）法律法规、中国证监会和基金合同认定的其它情形。</w:t>
      </w:r>
    </w:p>
    <w:p w14:paraId="21BE578D">
      <w:pPr>
        <w:adjustRightInd w:val="0"/>
        <w:snapToGrid w:val="0"/>
        <w:spacing w:line="360" w:lineRule="auto"/>
        <w:ind w:firstLine="482"/>
        <w:rPr>
          <w:rFonts w:ascii="宋体" w:hAnsi="宋体"/>
          <w:sz w:val="24"/>
          <w:szCs w:val="24"/>
        </w:rPr>
      </w:pPr>
      <w:r>
        <w:rPr>
          <w:rFonts w:hint="eastAsia" w:ascii="宋体" w:hAnsi="宋体"/>
          <w:sz w:val="24"/>
          <w:szCs w:val="24"/>
        </w:rPr>
        <w:t>5、基金会计制度</w:t>
      </w:r>
    </w:p>
    <w:p w14:paraId="706BC1F6">
      <w:pPr>
        <w:adjustRightInd w:val="0"/>
        <w:snapToGrid w:val="0"/>
        <w:spacing w:line="360" w:lineRule="auto"/>
        <w:ind w:firstLine="482"/>
        <w:rPr>
          <w:rFonts w:ascii="宋体" w:hAnsi="宋体"/>
          <w:sz w:val="24"/>
          <w:szCs w:val="24"/>
        </w:rPr>
      </w:pPr>
      <w:r>
        <w:rPr>
          <w:rFonts w:hint="eastAsia" w:ascii="宋体" w:hAnsi="宋体"/>
          <w:sz w:val="24"/>
          <w:szCs w:val="24"/>
        </w:rPr>
        <w:t>按国家有关部门规定的会计制度执行。</w:t>
      </w:r>
    </w:p>
    <w:p w14:paraId="74E5E47D">
      <w:pPr>
        <w:adjustRightInd w:val="0"/>
        <w:snapToGrid w:val="0"/>
        <w:spacing w:line="360" w:lineRule="auto"/>
        <w:ind w:firstLine="482"/>
        <w:rPr>
          <w:rFonts w:ascii="宋体" w:hAnsi="宋体"/>
          <w:sz w:val="24"/>
          <w:szCs w:val="24"/>
        </w:rPr>
      </w:pPr>
      <w:r>
        <w:rPr>
          <w:rFonts w:hint="eastAsia" w:ascii="宋体" w:hAnsi="宋体"/>
          <w:sz w:val="24"/>
          <w:szCs w:val="24"/>
        </w:rPr>
        <w:t>6、基金账册的建立</w:t>
      </w:r>
    </w:p>
    <w:p w14:paraId="56827B89">
      <w:pPr>
        <w:adjustRightInd w:val="0"/>
        <w:snapToGrid w:val="0"/>
        <w:spacing w:line="360" w:lineRule="auto"/>
        <w:ind w:firstLine="482"/>
        <w:rPr>
          <w:rFonts w:ascii="宋体" w:hAnsi="宋体"/>
          <w:sz w:val="24"/>
          <w:szCs w:val="24"/>
        </w:rPr>
      </w:pPr>
      <w:r>
        <w:rPr>
          <w:rFonts w:hint="eastAsia" w:ascii="宋体" w:hAnsi="宋体"/>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净值信息的计算和公告的，以基金管理人的账册为准。</w:t>
      </w:r>
    </w:p>
    <w:p w14:paraId="6CDC2A63">
      <w:pPr>
        <w:adjustRightInd w:val="0"/>
        <w:snapToGrid w:val="0"/>
        <w:spacing w:line="360" w:lineRule="auto"/>
        <w:ind w:firstLine="482"/>
        <w:rPr>
          <w:rFonts w:ascii="宋体" w:hAnsi="宋体"/>
          <w:sz w:val="24"/>
          <w:szCs w:val="24"/>
        </w:rPr>
      </w:pPr>
      <w:r>
        <w:rPr>
          <w:rFonts w:hint="eastAsia" w:ascii="宋体" w:hAnsi="宋体"/>
          <w:sz w:val="24"/>
          <w:szCs w:val="24"/>
        </w:rPr>
        <w:t>7、基金财务报表与报告的编制和复核</w:t>
      </w:r>
    </w:p>
    <w:p w14:paraId="2F690020">
      <w:pPr>
        <w:adjustRightInd w:val="0"/>
        <w:snapToGrid w:val="0"/>
        <w:spacing w:line="360" w:lineRule="auto"/>
        <w:ind w:firstLine="482"/>
        <w:rPr>
          <w:rFonts w:ascii="宋体" w:hAnsi="宋体"/>
          <w:sz w:val="24"/>
          <w:szCs w:val="24"/>
        </w:rPr>
      </w:pPr>
      <w:r>
        <w:rPr>
          <w:rFonts w:hint="eastAsia" w:ascii="宋体" w:hAnsi="宋体"/>
          <w:sz w:val="24"/>
          <w:szCs w:val="24"/>
        </w:rPr>
        <w:t>（1）财务报表的编制</w:t>
      </w:r>
    </w:p>
    <w:p w14:paraId="5E09A70B">
      <w:pPr>
        <w:adjustRightInd w:val="0"/>
        <w:snapToGrid w:val="0"/>
        <w:spacing w:line="360" w:lineRule="auto"/>
        <w:ind w:firstLine="482"/>
        <w:rPr>
          <w:rFonts w:ascii="宋体" w:hAnsi="宋体"/>
          <w:sz w:val="24"/>
          <w:szCs w:val="24"/>
        </w:rPr>
      </w:pPr>
      <w:r>
        <w:rPr>
          <w:rFonts w:hint="eastAsia" w:ascii="宋体" w:hAnsi="宋体"/>
          <w:sz w:val="24"/>
          <w:szCs w:val="24"/>
        </w:rPr>
        <w:t>基金管理人应当及时编制并对外提供真实、完整的基金财务会计报告。月度报表的编制，基金管理人应于每月终了后5个工作日内完成；季度报告应在季度结束之日起15个工作日内编制完毕并予以公告；中期报告在上半年结束之日起两个月内编制完毕并予以公告；年度报告在每年结束之日起三个月内编制完毕并予以公告。基金合同生效不足2个月的，基金管理人可以不编制当期季度报告、中期报告或者年度报告。</w:t>
      </w:r>
    </w:p>
    <w:p w14:paraId="3E52FE4D">
      <w:pPr>
        <w:adjustRightInd w:val="0"/>
        <w:snapToGrid w:val="0"/>
        <w:spacing w:line="360" w:lineRule="auto"/>
        <w:ind w:firstLine="482"/>
        <w:rPr>
          <w:rFonts w:ascii="宋体" w:hAnsi="宋体"/>
          <w:sz w:val="24"/>
          <w:szCs w:val="24"/>
        </w:rPr>
      </w:pPr>
      <w:r>
        <w:rPr>
          <w:rFonts w:hint="eastAsia" w:ascii="宋体" w:hAnsi="宋体"/>
          <w:sz w:val="24"/>
          <w:szCs w:val="24"/>
        </w:rPr>
        <w:t>（2）报表复核</w:t>
      </w:r>
    </w:p>
    <w:p w14:paraId="47E8A973">
      <w:pPr>
        <w:adjustRightInd w:val="0"/>
        <w:snapToGrid w:val="0"/>
        <w:spacing w:line="360" w:lineRule="auto"/>
        <w:ind w:firstLine="482"/>
        <w:rPr>
          <w:rFonts w:ascii="宋体" w:hAnsi="宋体"/>
          <w:sz w:val="24"/>
          <w:szCs w:val="24"/>
        </w:rPr>
      </w:pPr>
      <w:r>
        <w:rPr>
          <w:rFonts w:hint="eastAsia" w:ascii="宋体" w:hAnsi="宋体"/>
          <w:sz w:val="24"/>
          <w:szCs w:val="24"/>
        </w:rPr>
        <w:t>基金管理人在报表或定期报告完成当日，对报表盖章后，以加密传真方式或双方书面商定的其他方式将有关报表提供基金托管人复核。</w:t>
      </w:r>
    </w:p>
    <w:p w14:paraId="556F9667">
      <w:pPr>
        <w:adjustRightInd w:val="0"/>
        <w:snapToGrid w:val="0"/>
        <w:spacing w:line="360" w:lineRule="auto"/>
        <w:ind w:firstLine="482"/>
        <w:rPr>
          <w:rFonts w:ascii="宋体" w:hAnsi="宋体"/>
          <w:sz w:val="24"/>
          <w:szCs w:val="24"/>
        </w:rPr>
      </w:pPr>
      <w:r>
        <w:rPr>
          <w:rFonts w:hint="eastAsia" w:ascii="宋体" w:hAnsi="宋体"/>
          <w:sz w:val="24"/>
          <w:szCs w:val="24"/>
        </w:rPr>
        <w:t>基金管理人在月度报表完成当日，将报表盖章后提供给基金托管人复核；基金托管人在收到后应在3日内进行复核，并将复核结果书面或通过电子形式通知基金管理人。基金管理人在季度报告完成当日，将有关报告提供给基金托管人复核，基金托管人应在收到后7个工作日内完成复核，并将复核结果书面或通过电子形式通知基金管理人。基金管理人在中期报告完成当日，将有关报告提供给基金托管人复核，基金托管人应在收到后30日内完成复核，并将复核结果书面或通过电子形式通知基金管理人。基金管理人在年度报告完成当日，将有关报告提供基金托管人复核，基金托管人应在收到后45日内完成复核，并将复核结果书面或通过电子形式通知基金管理人。基金管理人和基金托管人之间的上述文件往来均以传真的方式或双方商定的其他方式进行。</w:t>
      </w:r>
    </w:p>
    <w:p w14:paraId="2612B82B">
      <w:pPr>
        <w:adjustRightInd w:val="0"/>
        <w:snapToGrid w:val="0"/>
        <w:spacing w:line="360" w:lineRule="auto"/>
        <w:ind w:firstLine="482"/>
        <w:rPr>
          <w:rFonts w:ascii="宋体" w:hAnsi="宋体"/>
          <w:sz w:val="24"/>
          <w:szCs w:val="24"/>
        </w:rPr>
      </w:pPr>
      <w:r>
        <w:rPr>
          <w:rFonts w:hint="eastAsia" w:ascii="宋体" w:hAnsi="宋体"/>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79BA1C74">
      <w:pPr>
        <w:adjustRightInd w:val="0"/>
        <w:snapToGrid w:val="0"/>
        <w:spacing w:line="360" w:lineRule="auto"/>
        <w:ind w:firstLine="480" w:firstLineChars="200"/>
        <w:rPr>
          <w:rFonts w:ascii="宋体" w:hAnsi="宋体"/>
          <w:strike/>
          <w:kern w:val="0"/>
          <w:sz w:val="24"/>
          <w:szCs w:val="24"/>
        </w:rPr>
      </w:pPr>
      <w:r>
        <w:rPr>
          <w:rFonts w:hint="eastAsia" w:ascii="宋体" w:hAnsi="宋体"/>
          <w:sz w:val="24"/>
          <w:szCs w:val="24"/>
        </w:rPr>
        <w:t>8、基金管理人应每季向基金托管人提供基金业绩比较基准的基础数据和编制结果。</w:t>
      </w:r>
    </w:p>
    <w:p w14:paraId="0577F0CB">
      <w:pPr>
        <w:adjustRightInd w:val="0"/>
        <w:snapToGrid w:val="0"/>
        <w:spacing w:line="360" w:lineRule="auto"/>
        <w:ind w:firstLine="482"/>
        <w:outlineLvl w:val="1"/>
        <w:rPr>
          <w:b/>
          <w:bCs/>
          <w:sz w:val="24"/>
        </w:rPr>
      </w:pPr>
      <w:r>
        <w:rPr>
          <w:b/>
          <w:bCs/>
          <w:sz w:val="24"/>
        </w:rPr>
        <w:t>（七）争议解决方式</w:t>
      </w:r>
    </w:p>
    <w:p w14:paraId="70E0B08E">
      <w:pPr>
        <w:adjustRightInd w:val="0"/>
        <w:snapToGrid w:val="0"/>
        <w:spacing w:line="360" w:lineRule="auto"/>
        <w:ind w:firstLine="482"/>
        <w:rPr>
          <w:rFonts w:ascii="宋体" w:hAnsi="宋体"/>
          <w:color w:val="0D0D0D"/>
          <w:sz w:val="24"/>
          <w:szCs w:val="24"/>
        </w:rPr>
      </w:pPr>
      <w:r>
        <w:rPr>
          <w:rFonts w:hint="eastAsia" w:ascii="宋体" w:hAnsi="宋体"/>
          <w:b/>
          <w:bCs/>
          <w:color w:val="0D0D0D"/>
          <w:sz w:val="24"/>
          <w:szCs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由败诉方承担。</w:t>
      </w:r>
    </w:p>
    <w:p w14:paraId="78E5E29E">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争议处理期间，双方当事人应恪守基金管理人和基金托管人职责，各自继续忠实、勤勉、尽责地履行基金合同和本托管协议规定的义务，维护基金份额持有人的合法权益。</w:t>
      </w:r>
    </w:p>
    <w:p w14:paraId="55C3411F">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本协议适用中华人民共和国法律（为本协议之目的，不含港澳台地区法律）并从其解释。</w:t>
      </w:r>
    </w:p>
    <w:p w14:paraId="30A33082">
      <w:pPr>
        <w:adjustRightInd w:val="0"/>
        <w:snapToGrid w:val="0"/>
        <w:spacing w:line="360" w:lineRule="auto"/>
        <w:ind w:firstLine="482" w:firstLineChars="200"/>
        <w:outlineLvl w:val="1"/>
        <w:rPr>
          <w:rFonts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14:paraId="24D62294">
      <w:pPr>
        <w:adjustRightInd w:val="0"/>
        <w:snapToGrid w:val="0"/>
        <w:spacing w:line="360" w:lineRule="auto"/>
        <w:ind w:firstLine="480" w:firstLineChars="200"/>
        <w:rPr>
          <w:color w:val="0D0D0D"/>
          <w:sz w:val="24"/>
          <w:szCs w:val="24"/>
        </w:rPr>
      </w:pPr>
      <w:r>
        <w:rPr>
          <w:rFonts w:hint="eastAsia"/>
          <w:color w:val="0D0D0D"/>
          <w:sz w:val="24"/>
          <w:szCs w:val="24"/>
        </w:rPr>
        <w:t>1、托管协议的变更程序</w:t>
      </w:r>
    </w:p>
    <w:p w14:paraId="0672CB95">
      <w:pPr>
        <w:adjustRightInd w:val="0"/>
        <w:snapToGrid w:val="0"/>
        <w:spacing w:line="360" w:lineRule="auto"/>
        <w:ind w:firstLine="480" w:firstLineChars="200"/>
        <w:rPr>
          <w:color w:val="0D0D0D"/>
          <w:sz w:val="24"/>
          <w:szCs w:val="24"/>
        </w:rPr>
      </w:pPr>
      <w:r>
        <w:rPr>
          <w:rFonts w:hint="eastAsia"/>
          <w:color w:val="0D0D0D"/>
          <w:sz w:val="24"/>
          <w:szCs w:val="24"/>
        </w:rPr>
        <w:t>本协议双方当事人经协商一致，可以对协议进行修改。修改后的新协议，其内容不得与基金合同的规定有任何冲突。基金托管协议的变更应按规定报中国证监会备案。</w:t>
      </w:r>
    </w:p>
    <w:p w14:paraId="1ED61075">
      <w:pPr>
        <w:adjustRightInd w:val="0"/>
        <w:snapToGrid w:val="0"/>
        <w:spacing w:line="360" w:lineRule="auto"/>
        <w:ind w:firstLine="480" w:firstLineChars="200"/>
        <w:rPr>
          <w:color w:val="0D0D0D"/>
          <w:sz w:val="24"/>
          <w:szCs w:val="24"/>
        </w:rPr>
      </w:pPr>
      <w:r>
        <w:rPr>
          <w:rFonts w:hint="eastAsia"/>
          <w:color w:val="0D0D0D"/>
          <w:sz w:val="24"/>
          <w:szCs w:val="24"/>
        </w:rPr>
        <w:t>2、基金托管协议终止的情形</w:t>
      </w:r>
    </w:p>
    <w:p w14:paraId="59525FB3">
      <w:pPr>
        <w:adjustRightInd w:val="0"/>
        <w:snapToGrid w:val="0"/>
        <w:spacing w:line="360" w:lineRule="auto"/>
        <w:ind w:firstLine="480" w:firstLineChars="200"/>
        <w:rPr>
          <w:color w:val="0D0D0D"/>
          <w:sz w:val="24"/>
          <w:szCs w:val="24"/>
        </w:rPr>
      </w:pPr>
      <w:r>
        <w:rPr>
          <w:rFonts w:hint="eastAsia"/>
          <w:color w:val="0D0D0D"/>
          <w:sz w:val="24"/>
          <w:szCs w:val="24"/>
        </w:rPr>
        <w:t>（1）基金合同终止；</w:t>
      </w:r>
    </w:p>
    <w:p w14:paraId="1EF21F41">
      <w:pPr>
        <w:adjustRightInd w:val="0"/>
        <w:snapToGrid w:val="0"/>
        <w:spacing w:line="360" w:lineRule="auto"/>
        <w:ind w:firstLine="480" w:firstLineChars="200"/>
        <w:rPr>
          <w:color w:val="0D0D0D"/>
          <w:sz w:val="24"/>
          <w:szCs w:val="24"/>
        </w:rPr>
      </w:pPr>
      <w:r>
        <w:rPr>
          <w:rFonts w:hint="eastAsia"/>
          <w:color w:val="0D0D0D"/>
          <w:sz w:val="24"/>
          <w:szCs w:val="24"/>
        </w:rPr>
        <w:t>（2）基金托管人解散、依法被撤销、破产或由其他基金托管人接管基金资产；</w:t>
      </w:r>
    </w:p>
    <w:p w14:paraId="2DD447CE">
      <w:pPr>
        <w:adjustRightInd w:val="0"/>
        <w:snapToGrid w:val="0"/>
        <w:spacing w:line="360" w:lineRule="auto"/>
        <w:ind w:firstLine="480" w:firstLineChars="200"/>
        <w:rPr>
          <w:color w:val="0D0D0D"/>
          <w:sz w:val="24"/>
          <w:szCs w:val="24"/>
        </w:rPr>
      </w:pPr>
      <w:r>
        <w:rPr>
          <w:rFonts w:hint="eastAsia"/>
          <w:color w:val="0D0D0D"/>
          <w:sz w:val="24"/>
          <w:szCs w:val="24"/>
        </w:rPr>
        <w:t>（3）基金管理人解散、依法被撤销、破产或由其他基金管理人接管基金管理权；</w:t>
      </w:r>
    </w:p>
    <w:p w14:paraId="14AD60A7">
      <w:pPr>
        <w:adjustRightInd w:val="0"/>
        <w:snapToGrid w:val="0"/>
        <w:spacing w:line="360" w:lineRule="auto"/>
        <w:ind w:firstLine="480" w:firstLineChars="200"/>
        <w:rPr>
          <w:color w:val="0D0D0D"/>
          <w:sz w:val="24"/>
          <w:szCs w:val="24"/>
        </w:rPr>
      </w:pPr>
      <w:r>
        <w:rPr>
          <w:rFonts w:hint="eastAsia"/>
          <w:color w:val="0D0D0D"/>
          <w:sz w:val="24"/>
          <w:szCs w:val="24"/>
        </w:rPr>
        <w:t>（4）管理人存在拒不履行托管合同、被依法取消业务资格、被依法解散撤销等情形的，托管人将根据有关规定，采取措施保护财产安全，并及时告知相关方。在采取必要、合理措施保障投资者合法权益的前提下，托管人有权终止托管服务并解除合同；</w:t>
      </w:r>
    </w:p>
    <w:p w14:paraId="6B6308BB">
      <w:pPr>
        <w:adjustRightInd w:val="0"/>
        <w:snapToGrid w:val="0"/>
        <w:spacing w:line="360" w:lineRule="auto"/>
        <w:ind w:firstLine="480" w:firstLineChars="200"/>
        <w:rPr>
          <w:color w:val="0D0D0D"/>
          <w:sz w:val="24"/>
          <w:szCs w:val="24"/>
        </w:rPr>
      </w:pPr>
      <w:r>
        <w:rPr>
          <w:rFonts w:hint="eastAsia"/>
          <w:color w:val="0D0D0D"/>
          <w:sz w:val="24"/>
          <w:szCs w:val="24"/>
        </w:rPr>
        <w:t>（5）管理人不得借助托管人的品牌、声誉开展不当营销宣传，如存在该行为，应当及时纠正。如管理人未及时采取有效纠正措施，托管人有权终止业务合作并解除合同；</w:t>
      </w:r>
    </w:p>
    <w:p w14:paraId="49FB1A02">
      <w:pPr>
        <w:adjustRightInd w:val="0"/>
        <w:snapToGrid w:val="0"/>
        <w:spacing w:line="360" w:lineRule="auto"/>
        <w:ind w:firstLine="480" w:firstLineChars="200"/>
        <w:rPr>
          <w:color w:val="0D0D0D"/>
          <w:sz w:val="24"/>
          <w:szCs w:val="24"/>
        </w:rPr>
      </w:pPr>
      <w:r>
        <w:rPr>
          <w:rFonts w:hint="eastAsia"/>
          <w:color w:val="0D0D0D"/>
          <w:sz w:val="24"/>
          <w:szCs w:val="24"/>
        </w:rPr>
        <w:t>（6）发生法律法规、中国证监会或基金合同规定的其他终止事项。</w:t>
      </w:r>
    </w:p>
    <w:p w14:paraId="2465C519">
      <w:pPr>
        <w:adjustRightInd w:val="0"/>
        <w:snapToGrid w:val="0"/>
        <w:spacing w:line="360" w:lineRule="auto"/>
        <w:ind w:firstLine="480" w:firstLineChars="200"/>
        <w:rPr>
          <w:color w:val="0D0D0D"/>
          <w:sz w:val="24"/>
          <w:szCs w:val="24"/>
        </w:rPr>
      </w:pPr>
      <w:r>
        <w:rPr>
          <w:rFonts w:hint="eastAsia"/>
          <w:color w:val="0D0D0D"/>
          <w:sz w:val="24"/>
          <w:szCs w:val="24"/>
        </w:rPr>
        <w:t>3、基金财产的清算</w:t>
      </w:r>
    </w:p>
    <w:p w14:paraId="6410869C">
      <w:pPr>
        <w:adjustRightInd w:val="0"/>
        <w:snapToGrid w:val="0"/>
        <w:spacing w:line="360" w:lineRule="auto"/>
        <w:ind w:firstLine="480" w:firstLineChars="200"/>
        <w:rPr>
          <w:color w:val="0D0D0D"/>
          <w:sz w:val="24"/>
          <w:szCs w:val="24"/>
        </w:rPr>
      </w:pPr>
      <w:r>
        <w:rPr>
          <w:rFonts w:hint="eastAsia"/>
          <w:color w:val="0D0D0D"/>
          <w:sz w:val="24"/>
          <w:szCs w:val="24"/>
        </w:rPr>
        <w:t>（1）基金财产清算小组</w:t>
      </w:r>
    </w:p>
    <w:p w14:paraId="6424C6B6">
      <w:pPr>
        <w:adjustRightInd w:val="0"/>
        <w:snapToGrid w:val="0"/>
        <w:spacing w:line="360" w:lineRule="auto"/>
        <w:ind w:firstLine="480" w:firstLineChars="200"/>
        <w:rPr>
          <w:color w:val="0D0D0D"/>
          <w:sz w:val="24"/>
          <w:szCs w:val="24"/>
        </w:rPr>
      </w:pPr>
      <w:r>
        <w:rPr>
          <w:rFonts w:hint="eastAsia"/>
          <w:color w:val="0D0D0D"/>
          <w:sz w:val="24"/>
          <w:szCs w:val="24"/>
        </w:rPr>
        <w:t>1）自出现《基金合同》终止事由之日起30个工作日内成立基金财产清算小组，基金管理人组织基金财产清算小组并在中国证监会的监督下进行基金清算。</w:t>
      </w:r>
    </w:p>
    <w:p w14:paraId="76CC6401">
      <w:pPr>
        <w:adjustRightInd w:val="0"/>
        <w:snapToGrid w:val="0"/>
        <w:spacing w:line="360" w:lineRule="auto"/>
        <w:ind w:firstLine="480" w:firstLineChars="200"/>
        <w:rPr>
          <w:color w:val="0D0D0D"/>
          <w:sz w:val="24"/>
          <w:szCs w:val="24"/>
        </w:rPr>
      </w:pPr>
      <w:r>
        <w:rPr>
          <w:rFonts w:hint="eastAsia"/>
          <w:color w:val="0D0D0D"/>
          <w:sz w:val="24"/>
          <w:szCs w:val="24"/>
        </w:rPr>
        <w:t>2）基金财产清算小组成员由基金管理人、基金托管人、符合《中华人民共和国证券法》规定的注册会计师、律师以及中国证监会指定的人员组成。基金财产清算小组可以聘用必要的工作人员。</w:t>
      </w:r>
    </w:p>
    <w:p w14:paraId="7C3AF948">
      <w:pPr>
        <w:adjustRightInd w:val="0"/>
        <w:snapToGrid w:val="0"/>
        <w:spacing w:line="360" w:lineRule="auto"/>
        <w:ind w:firstLine="480" w:firstLineChars="200"/>
        <w:rPr>
          <w:color w:val="0D0D0D"/>
          <w:sz w:val="24"/>
          <w:szCs w:val="24"/>
        </w:rPr>
      </w:pPr>
      <w:r>
        <w:rPr>
          <w:rFonts w:hint="eastAsia"/>
          <w:color w:val="0D0D0D"/>
          <w:sz w:val="24"/>
          <w:szCs w:val="24"/>
        </w:rPr>
        <w:t>3）在基金财产清算过程中，基金管理人和基金托管人应各自履行职责，继续忠实、勤勉、尽责地履行基金合同和本托管协议规定的义务，维护基金份额持有人的合法权益。</w:t>
      </w:r>
    </w:p>
    <w:p w14:paraId="24B74EFA">
      <w:pPr>
        <w:adjustRightInd w:val="0"/>
        <w:snapToGrid w:val="0"/>
        <w:spacing w:line="360" w:lineRule="auto"/>
        <w:ind w:firstLine="480" w:firstLineChars="200"/>
        <w:rPr>
          <w:color w:val="0D0D0D"/>
          <w:sz w:val="24"/>
          <w:szCs w:val="24"/>
        </w:rPr>
      </w:pPr>
      <w:r>
        <w:rPr>
          <w:rFonts w:hint="eastAsia"/>
          <w:color w:val="0D0D0D"/>
          <w:sz w:val="24"/>
          <w:szCs w:val="24"/>
        </w:rPr>
        <w:t>4）基金财产清算小组负责基金财产的保管、清理、估价、变现和分配。基金财产清算小组可以依法进行必要的民事活动。</w:t>
      </w:r>
    </w:p>
    <w:p w14:paraId="5059ADA8">
      <w:pPr>
        <w:adjustRightInd w:val="0"/>
        <w:snapToGrid w:val="0"/>
        <w:spacing w:line="360" w:lineRule="auto"/>
        <w:ind w:firstLine="480" w:firstLineChars="200"/>
        <w:rPr>
          <w:color w:val="0D0D0D"/>
          <w:sz w:val="24"/>
          <w:szCs w:val="24"/>
        </w:rPr>
      </w:pPr>
      <w:r>
        <w:rPr>
          <w:rFonts w:hint="eastAsia"/>
          <w:color w:val="0D0D0D"/>
          <w:sz w:val="24"/>
          <w:szCs w:val="24"/>
        </w:rPr>
        <w:t>（2）基金财产清算程序</w:t>
      </w:r>
    </w:p>
    <w:p w14:paraId="5BAAA083">
      <w:pPr>
        <w:adjustRightInd w:val="0"/>
        <w:snapToGrid w:val="0"/>
        <w:spacing w:line="360" w:lineRule="auto"/>
        <w:ind w:firstLine="480" w:firstLineChars="200"/>
        <w:rPr>
          <w:color w:val="0D0D0D"/>
          <w:sz w:val="24"/>
          <w:szCs w:val="24"/>
        </w:rPr>
      </w:pPr>
      <w:r>
        <w:rPr>
          <w:rFonts w:hint="eastAsia"/>
          <w:color w:val="0D0D0D"/>
          <w:sz w:val="24"/>
          <w:szCs w:val="24"/>
        </w:rPr>
        <w:t>1）基金合同终止情形出现时，由基金财产清算小组统一接管基金财产；</w:t>
      </w:r>
    </w:p>
    <w:p w14:paraId="47AEE475">
      <w:pPr>
        <w:adjustRightInd w:val="0"/>
        <w:snapToGrid w:val="0"/>
        <w:spacing w:line="360" w:lineRule="auto"/>
        <w:ind w:firstLine="480" w:firstLineChars="200"/>
        <w:rPr>
          <w:color w:val="0D0D0D"/>
          <w:sz w:val="24"/>
          <w:szCs w:val="24"/>
        </w:rPr>
      </w:pPr>
      <w:r>
        <w:rPr>
          <w:rFonts w:hint="eastAsia"/>
          <w:color w:val="0D0D0D"/>
          <w:sz w:val="24"/>
          <w:szCs w:val="24"/>
        </w:rPr>
        <w:t>2）对基金财产和债权债务进行清理和确认；</w:t>
      </w:r>
    </w:p>
    <w:p w14:paraId="0C3A31F2">
      <w:pPr>
        <w:adjustRightInd w:val="0"/>
        <w:snapToGrid w:val="0"/>
        <w:spacing w:line="360" w:lineRule="auto"/>
        <w:ind w:firstLine="480" w:firstLineChars="200"/>
        <w:rPr>
          <w:color w:val="0D0D0D"/>
          <w:sz w:val="24"/>
          <w:szCs w:val="24"/>
        </w:rPr>
      </w:pPr>
      <w:r>
        <w:rPr>
          <w:rFonts w:hint="eastAsia"/>
          <w:color w:val="0D0D0D"/>
          <w:sz w:val="24"/>
          <w:szCs w:val="24"/>
        </w:rPr>
        <w:t>3）对基金财产进行估值和变现；</w:t>
      </w:r>
    </w:p>
    <w:p w14:paraId="0448E0CE">
      <w:pPr>
        <w:adjustRightInd w:val="0"/>
        <w:snapToGrid w:val="0"/>
        <w:spacing w:line="360" w:lineRule="auto"/>
        <w:ind w:firstLine="480" w:firstLineChars="200"/>
        <w:rPr>
          <w:color w:val="0D0D0D"/>
          <w:sz w:val="24"/>
          <w:szCs w:val="24"/>
        </w:rPr>
      </w:pPr>
      <w:r>
        <w:rPr>
          <w:rFonts w:hint="eastAsia"/>
          <w:color w:val="0D0D0D"/>
          <w:sz w:val="24"/>
          <w:szCs w:val="24"/>
        </w:rPr>
        <w:t>4）制作清算报告；</w:t>
      </w:r>
    </w:p>
    <w:p w14:paraId="7CE8F3B9">
      <w:pPr>
        <w:adjustRightInd w:val="0"/>
        <w:snapToGrid w:val="0"/>
        <w:spacing w:line="360" w:lineRule="auto"/>
        <w:ind w:firstLine="480" w:firstLineChars="200"/>
        <w:rPr>
          <w:color w:val="0D0D0D"/>
          <w:sz w:val="24"/>
          <w:szCs w:val="24"/>
        </w:rPr>
      </w:pPr>
      <w:r>
        <w:rPr>
          <w:rFonts w:hint="eastAsia"/>
          <w:color w:val="0D0D0D"/>
          <w:sz w:val="24"/>
          <w:szCs w:val="24"/>
        </w:rPr>
        <w:t>5）聘请符合《中华人民共和国证券法》规定的会计师事务所对清算报告进行外部审计；</w:t>
      </w:r>
    </w:p>
    <w:p w14:paraId="3CE14B80">
      <w:pPr>
        <w:adjustRightInd w:val="0"/>
        <w:snapToGrid w:val="0"/>
        <w:spacing w:line="360" w:lineRule="auto"/>
        <w:ind w:firstLine="480" w:firstLineChars="200"/>
        <w:rPr>
          <w:color w:val="0D0D0D"/>
          <w:sz w:val="24"/>
          <w:szCs w:val="24"/>
        </w:rPr>
      </w:pPr>
      <w:r>
        <w:rPr>
          <w:rFonts w:hint="eastAsia"/>
          <w:color w:val="0D0D0D"/>
          <w:sz w:val="24"/>
          <w:szCs w:val="24"/>
        </w:rPr>
        <w:t>6）聘请律师事务所对清算报告出具法律意见书；</w:t>
      </w:r>
    </w:p>
    <w:p w14:paraId="2E292688">
      <w:pPr>
        <w:adjustRightInd w:val="0"/>
        <w:snapToGrid w:val="0"/>
        <w:spacing w:line="360" w:lineRule="auto"/>
        <w:ind w:firstLine="480" w:firstLineChars="200"/>
        <w:rPr>
          <w:color w:val="0D0D0D"/>
          <w:sz w:val="24"/>
          <w:szCs w:val="24"/>
        </w:rPr>
      </w:pPr>
      <w:r>
        <w:rPr>
          <w:rFonts w:hint="eastAsia"/>
          <w:color w:val="0D0D0D"/>
          <w:sz w:val="24"/>
          <w:szCs w:val="24"/>
        </w:rPr>
        <w:t>7）将清算报告报中国证监会备案；</w:t>
      </w:r>
    </w:p>
    <w:p w14:paraId="19712666">
      <w:pPr>
        <w:adjustRightInd w:val="0"/>
        <w:snapToGrid w:val="0"/>
        <w:spacing w:line="360" w:lineRule="auto"/>
        <w:ind w:firstLine="480" w:firstLineChars="200"/>
        <w:rPr>
          <w:color w:val="0D0D0D"/>
          <w:sz w:val="24"/>
          <w:szCs w:val="24"/>
        </w:rPr>
      </w:pPr>
      <w:r>
        <w:rPr>
          <w:rFonts w:hint="eastAsia"/>
          <w:color w:val="0D0D0D"/>
          <w:sz w:val="24"/>
          <w:szCs w:val="24"/>
        </w:rPr>
        <w:t>8）公告基金清算报告；</w:t>
      </w:r>
    </w:p>
    <w:p w14:paraId="487C4347">
      <w:pPr>
        <w:adjustRightInd w:val="0"/>
        <w:snapToGrid w:val="0"/>
        <w:spacing w:line="360" w:lineRule="auto"/>
        <w:ind w:firstLine="480" w:firstLineChars="200"/>
        <w:rPr>
          <w:color w:val="0D0D0D"/>
          <w:sz w:val="24"/>
          <w:szCs w:val="24"/>
        </w:rPr>
      </w:pPr>
      <w:r>
        <w:rPr>
          <w:rFonts w:hint="eastAsia"/>
          <w:color w:val="0D0D0D"/>
          <w:sz w:val="24"/>
          <w:szCs w:val="24"/>
        </w:rPr>
        <w:t>9）对基金剩余财产进行分配。</w:t>
      </w:r>
    </w:p>
    <w:p w14:paraId="51BB06EB">
      <w:pPr>
        <w:adjustRightInd w:val="0"/>
        <w:snapToGrid w:val="0"/>
        <w:spacing w:line="360" w:lineRule="auto"/>
        <w:ind w:firstLine="480" w:firstLineChars="200"/>
        <w:rPr>
          <w:color w:val="0D0D0D"/>
          <w:sz w:val="24"/>
          <w:szCs w:val="24"/>
        </w:rPr>
      </w:pPr>
      <w:r>
        <w:rPr>
          <w:rFonts w:hint="eastAsia"/>
          <w:color w:val="0D0D0D"/>
          <w:sz w:val="24"/>
          <w:szCs w:val="24"/>
        </w:rPr>
        <w:t>基金财产清算的期限为6个月，但因本基金所持证券的流动性受到限制而不能及时变现的，清算期限相应顺延。</w:t>
      </w:r>
    </w:p>
    <w:p w14:paraId="2A1FAAD2">
      <w:pPr>
        <w:adjustRightInd w:val="0"/>
        <w:snapToGrid w:val="0"/>
        <w:spacing w:line="360" w:lineRule="auto"/>
        <w:ind w:firstLine="480" w:firstLineChars="200"/>
        <w:rPr>
          <w:color w:val="0D0D0D"/>
          <w:sz w:val="24"/>
          <w:szCs w:val="24"/>
        </w:rPr>
      </w:pPr>
      <w:r>
        <w:rPr>
          <w:rFonts w:hint="eastAsia"/>
          <w:color w:val="0D0D0D"/>
          <w:sz w:val="24"/>
          <w:szCs w:val="24"/>
        </w:rPr>
        <w:t>（3）清算费用</w:t>
      </w:r>
    </w:p>
    <w:p w14:paraId="621078BA">
      <w:pPr>
        <w:adjustRightInd w:val="0"/>
        <w:snapToGrid w:val="0"/>
        <w:spacing w:line="360" w:lineRule="auto"/>
        <w:ind w:firstLine="480" w:firstLineChars="200"/>
        <w:rPr>
          <w:color w:val="0D0D0D"/>
          <w:sz w:val="24"/>
          <w:szCs w:val="24"/>
        </w:rPr>
      </w:pPr>
      <w:r>
        <w:rPr>
          <w:rFonts w:hint="eastAsia"/>
          <w:color w:val="0D0D0D"/>
          <w:sz w:val="24"/>
          <w:szCs w:val="24"/>
        </w:rPr>
        <w:t>清算费用是指基金财产清算小组在进行基金财产清算过程中发生的所有合理费用，清算费用由基金财产清算小组优先从基金财产中支付。</w:t>
      </w:r>
    </w:p>
    <w:p w14:paraId="43D0DED6">
      <w:pPr>
        <w:adjustRightInd w:val="0"/>
        <w:snapToGrid w:val="0"/>
        <w:spacing w:line="360" w:lineRule="auto"/>
        <w:ind w:firstLine="480" w:firstLineChars="200"/>
        <w:rPr>
          <w:color w:val="0D0D0D"/>
          <w:sz w:val="24"/>
          <w:szCs w:val="24"/>
        </w:rPr>
      </w:pPr>
      <w:r>
        <w:rPr>
          <w:rFonts w:hint="eastAsia"/>
          <w:color w:val="0D0D0D"/>
          <w:sz w:val="24"/>
          <w:szCs w:val="24"/>
        </w:rPr>
        <w:t>（4）基金财产按下列顺序清偿：</w:t>
      </w:r>
    </w:p>
    <w:p w14:paraId="7CA653F3">
      <w:pPr>
        <w:adjustRightInd w:val="0"/>
        <w:snapToGrid w:val="0"/>
        <w:spacing w:line="360" w:lineRule="auto"/>
        <w:ind w:firstLine="480" w:firstLineChars="200"/>
        <w:rPr>
          <w:color w:val="0D0D0D"/>
          <w:sz w:val="24"/>
          <w:szCs w:val="24"/>
        </w:rPr>
      </w:pPr>
      <w:r>
        <w:rPr>
          <w:rFonts w:hint="eastAsia"/>
          <w:color w:val="0D0D0D"/>
          <w:sz w:val="24"/>
          <w:szCs w:val="24"/>
        </w:rPr>
        <w:t>1）支付清算费用；</w:t>
      </w:r>
    </w:p>
    <w:p w14:paraId="33A61B9A">
      <w:pPr>
        <w:adjustRightInd w:val="0"/>
        <w:snapToGrid w:val="0"/>
        <w:spacing w:line="360" w:lineRule="auto"/>
        <w:ind w:firstLine="480" w:firstLineChars="200"/>
        <w:rPr>
          <w:color w:val="0D0D0D"/>
          <w:sz w:val="24"/>
          <w:szCs w:val="24"/>
        </w:rPr>
      </w:pPr>
      <w:r>
        <w:rPr>
          <w:rFonts w:hint="eastAsia"/>
          <w:color w:val="0D0D0D"/>
          <w:sz w:val="24"/>
          <w:szCs w:val="24"/>
        </w:rPr>
        <w:t>2）交纳所欠税款；</w:t>
      </w:r>
    </w:p>
    <w:p w14:paraId="20368AB4">
      <w:pPr>
        <w:adjustRightInd w:val="0"/>
        <w:snapToGrid w:val="0"/>
        <w:spacing w:line="360" w:lineRule="auto"/>
        <w:ind w:firstLine="480" w:firstLineChars="200"/>
        <w:rPr>
          <w:color w:val="0D0D0D"/>
          <w:sz w:val="24"/>
          <w:szCs w:val="24"/>
        </w:rPr>
      </w:pPr>
      <w:r>
        <w:rPr>
          <w:rFonts w:hint="eastAsia"/>
          <w:color w:val="0D0D0D"/>
          <w:sz w:val="24"/>
          <w:szCs w:val="24"/>
        </w:rPr>
        <w:t>3）清偿基金债务；</w:t>
      </w:r>
    </w:p>
    <w:p w14:paraId="646ED82F">
      <w:pPr>
        <w:adjustRightInd w:val="0"/>
        <w:snapToGrid w:val="0"/>
        <w:spacing w:line="360" w:lineRule="auto"/>
        <w:ind w:firstLine="480" w:firstLineChars="200"/>
        <w:rPr>
          <w:color w:val="0D0D0D"/>
          <w:sz w:val="24"/>
          <w:szCs w:val="24"/>
        </w:rPr>
      </w:pPr>
      <w:r>
        <w:rPr>
          <w:rFonts w:hint="eastAsia"/>
          <w:color w:val="0D0D0D"/>
          <w:sz w:val="24"/>
          <w:szCs w:val="24"/>
        </w:rPr>
        <w:t>4）按基金份额持有人持有的各类基金份额比例进行分配。</w:t>
      </w:r>
    </w:p>
    <w:p w14:paraId="01C5FCAE">
      <w:pPr>
        <w:adjustRightInd w:val="0"/>
        <w:snapToGrid w:val="0"/>
        <w:spacing w:line="360" w:lineRule="auto"/>
        <w:ind w:firstLine="480" w:firstLineChars="200"/>
        <w:rPr>
          <w:color w:val="0D0D0D"/>
          <w:sz w:val="24"/>
          <w:szCs w:val="24"/>
        </w:rPr>
      </w:pPr>
      <w:r>
        <w:rPr>
          <w:rFonts w:hint="eastAsia"/>
          <w:color w:val="0D0D0D"/>
          <w:sz w:val="24"/>
          <w:szCs w:val="24"/>
        </w:rPr>
        <w:t>基金财产未按前款1）－3）项规定清偿前，不分配给基金份额持有人。</w:t>
      </w:r>
    </w:p>
    <w:p w14:paraId="1FA2E755">
      <w:pPr>
        <w:adjustRightInd w:val="0"/>
        <w:snapToGrid w:val="0"/>
        <w:spacing w:line="360" w:lineRule="auto"/>
        <w:ind w:firstLine="480" w:firstLineChars="200"/>
        <w:rPr>
          <w:color w:val="0D0D0D"/>
          <w:sz w:val="24"/>
          <w:szCs w:val="24"/>
        </w:rPr>
      </w:pPr>
      <w:r>
        <w:rPr>
          <w:rFonts w:hint="eastAsia"/>
          <w:color w:val="0D0D0D"/>
          <w:sz w:val="24"/>
          <w:szCs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5783956C">
      <w:pPr>
        <w:adjustRightInd w:val="0"/>
        <w:snapToGrid w:val="0"/>
        <w:spacing w:line="360" w:lineRule="auto"/>
        <w:ind w:firstLine="480" w:firstLineChars="200"/>
        <w:rPr>
          <w:color w:val="0D0D0D"/>
          <w:sz w:val="24"/>
          <w:szCs w:val="24"/>
        </w:rPr>
      </w:pPr>
      <w:r>
        <w:rPr>
          <w:rFonts w:hint="eastAsia"/>
          <w:color w:val="0D0D0D"/>
          <w:sz w:val="24"/>
          <w:szCs w:val="24"/>
        </w:rPr>
        <w:t>（5）基金财产清算的公告</w:t>
      </w:r>
    </w:p>
    <w:p w14:paraId="61EA1A78">
      <w:pPr>
        <w:adjustRightInd w:val="0"/>
        <w:snapToGrid w:val="0"/>
        <w:spacing w:line="360" w:lineRule="auto"/>
        <w:ind w:firstLine="480" w:firstLineChars="200"/>
        <w:rPr>
          <w:color w:val="0D0D0D"/>
          <w:sz w:val="24"/>
          <w:szCs w:val="24"/>
        </w:rPr>
      </w:pPr>
      <w:r>
        <w:rPr>
          <w:rFonts w:hint="eastAsia"/>
          <w:color w:val="0D0D0D"/>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6653D42">
      <w:pPr>
        <w:adjustRightInd w:val="0"/>
        <w:snapToGrid w:val="0"/>
        <w:spacing w:line="360" w:lineRule="auto"/>
        <w:ind w:firstLine="480" w:firstLineChars="200"/>
        <w:rPr>
          <w:color w:val="0D0D0D"/>
          <w:sz w:val="24"/>
          <w:szCs w:val="24"/>
        </w:rPr>
      </w:pPr>
      <w:r>
        <w:rPr>
          <w:rFonts w:hint="eastAsia"/>
          <w:color w:val="0D0D0D"/>
          <w:sz w:val="24"/>
          <w:szCs w:val="24"/>
        </w:rPr>
        <w:t>（6）基金财产清算账册及文件的保存</w:t>
      </w:r>
    </w:p>
    <w:p w14:paraId="412A3F79">
      <w:pPr>
        <w:adjustRightInd w:val="0"/>
        <w:snapToGrid w:val="0"/>
        <w:spacing w:line="360" w:lineRule="auto"/>
        <w:ind w:firstLine="480" w:firstLineChars="200"/>
        <w:rPr>
          <w:rFonts w:ascii="宋体" w:hAnsi="宋体"/>
          <w:sz w:val="24"/>
        </w:rPr>
      </w:pPr>
      <w:r>
        <w:rPr>
          <w:rFonts w:hint="eastAsia"/>
          <w:color w:val="0D0D0D"/>
          <w:sz w:val="24"/>
          <w:szCs w:val="24"/>
        </w:rPr>
        <w:t>基金财产清算账册及有关文件由基金托管人保存不低于法律法规规定的最低期限。</w:t>
      </w:r>
    </w:p>
    <w:p w14:paraId="339F453E">
      <w:pPr>
        <w:rPr>
          <w:rFonts w:ascii="宋体" w:hAnsi="宋体"/>
          <w:sz w:val="24"/>
        </w:rPr>
      </w:pPr>
      <w:r>
        <w:rPr>
          <w:rFonts w:hint="eastAsia" w:ascii="宋体" w:hAnsi="宋体"/>
          <w:sz w:val="24"/>
        </w:rPr>
        <w:br w:type="page"/>
      </w:r>
    </w:p>
    <w:p w14:paraId="6332FC69">
      <w:pPr>
        <w:widowControl/>
        <w:jc w:val="center"/>
        <w:outlineLvl w:val="0"/>
        <w:rPr>
          <w:b/>
          <w:bCs/>
          <w:sz w:val="30"/>
        </w:rPr>
      </w:pPr>
      <w:bookmarkStart w:id="104" w:name="_Toc48122022"/>
      <w:r>
        <w:rPr>
          <w:b/>
          <w:bCs/>
          <w:sz w:val="30"/>
        </w:rPr>
        <w:t>二十一、对基金份额持有人的服务</w:t>
      </w:r>
      <w:bookmarkEnd w:id="104"/>
    </w:p>
    <w:p w14:paraId="21A097D9">
      <w:pPr>
        <w:widowControl/>
        <w:adjustRightInd w:val="0"/>
        <w:snapToGrid w:val="0"/>
        <w:spacing w:line="360" w:lineRule="auto"/>
        <w:ind w:firstLine="480" w:firstLineChars="200"/>
        <w:rPr>
          <w:rFonts w:hAnsi="宋体"/>
          <w:kern w:val="0"/>
          <w:sz w:val="24"/>
          <w:szCs w:val="24"/>
        </w:rPr>
      </w:pPr>
    </w:p>
    <w:p w14:paraId="0EB790D3">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0F1C241F">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14:paraId="7FD739A0">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14:paraId="445AA564">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14:paraId="06F93A90">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14:paraId="187C356F">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14:paraId="113187F7">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14:paraId="520ABAAF">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14:paraId="4A0F077B">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14:paraId="56704E3E">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3EB14100">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14:paraId="69988B4E">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14:paraId="6B66C529">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14:paraId="1E702943">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14:paraId="75DD80BE">
      <w:pPr>
        <w:widowControl/>
        <w:adjustRightInd w:val="0"/>
        <w:snapToGrid w:val="0"/>
        <w:spacing w:line="360" w:lineRule="auto"/>
        <w:ind w:firstLine="480" w:firstLineChars="200"/>
        <w:rPr>
          <w:kern w:val="0"/>
          <w:sz w:val="24"/>
        </w:rPr>
      </w:pPr>
      <w:r>
        <w:rPr>
          <w:kern w:val="0"/>
          <w:sz w:val="24"/>
        </w:rPr>
        <w:t>待技术条件成熟时，基金</w:t>
      </w:r>
      <w:bookmarkStart w:id="105" w:name="OLE_LINK11"/>
      <w:r>
        <w:rPr>
          <w:kern w:val="0"/>
          <w:sz w:val="24"/>
        </w:rPr>
        <w:t>管理人可通过销售机构为投资人提供定期定额投资的服务。通过定期定额</w:t>
      </w:r>
      <w:bookmarkEnd w:id="105"/>
      <w:r>
        <w:rPr>
          <w:kern w:val="0"/>
          <w:sz w:val="24"/>
        </w:rPr>
        <w:t>投资计划，投资人可以定期定额申购基金份额，具体实施方法另行公告。</w:t>
      </w:r>
    </w:p>
    <w:p w14:paraId="3268DC03">
      <w:pPr>
        <w:widowControl/>
        <w:adjustRightInd w:val="0"/>
        <w:snapToGrid w:val="0"/>
        <w:spacing w:line="360" w:lineRule="auto"/>
        <w:ind w:firstLine="480" w:firstLineChars="200"/>
        <w:rPr>
          <w:kern w:val="0"/>
          <w:sz w:val="24"/>
        </w:rPr>
      </w:pPr>
      <w:r>
        <w:rPr>
          <w:rFonts w:hAnsi="宋体"/>
          <w:kern w:val="0"/>
          <w:sz w:val="24"/>
        </w:rPr>
        <w:t>服务联系方式：</w:t>
      </w:r>
    </w:p>
    <w:p w14:paraId="5360DBB3">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14:paraId="28EBB774">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14:paraId="626CF3A4">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14:paraId="7535F996">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14:paraId="3E321DD6">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14:paraId="1336EC5D">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6" w:name="_Toc48122023"/>
      <w:r>
        <w:rPr>
          <w:rFonts w:hint="eastAsia" w:ascii="宋体" w:hAnsi="宋体"/>
          <w:b/>
          <w:kern w:val="0"/>
          <w:sz w:val="30"/>
        </w:rPr>
        <w:t>二十二、其他应披露事项</w:t>
      </w:r>
      <w:bookmarkEnd w:id="106"/>
    </w:p>
    <w:p w14:paraId="79DCBE5A">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14:paraId="4DBA771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7" w:name="_Toc48122024"/>
      <w:r>
        <w:rPr>
          <w:rFonts w:hint="eastAsia" w:ascii="宋体" w:hAnsi="宋体"/>
          <w:b/>
          <w:kern w:val="0"/>
          <w:sz w:val="30"/>
        </w:rPr>
        <w:t>二十三、招募说明书的存放及查阅方式</w:t>
      </w:r>
      <w:bookmarkEnd w:id="107"/>
    </w:p>
    <w:p w14:paraId="6577283A">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08" w:name="_Toc109537401"/>
      <w:r>
        <w:rPr>
          <w:rFonts w:ascii="宋体" w:hAnsi="宋体"/>
          <w:kern w:val="0"/>
          <w:sz w:val="24"/>
        </w:rPr>
        <w:t>间内取得上述文件复制件</w:t>
      </w:r>
      <w:bookmarkEnd w:id="108"/>
      <w:r>
        <w:rPr>
          <w:rFonts w:ascii="宋体" w:hAnsi="宋体"/>
          <w:kern w:val="0"/>
          <w:sz w:val="24"/>
        </w:rPr>
        <w:t>或复印件。对投资人按此种方式所获得的文件及其复印件，基金管理人和基金托管人</w:t>
      </w:r>
      <w:bookmarkStart w:id="109" w:name="_Toc109537402"/>
      <w:r>
        <w:rPr>
          <w:rFonts w:ascii="宋体" w:hAnsi="宋体"/>
          <w:kern w:val="0"/>
          <w:sz w:val="24"/>
        </w:rPr>
        <w:t>保证文本的内容与所公告的内容完全一</w:t>
      </w:r>
      <w:bookmarkEnd w:id="109"/>
      <w:r>
        <w:rPr>
          <w:rFonts w:ascii="宋体" w:hAnsi="宋体"/>
          <w:kern w:val="0"/>
          <w:sz w:val="24"/>
        </w:rPr>
        <w:t>致。</w:t>
      </w:r>
    </w:p>
    <w:p w14:paraId="785A9FBC">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14:paraId="64ACF4CC">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0" w:name="_Toc48122025"/>
      <w:r>
        <w:rPr>
          <w:rFonts w:hint="eastAsia" w:ascii="宋体" w:hAnsi="宋体"/>
          <w:b/>
          <w:kern w:val="0"/>
          <w:sz w:val="30"/>
        </w:rPr>
        <w:t>二十四、备查文件</w:t>
      </w:r>
      <w:bookmarkEnd w:id="110"/>
    </w:p>
    <w:p w14:paraId="341B6039">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14:paraId="26979679">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hint="eastAsia" w:ascii="宋体" w:hAnsi="宋体"/>
          <w:kern w:val="0"/>
          <w:sz w:val="24"/>
        </w:rPr>
        <w:t>交银施罗德消费研选混合型发起式证券投资基金</w:t>
      </w:r>
      <w:r>
        <w:rPr>
          <w:rFonts w:ascii="宋体" w:hAnsi="宋体"/>
          <w:kern w:val="0"/>
          <w:sz w:val="24"/>
        </w:rPr>
        <w:t>募集</w:t>
      </w:r>
      <w:r>
        <w:rPr>
          <w:rFonts w:hint="eastAsia" w:ascii="宋体" w:hAnsi="宋体"/>
          <w:kern w:val="0"/>
          <w:sz w:val="24"/>
          <w:szCs w:val="24"/>
        </w:rPr>
        <w:t>注册</w:t>
      </w:r>
      <w:r>
        <w:rPr>
          <w:rFonts w:ascii="宋体" w:hAnsi="宋体"/>
          <w:kern w:val="0"/>
          <w:sz w:val="24"/>
        </w:rPr>
        <w:t>的文件</w:t>
      </w:r>
    </w:p>
    <w:p w14:paraId="2A0BDA13">
      <w:pPr>
        <w:widowControl/>
        <w:adjustRightInd w:val="0"/>
        <w:snapToGrid w:val="0"/>
        <w:spacing w:line="360" w:lineRule="auto"/>
        <w:ind w:firstLine="480" w:firstLineChars="200"/>
        <w:rPr>
          <w:rFonts w:ascii="宋体" w:hAnsi="宋体"/>
          <w:kern w:val="0"/>
          <w:sz w:val="24"/>
        </w:rPr>
      </w:pPr>
      <w:r>
        <w:rPr>
          <w:rFonts w:ascii="宋体" w:hAnsi="宋体"/>
          <w:kern w:val="0"/>
          <w:sz w:val="24"/>
        </w:rPr>
        <w:t>（二）《</w:t>
      </w:r>
      <w:r>
        <w:rPr>
          <w:rFonts w:hint="eastAsia" w:ascii="宋体" w:hAnsi="宋体"/>
          <w:kern w:val="0"/>
          <w:sz w:val="24"/>
        </w:rPr>
        <w:t>交银施罗德消费研选混合型发起式证券投资基金</w:t>
      </w:r>
      <w:r>
        <w:rPr>
          <w:rFonts w:ascii="宋体" w:hAnsi="宋体"/>
          <w:kern w:val="0"/>
          <w:sz w:val="24"/>
        </w:rPr>
        <w:t>基金合同》</w:t>
      </w:r>
    </w:p>
    <w:p w14:paraId="09614DC3">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w:t>
      </w:r>
      <w:r>
        <w:rPr>
          <w:rFonts w:hint="eastAsia" w:ascii="宋体" w:hAnsi="宋体"/>
          <w:kern w:val="0"/>
          <w:sz w:val="24"/>
        </w:rPr>
        <w:t>交银施罗德消费研选混合型发起式证券投资基金</w:t>
      </w:r>
      <w:r>
        <w:rPr>
          <w:rFonts w:ascii="宋体" w:hAnsi="宋体"/>
          <w:kern w:val="0"/>
          <w:sz w:val="24"/>
        </w:rPr>
        <w:t>托管协议》</w:t>
      </w:r>
    </w:p>
    <w:p w14:paraId="2051CA9B">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14:paraId="0B885BA2">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14:paraId="2BFCCDD6">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hint="eastAsia" w:ascii="宋体" w:hAnsi="宋体"/>
          <w:kern w:val="0"/>
          <w:sz w:val="24"/>
        </w:rPr>
        <w:t>交银施罗德消费研选混合型发起式证券投资基金的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965F">
    <w:pPr>
      <w:pStyle w:val="20"/>
      <w:jc w:val="center"/>
    </w:pPr>
    <w:r>
      <w:fldChar w:fldCharType="begin"/>
    </w:r>
    <w:r>
      <w:instrText xml:space="preserve"> PAGE   \* MERGEFORMAT </w:instrText>
    </w:r>
    <w:r>
      <w:fldChar w:fldCharType="separate"/>
    </w:r>
    <w:r>
      <w:t>24</w:t>
    </w:r>
    <w:r>
      <w:fldChar w:fldCharType="end"/>
    </w:r>
  </w:p>
  <w:p w14:paraId="2865B2D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C851">
    <w:pPr>
      <w:pStyle w:val="21"/>
      <w:jc w:val="right"/>
    </w:pPr>
    <w:r>
      <w:rPr>
        <w:rFonts w:hint="eastAsia"/>
      </w:rPr>
      <w:t>交银施罗德消费研选混合型发起式证券投资基金招募说明书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3B42F"/>
    <w:multiLevelType w:val="singleLevel"/>
    <w:tmpl w:val="E3B3B42F"/>
    <w:lvl w:ilvl="0" w:tentative="0">
      <w:start w:val="1"/>
      <w:numFmt w:val="bullet"/>
      <w:lvlText w:val=""/>
      <w:lvlJc w:val="left"/>
      <w:pPr>
        <w:tabs>
          <w:tab w:val="left" w:pos="420"/>
        </w:tabs>
        <w:ind w:left="840" w:hanging="420"/>
      </w:pPr>
      <w:rPr>
        <w:rFonts w:hint="default" w:ascii="Wingdings" w:hAnsi="Wingdings"/>
      </w:rPr>
    </w:lvl>
  </w:abstractNum>
  <w:abstractNum w:abstractNumId="1">
    <w:nsid w:val="3016EE85"/>
    <w:multiLevelType w:val="singleLevel"/>
    <w:tmpl w:val="3016EE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1E92"/>
    <w:rsid w:val="000437B3"/>
    <w:rsid w:val="00043A36"/>
    <w:rsid w:val="0004506F"/>
    <w:rsid w:val="00045328"/>
    <w:rsid w:val="000461B1"/>
    <w:rsid w:val="000467E8"/>
    <w:rsid w:val="000469CF"/>
    <w:rsid w:val="00047E47"/>
    <w:rsid w:val="00050316"/>
    <w:rsid w:val="000507CD"/>
    <w:rsid w:val="00051A7C"/>
    <w:rsid w:val="00051C43"/>
    <w:rsid w:val="0005256A"/>
    <w:rsid w:val="0005284A"/>
    <w:rsid w:val="000531A3"/>
    <w:rsid w:val="00053490"/>
    <w:rsid w:val="00054043"/>
    <w:rsid w:val="00055357"/>
    <w:rsid w:val="000563F7"/>
    <w:rsid w:val="00056533"/>
    <w:rsid w:val="0005668A"/>
    <w:rsid w:val="00057796"/>
    <w:rsid w:val="00061974"/>
    <w:rsid w:val="00061F72"/>
    <w:rsid w:val="00062891"/>
    <w:rsid w:val="000635F3"/>
    <w:rsid w:val="000647FF"/>
    <w:rsid w:val="00065B95"/>
    <w:rsid w:val="000663E4"/>
    <w:rsid w:val="0006649F"/>
    <w:rsid w:val="00066B5D"/>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770EA"/>
    <w:rsid w:val="00080148"/>
    <w:rsid w:val="0008018D"/>
    <w:rsid w:val="000808ED"/>
    <w:rsid w:val="000816D0"/>
    <w:rsid w:val="00081717"/>
    <w:rsid w:val="00081904"/>
    <w:rsid w:val="000825D3"/>
    <w:rsid w:val="00082AB1"/>
    <w:rsid w:val="00082BA8"/>
    <w:rsid w:val="00084506"/>
    <w:rsid w:val="00084CED"/>
    <w:rsid w:val="0008593A"/>
    <w:rsid w:val="000865B5"/>
    <w:rsid w:val="000866EF"/>
    <w:rsid w:val="00087169"/>
    <w:rsid w:val="000915E8"/>
    <w:rsid w:val="00091D59"/>
    <w:rsid w:val="0009203D"/>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0CF9"/>
    <w:rsid w:val="000A1DC7"/>
    <w:rsid w:val="000A21D3"/>
    <w:rsid w:val="000A2FD3"/>
    <w:rsid w:val="000A3044"/>
    <w:rsid w:val="000A325D"/>
    <w:rsid w:val="000A365C"/>
    <w:rsid w:val="000A36E6"/>
    <w:rsid w:val="000A3CA6"/>
    <w:rsid w:val="000A3FB4"/>
    <w:rsid w:val="000A553E"/>
    <w:rsid w:val="000A775B"/>
    <w:rsid w:val="000B07CA"/>
    <w:rsid w:val="000B086A"/>
    <w:rsid w:val="000B1A18"/>
    <w:rsid w:val="000B26A8"/>
    <w:rsid w:val="000B3D39"/>
    <w:rsid w:val="000B488D"/>
    <w:rsid w:val="000B4C2D"/>
    <w:rsid w:val="000B4FB6"/>
    <w:rsid w:val="000B6967"/>
    <w:rsid w:val="000B78FB"/>
    <w:rsid w:val="000C0148"/>
    <w:rsid w:val="000C1A8D"/>
    <w:rsid w:val="000C2295"/>
    <w:rsid w:val="000C2DD2"/>
    <w:rsid w:val="000C2E07"/>
    <w:rsid w:val="000C4E01"/>
    <w:rsid w:val="000C5A5A"/>
    <w:rsid w:val="000C650A"/>
    <w:rsid w:val="000C7711"/>
    <w:rsid w:val="000C7F7F"/>
    <w:rsid w:val="000D0D52"/>
    <w:rsid w:val="000D0ED3"/>
    <w:rsid w:val="000D1375"/>
    <w:rsid w:val="000D37C6"/>
    <w:rsid w:val="000D3A89"/>
    <w:rsid w:val="000D49D5"/>
    <w:rsid w:val="000D52A6"/>
    <w:rsid w:val="000D5329"/>
    <w:rsid w:val="000D5EB3"/>
    <w:rsid w:val="000D6B73"/>
    <w:rsid w:val="000D76D1"/>
    <w:rsid w:val="000E03C3"/>
    <w:rsid w:val="000E1BE0"/>
    <w:rsid w:val="000E32F8"/>
    <w:rsid w:val="000E3675"/>
    <w:rsid w:val="000E3794"/>
    <w:rsid w:val="000E3A6B"/>
    <w:rsid w:val="000E3F89"/>
    <w:rsid w:val="000E4049"/>
    <w:rsid w:val="000E4073"/>
    <w:rsid w:val="000E410D"/>
    <w:rsid w:val="000E456C"/>
    <w:rsid w:val="000E53EB"/>
    <w:rsid w:val="000E566B"/>
    <w:rsid w:val="000E57A1"/>
    <w:rsid w:val="000F1899"/>
    <w:rsid w:val="000F2783"/>
    <w:rsid w:val="000F5072"/>
    <w:rsid w:val="000F525A"/>
    <w:rsid w:val="000F5363"/>
    <w:rsid w:val="000F603F"/>
    <w:rsid w:val="000F6855"/>
    <w:rsid w:val="000F7635"/>
    <w:rsid w:val="00100052"/>
    <w:rsid w:val="001005E7"/>
    <w:rsid w:val="0010062F"/>
    <w:rsid w:val="00100DB6"/>
    <w:rsid w:val="00100FB6"/>
    <w:rsid w:val="00101BCD"/>
    <w:rsid w:val="00101D6B"/>
    <w:rsid w:val="00101DDD"/>
    <w:rsid w:val="00102F17"/>
    <w:rsid w:val="001032A4"/>
    <w:rsid w:val="0010389E"/>
    <w:rsid w:val="00103B2F"/>
    <w:rsid w:val="00104092"/>
    <w:rsid w:val="00105E2F"/>
    <w:rsid w:val="00106936"/>
    <w:rsid w:val="00106E70"/>
    <w:rsid w:val="00107C20"/>
    <w:rsid w:val="00107D4B"/>
    <w:rsid w:val="00107D54"/>
    <w:rsid w:val="00107EED"/>
    <w:rsid w:val="001110CF"/>
    <w:rsid w:val="00111562"/>
    <w:rsid w:val="00111801"/>
    <w:rsid w:val="0011248F"/>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2E73"/>
    <w:rsid w:val="001336A1"/>
    <w:rsid w:val="00134304"/>
    <w:rsid w:val="001347F3"/>
    <w:rsid w:val="00135C0D"/>
    <w:rsid w:val="00136501"/>
    <w:rsid w:val="00136C37"/>
    <w:rsid w:val="00140449"/>
    <w:rsid w:val="00140C46"/>
    <w:rsid w:val="001411CF"/>
    <w:rsid w:val="00141A31"/>
    <w:rsid w:val="00141A52"/>
    <w:rsid w:val="001426D0"/>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CA3"/>
    <w:rsid w:val="00154147"/>
    <w:rsid w:val="0015477B"/>
    <w:rsid w:val="001551F2"/>
    <w:rsid w:val="00155489"/>
    <w:rsid w:val="0015580D"/>
    <w:rsid w:val="0015580E"/>
    <w:rsid w:val="00155C90"/>
    <w:rsid w:val="00155C9F"/>
    <w:rsid w:val="00156CDE"/>
    <w:rsid w:val="001577C7"/>
    <w:rsid w:val="00157AAF"/>
    <w:rsid w:val="00160163"/>
    <w:rsid w:val="001623B0"/>
    <w:rsid w:val="001629C9"/>
    <w:rsid w:val="001629DE"/>
    <w:rsid w:val="001648AA"/>
    <w:rsid w:val="001651A4"/>
    <w:rsid w:val="00165F32"/>
    <w:rsid w:val="00166E4B"/>
    <w:rsid w:val="00166E76"/>
    <w:rsid w:val="00167015"/>
    <w:rsid w:val="001670ED"/>
    <w:rsid w:val="0017072D"/>
    <w:rsid w:val="001723A3"/>
    <w:rsid w:val="00172632"/>
    <w:rsid w:val="00172A27"/>
    <w:rsid w:val="00172E25"/>
    <w:rsid w:val="00172E34"/>
    <w:rsid w:val="00172FA0"/>
    <w:rsid w:val="001732A9"/>
    <w:rsid w:val="001735DD"/>
    <w:rsid w:val="00174853"/>
    <w:rsid w:val="00175439"/>
    <w:rsid w:val="00175E1A"/>
    <w:rsid w:val="001760E1"/>
    <w:rsid w:val="00176574"/>
    <w:rsid w:val="00176E7D"/>
    <w:rsid w:val="001773F2"/>
    <w:rsid w:val="00177E2B"/>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1F39"/>
    <w:rsid w:val="0019213F"/>
    <w:rsid w:val="001923D6"/>
    <w:rsid w:val="00193A52"/>
    <w:rsid w:val="001940CA"/>
    <w:rsid w:val="0019505F"/>
    <w:rsid w:val="00195AEF"/>
    <w:rsid w:val="001961EE"/>
    <w:rsid w:val="0019658D"/>
    <w:rsid w:val="0019719A"/>
    <w:rsid w:val="001978C7"/>
    <w:rsid w:val="001A1652"/>
    <w:rsid w:val="001A191E"/>
    <w:rsid w:val="001A2DD1"/>
    <w:rsid w:val="001A3878"/>
    <w:rsid w:val="001A39CE"/>
    <w:rsid w:val="001A401D"/>
    <w:rsid w:val="001A49AE"/>
    <w:rsid w:val="001A57CF"/>
    <w:rsid w:val="001A58FE"/>
    <w:rsid w:val="001A63B8"/>
    <w:rsid w:val="001A6AA7"/>
    <w:rsid w:val="001A7FCD"/>
    <w:rsid w:val="001B0D8E"/>
    <w:rsid w:val="001B2567"/>
    <w:rsid w:val="001B30C8"/>
    <w:rsid w:val="001B33A8"/>
    <w:rsid w:val="001B4357"/>
    <w:rsid w:val="001B468A"/>
    <w:rsid w:val="001B46A1"/>
    <w:rsid w:val="001B480D"/>
    <w:rsid w:val="001B5677"/>
    <w:rsid w:val="001B5948"/>
    <w:rsid w:val="001B63A2"/>
    <w:rsid w:val="001B65BB"/>
    <w:rsid w:val="001B7CA2"/>
    <w:rsid w:val="001C3484"/>
    <w:rsid w:val="001C3695"/>
    <w:rsid w:val="001C3EAB"/>
    <w:rsid w:val="001C5648"/>
    <w:rsid w:val="001C5BF4"/>
    <w:rsid w:val="001C5EC3"/>
    <w:rsid w:val="001C651B"/>
    <w:rsid w:val="001C735A"/>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D7E88"/>
    <w:rsid w:val="001E073C"/>
    <w:rsid w:val="001E1159"/>
    <w:rsid w:val="001E3944"/>
    <w:rsid w:val="001E3FDB"/>
    <w:rsid w:val="001E4091"/>
    <w:rsid w:val="001E4801"/>
    <w:rsid w:val="001F103E"/>
    <w:rsid w:val="001F1BCF"/>
    <w:rsid w:val="001F267C"/>
    <w:rsid w:val="001F2812"/>
    <w:rsid w:val="001F28DB"/>
    <w:rsid w:val="001F3D5E"/>
    <w:rsid w:val="001F4DF7"/>
    <w:rsid w:val="001F4EDB"/>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0F3"/>
    <w:rsid w:val="00213CA7"/>
    <w:rsid w:val="00214573"/>
    <w:rsid w:val="002148CD"/>
    <w:rsid w:val="002159EF"/>
    <w:rsid w:val="002164DD"/>
    <w:rsid w:val="002172D5"/>
    <w:rsid w:val="00217B49"/>
    <w:rsid w:val="00217E1A"/>
    <w:rsid w:val="0022028D"/>
    <w:rsid w:val="00220FBF"/>
    <w:rsid w:val="00221127"/>
    <w:rsid w:val="002213BF"/>
    <w:rsid w:val="00221F92"/>
    <w:rsid w:val="002224EC"/>
    <w:rsid w:val="002229B0"/>
    <w:rsid w:val="00222DC0"/>
    <w:rsid w:val="002233A2"/>
    <w:rsid w:val="00223DD8"/>
    <w:rsid w:val="0022464C"/>
    <w:rsid w:val="00225114"/>
    <w:rsid w:val="0022586B"/>
    <w:rsid w:val="00226E99"/>
    <w:rsid w:val="00227112"/>
    <w:rsid w:val="0022796A"/>
    <w:rsid w:val="002339A6"/>
    <w:rsid w:val="002344C9"/>
    <w:rsid w:val="00234677"/>
    <w:rsid w:val="0023502A"/>
    <w:rsid w:val="00236DFE"/>
    <w:rsid w:val="0023706F"/>
    <w:rsid w:val="0023763D"/>
    <w:rsid w:val="00237DF6"/>
    <w:rsid w:val="00240E2A"/>
    <w:rsid w:val="002413EE"/>
    <w:rsid w:val="00243B84"/>
    <w:rsid w:val="002445B0"/>
    <w:rsid w:val="0024511C"/>
    <w:rsid w:val="002466BD"/>
    <w:rsid w:val="00246BFC"/>
    <w:rsid w:val="00246F1D"/>
    <w:rsid w:val="00246FAA"/>
    <w:rsid w:val="00247917"/>
    <w:rsid w:val="00247E3B"/>
    <w:rsid w:val="00250E84"/>
    <w:rsid w:val="00251677"/>
    <w:rsid w:val="002519BA"/>
    <w:rsid w:val="0025234F"/>
    <w:rsid w:val="00253250"/>
    <w:rsid w:val="0025340B"/>
    <w:rsid w:val="002535F7"/>
    <w:rsid w:val="00253CD8"/>
    <w:rsid w:val="002553F3"/>
    <w:rsid w:val="00256021"/>
    <w:rsid w:val="002564B8"/>
    <w:rsid w:val="00256ACE"/>
    <w:rsid w:val="0025795A"/>
    <w:rsid w:val="00261278"/>
    <w:rsid w:val="0026254E"/>
    <w:rsid w:val="002635EC"/>
    <w:rsid w:val="00264191"/>
    <w:rsid w:val="00264AD1"/>
    <w:rsid w:val="00265A1F"/>
    <w:rsid w:val="00265FD2"/>
    <w:rsid w:val="002661A3"/>
    <w:rsid w:val="00266ACE"/>
    <w:rsid w:val="00266B21"/>
    <w:rsid w:val="00272220"/>
    <w:rsid w:val="002724C0"/>
    <w:rsid w:val="00272795"/>
    <w:rsid w:val="00272CB7"/>
    <w:rsid w:val="00273181"/>
    <w:rsid w:val="00274DB0"/>
    <w:rsid w:val="002802E4"/>
    <w:rsid w:val="002806FD"/>
    <w:rsid w:val="00281F8E"/>
    <w:rsid w:val="00282F4D"/>
    <w:rsid w:val="00283237"/>
    <w:rsid w:val="00284FE8"/>
    <w:rsid w:val="002860B5"/>
    <w:rsid w:val="002869FF"/>
    <w:rsid w:val="00287E74"/>
    <w:rsid w:val="00290B48"/>
    <w:rsid w:val="002920F3"/>
    <w:rsid w:val="00292156"/>
    <w:rsid w:val="0029355B"/>
    <w:rsid w:val="00293BC8"/>
    <w:rsid w:val="00296193"/>
    <w:rsid w:val="0029691D"/>
    <w:rsid w:val="002979EB"/>
    <w:rsid w:val="002A1944"/>
    <w:rsid w:val="002A25B1"/>
    <w:rsid w:val="002A2657"/>
    <w:rsid w:val="002A30AC"/>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269B"/>
    <w:rsid w:val="002C4278"/>
    <w:rsid w:val="002C6411"/>
    <w:rsid w:val="002C77BA"/>
    <w:rsid w:val="002C7A89"/>
    <w:rsid w:val="002D0773"/>
    <w:rsid w:val="002D17E5"/>
    <w:rsid w:val="002D193A"/>
    <w:rsid w:val="002D19CB"/>
    <w:rsid w:val="002D1D28"/>
    <w:rsid w:val="002D2527"/>
    <w:rsid w:val="002D355B"/>
    <w:rsid w:val="002D4CAA"/>
    <w:rsid w:val="002D53B5"/>
    <w:rsid w:val="002D541C"/>
    <w:rsid w:val="002D55B3"/>
    <w:rsid w:val="002D5E5D"/>
    <w:rsid w:val="002D781E"/>
    <w:rsid w:val="002E05FD"/>
    <w:rsid w:val="002E0AE6"/>
    <w:rsid w:val="002E1513"/>
    <w:rsid w:val="002E1AC9"/>
    <w:rsid w:val="002E2738"/>
    <w:rsid w:val="002E4942"/>
    <w:rsid w:val="002E4A43"/>
    <w:rsid w:val="002E50C1"/>
    <w:rsid w:val="002E609E"/>
    <w:rsid w:val="002E72C3"/>
    <w:rsid w:val="002E7F7C"/>
    <w:rsid w:val="002F0BA6"/>
    <w:rsid w:val="002F12C9"/>
    <w:rsid w:val="002F3CDD"/>
    <w:rsid w:val="002F3D6F"/>
    <w:rsid w:val="002F3DC0"/>
    <w:rsid w:val="002F5679"/>
    <w:rsid w:val="002F579F"/>
    <w:rsid w:val="002F5CD3"/>
    <w:rsid w:val="002F60EF"/>
    <w:rsid w:val="0030037A"/>
    <w:rsid w:val="00301328"/>
    <w:rsid w:val="00302ABF"/>
    <w:rsid w:val="00302D39"/>
    <w:rsid w:val="00302EB3"/>
    <w:rsid w:val="0030371D"/>
    <w:rsid w:val="00304168"/>
    <w:rsid w:val="00304456"/>
    <w:rsid w:val="00306876"/>
    <w:rsid w:val="00310001"/>
    <w:rsid w:val="00310863"/>
    <w:rsid w:val="00310C7F"/>
    <w:rsid w:val="003117F5"/>
    <w:rsid w:val="003122E8"/>
    <w:rsid w:val="003122FA"/>
    <w:rsid w:val="00312A59"/>
    <w:rsid w:val="00312D62"/>
    <w:rsid w:val="003143D5"/>
    <w:rsid w:val="0031526E"/>
    <w:rsid w:val="00316510"/>
    <w:rsid w:val="003166AE"/>
    <w:rsid w:val="00316DA0"/>
    <w:rsid w:val="00316FC1"/>
    <w:rsid w:val="00320B50"/>
    <w:rsid w:val="003210C9"/>
    <w:rsid w:val="003221C1"/>
    <w:rsid w:val="003225E0"/>
    <w:rsid w:val="00322B67"/>
    <w:rsid w:val="00322DA4"/>
    <w:rsid w:val="00323072"/>
    <w:rsid w:val="00323779"/>
    <w:rsid w:val="00327520"/>
    <w:rsid w:val="0033022C"/>
    <w:rsid w:val="00330610"/>
    <w:rsid w:val="0033142F"/>
    <w:rsid w:val="003315C6"/>
    <w:rsid w:val="00332FA9"/>
    <w:rsid w:val="0033329C"/>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7A5"/>
    <w:rsid w:val="00344829"/>
    <w:rsid w:val="00344A3B"/>
    <w:rsid w:val="00345DE5"/>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709B2"/>
    <w:rsid w:val="00371594"/>
    <w:rsid w:val="003722A1"/>
    <w:rsid w:val="00372916"/>
    <w:rsid w:val="00372DAB"/>
    <w:rsid w:val="00372E5D"/>
    <w:rsid w:val="00372E9D"/>
    <w:rsid w:val="0037356F"/>
    <w:rsid w:val="003745A7"/>
    <w:rsid w:val="00374ABC"/>
    <w:rsid w:val="003750FA"/>
    <w:rsid w:val="00375104"/>
    <w:rsid w:val="00375A29"/>
    <w:rsid w:val="00375DCF"/>
    <w:rsid w:val="00375ECD"/>
    <w:rsid w:val="0037714B"/>
    <w:rsid w:val="003775BF"/>
    <w:rsid w:val="003805DF"/>
    <w:rsid w:val="00380AF9"/>
    <w:rsid w:val="00380F4B"/>
    <w:rsid w:val="00381452"/>
    <w:rsid w:val="0038287E"/>
    <w:rsid w:val="00383134"/>
    <w:rsid w:val="00384AEF"/>
    <w:rsid w:val="00384D22"/>
    <w:rsid w:val="00385221"/>
    <w:rsid w:val="003859DF"/>
    <w:rsid w:val="00385C62"/>
    <w:rsid w:val="00385CDC"/>
    <w:rsid w:val="003874B9"/>
    <w:rsid w:val="00387671"/>
    <w:rsid w:val="00387ABE"/>
    <w:rsid w:val="003909E2"/>
    <w:rsid w:val="00391677"/>
    <w:rsid w:val="003921C4"/>
    <w:rsid w:val="00392C8E"/>
    <w:rsid w:val="003931C6"/>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D49"/>
    <w:rsid w:val="003A2026"/>
    <w:rsid w:val="003A2233"/>
    <w:rsid w:val="003A2955"/>
    <w:rsid w:val="003A2B26"/>
    <w:rsid w:val="003A2B4A"/>
    <w:rsid w:val="003A333A"/>
    <w:rsid w:val="003A36DB"/>
    <w:rsid w:val="003A5CAC"/>
    <w:rsid w:val="003A63FD"/>
    <w:rsid w:val="003A74EE"/>
    <w:rsid w:val="003B0B0C"/>
    <w:rsid w:val="003B28BE"/>
    <w:rsid w:val="003B2C40"/>
    <w:rsid w:val="003B37E7"/>
    <w:rsid w:val="003B4153"/>
    <w:rsid w:val="003B64DF"/>
    <w:rsid w:val="003B66E3"/>
    <w:rsid w:val="003B7286"/>
    <w:rsid w:val="003C048E"/>
    <w:rsid w:val="003C0901"/>
    <w:rsid w:val="003C0ED9"/>
    <w:rsid w:val="003C0F87"/>
    <w:rsid w:val="003C2778"/>
    <w:rsid w:val="003C2DAE"/>
    <w:rsid w:val="003C2E24"/>
    <w:rsid w:val="003C354F"/>
    <w:rsid w:val="003C4D79"/>
    <w:rsid w:val="003C6226"/>
    <w:rsid w:val="003C7623"/>
    <w:rsid w:val="003D0009"/>
    <w:rsid w:val="003D08F8"/>
    <w:rsid w:val="003D0EF7"/>
    <w:rsid w:val="003D1A34"/>
    <w:rsid w:val="003D1D93"/>
    <w:rsid w:val="003D5261"/>
    <w:rsid w:val="003D5457"/>
    <w:rsid w:val="003D54ED"/>
    <w:rsid w:val="003D5728"/>
    <w:rsid w:val="003D5A80"/>
    <w:rsid w:val="003D7221"/>
    <w:rsid w:val="003E03BB"/>
    <w:rsid w:val="003E1676"/>
    <w:rsid w:val="003E1CAC"/>
    <w:rsid w:val="003E2863"/>
    <w:rsid w:val="003E33E0"/>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1DE"/>
    <w:rsid w:val="003F7771"/>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5E62"/>
    <w:rsid w:val="0041611F"/>
    <w:rsid w:val="00420BF4"/>
    <w:rsid w:val="00420E03"/>
    <w:rsid w:val="00423237"/>
    <w:rsid w:val="00423DC6"/>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03A2"/>
    <w:rsid w:val="0046105A"/>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1A4"/>
    <w:rsid w:val="00471F0A"/>
    <w:rsid w:val="0047277B"/>
    <w:rsid w:val="00472839"/>
    <w:rsid w:val="00473C4C"/>
    <w:rsid w:val="00473F40"/>
    <w:rsid w:val="004742B0"/>
    <w:rsid w:val="00476370"/>
    <w:rsid w:val="00482082"/>
    <w:rsid w:val="00485CB4"/>
    <w:rsid w:val="00485EBF"/>
    <w:rsid w:val="0048650E"/>
    <w:rsid w:val="00486983"/>
    <w:rsid w:val="00486AEC"/>
    <w:rsid w:val="00487F1C"/>
    <w:rsid w:val="00490994"/>
    <w:rsid w:val="00490A0E"/>
    <w:rsid w:val="004915F3"/>
    <w:rsid w:val="00491993"/>
    <w:rsid w:val="004922B2"/>
    <w:rsid w:val="004955C1"/>
    <w:rsid w:val="00495EAB"/>
    <w:rsid w:val="00496147"/>
    <w:rsid w:val="0049664E"/>
    <w:rsid w:val="0049680E"/>
    <w:rsid w:val="00496815"/>
    <w:rsid w:val="00496FF0"/>
    <w:rsid w:val="0049701D"/>
    <w:rsid w:val="004971B4"/>
    <w:rsid w:val="004974EB"/>
    <w:rsid w:val="0049778B"/>
    <w:rsid w:val="004978F0"/>
    <w:rsid w:val="004979B6"/>
    <w:rsid w:val="004A07F8"/>
    <w:rsid w:val="004A1D8A"/>
    <w:rsid w:val="004A1DE3"/>
    <w:rsid w:val="004A32C4"/>
    <w:rsid w:val="004A3306"/>
    <w:rsid w:val="004A4450"/>
    <w:rsid w:val="004A4FD3"/>
    <w:rsid w:val="004A5896"/>
    <w:rsid w:val="004A5A4F"/>
    <w:rsid w:val="004A6F6A"/>
    <w:rsid w:val="004A6FB2"/>
    <w:rsid w:val="004A70BC"/>
    <w:rsid w:val="004B0A0B"/>
    <w:rsid w:val="004B10BE"/>
    <w:rsid w:val="004B1225"/>
    <w:rsid w:val="004B1B07"/>
    <w:rsid w:val="004B2829"/>
    <w:rsid w:val="004B2CD5"/>
    <w:rsid w:val="004B35FB"/>
    <w:rsid w:val="004B3EF9"/>
    <w:rsid w:val="004B4A08"/>
    <w:rsid w:val="004B550D"/>
    <w:rsid w:val="004B7AAA"/>
    <w:rsid w:val="004B7D31"/>
    <w:rsid w:val="004B7DC4"/>
    <w:rsid w:val="004C1D50"/>
    <w:rsid w:val="004C36B3"/>
    <w:rsid w:val="004C36BB"/>
    <w:rsid w:val="004C3A7E"/>
    <w:rsid w:val="004C3BF1"/>
    <w:rsid w:val="004C3D0A"/>
    <w:rsid w:val="004C5241"/>
    <w:rsid w:val="004C5F6D"/>
    <w:rsid w:val="004C7F8A"/>
    <w:rsid w:val="004D340D"/>
    <w:rsid w:val="004D34F3"/>
    <w:rsid w:val="004D4851"/>
    <w:rsid w:val="004D590A"/>
    <w:rsid w:val="004D5C36"/>
    <w:rsid w:val="004D5DE3"/>
    <w:rsid w:val="004D711C"/>
    <w:rsid w:val="004E0D17"/>
    <w:rsid w:val="004E192B"/>
    <w:rsid w:val="004E29FD"/>
    <w:rsid w:val="004E30A8"/>
    <w:rsid w:val="004E365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0E18"/>
    <w:rsid w:val="005019DC"/>
    <w:rsid w:val="00501C88"/>
    <w:rsid w:val="00502B26"/>
    <w:rsid w:val="00502BFA"/>
    <w:rsid w:val="00503097"/>
    <w:rsid w:val="005036C2"/>
    <w:rsid w:val="005049EB"/>
    <w:rsid w:val="00504B2D"/>
    <w:rsid w:val="00504BDF"/>
    <w:rsid w:val="00505A18"/>
    <w:rsid w:val="00505AE1"/>
    <w:rsid w:val="00505F1A"/>
    <w:rsid w:val="00506027"/>
    <w:rsid w:val="0050666F"/>
    <w:rsid w:val="00506A30"/>
    <w:rsid w:val="00506A86"/>
    <w:rsid w:val="005119F7"/>
    <w:rsid w:val="005120D4"/>
    <w:rsid w:val="005135AA"/>
    <w:rsid w:val="005145B4"/>
    <w:rsid w:val="00514A77"/>
    <w:rsid w:val="00514DD4"/>
    <w:rsid w:val="005158B6"/>
    <w:rsid w:val="00515D02"/>
    <w:rsid w:val="005176CA"/>
    <w:rsid w:val="00517AF3"/>
    <w:rsid w:val="005204D3"/>
    <w:rsid w:val="0052156C"/>
    <w:rsid w:val="00522E7B"/>
    <w:rsid w:val="0052347F"/>
    <w:rsid w:val="00523790"/>
    <w:rsid w:val="005243A5"/>
    <w:rsid w:val="00526D70"/>
    <w:rsid w:val="00530A28"/>
    <w:rsid w:val="00531600"/>
    <w:rsid w:val="00531CA1"/>
    <w:rsid w:val="0053310F"/>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306"/>
    <w:rsid w:val="0055062D"/>
    <w:rsid w:val="00550AE3"/>
    <w:rsid w:val="00550BC2"/>
    <w:rsid w:val="00551290"/>
    <w:rsid w:val="00551870"/>
    <w:rsid w:val="00552A56"/>
    <w:rsid w:val="00552FC3"/>
    <w:rsid w:val="00552FD0"/>
    <w:rsid w:val="00553F17"/>
    <w:rsid w:val="00554639"/>
    <w:rsid w:val="00554C85"/>
    <w:rsid w:val="005550E5"/>
    <w:rsid w:val="0055516B"/>
    <w:rsid w:val="005552C2"/>
    <w:rsid w:val="00555764"/>
    <w:rsid w:val="00555F2C"/>
    <w:rsid w:val="005565C9"/>
    <w:rsid w:val="00556A03"/>
    <w:rsid w:val="00557087"/>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36"/>
    <w:rsid w:val="005732A2"/>
    <w:rsid w:val="0057377B"/>
    <w:rsid w:val="00574190"/>
    <w:rsid w:val="00574893"/>
    <w:rsid w:val="00575FD9"/>
    <w:rsid w:val="005778A7"/>
    <w:rsid w:val="0058033F"/>
    <w:rsid w:val="00582518"/>
    <w:rsid w:val="005829DC"/>
    <w:rsid w:val="00583F3A"/>
    <w:rsid w:val="005853CD"/>
    <w:rsid w:val="00585772"/>
    <w:rsid w:val="005857B3"/>
    <w:rsid w:val="0058672E"/>
    <w:rsid w:val="0058765F"/>
    <w:rsid w:val="0059002B"/>
    <w:rsid w:val="005906B2"/>
    <w:rsid w:val="005907BE"/>
    <w:rsid w:val="0059094D"/>
    <w:rsid w:val="00590956"/>
    <w:rsid w:val="005914C2"/>
    <w:rsid w:val="00592EA6"/>
    <w:rsid w:val="005939BB"/>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E60"/>
    <w:rsid w:val="005B20B8"/>
    <w:rsid w:val="005B2470"/>
    <w:rsid w:val="005B31F6"/>
    <w:rsid w:val="005B5BA9"/>
    <w:rsid w:val="005B65AC"/>
    <w:rsid w:val="005B7856"/>
    <w:rsid w:val="005C1554"/>
    <w:rsid w:val="005C1EA1"/>
    <w:rsid w:val="005C1FF8"/>
    <w:rsid w:val="005C3188"/>
    <w:rsid w:val="005C3296"/>
    <w:rsid w:val="005C59EB"/>
    <w:rsid w:val="005C68CC"/>
    <w:rsid w:val="005C69D8"/>
    <w:rsid w:val="005C6C99"/>
    <w:rsid w:val="005C6EB8"/>
    <w:rsid w:val="005C79D9"/>
    <w:rsid w:val="005C7BED"/>
    <w:rsid w:val="005D0045"/>
    <w:rsid w:val="005D03FE"/>
    <w:rsid w:val="005D04D6"/>
    <w:rsid w:val="005D0A1C"/>
    <w:rsid w:val="005D0FAA"/>
    <w:rsid w:val="005D1599"/>
    <w:rsid w:val="005D1849"/>
    <w:rsid w:val="005D1922"/>
    <w:rsid w:val="005D1FA3"/>
    <w:rsid w:val="005D244A"/>
    <w:rsid w:val="005D3E58"/>
    <w:rsid w:val="005D50DE"/>
    <w:rsid w:val="005D5A7A"/>
    <w:rsid w:val="005D5D38"/>
    <w:rsid w:val="005D7F7E"/>
    <w:rsid w:val="005E114F"/>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7265"/>
    <w:rsid w:val="0060212D"/>
    <w:rsid w:val="006022FE"/>
    <w:rsid w:val="00602DB2"/>
    <w:rsid w:val="00602EFA"/>
    <w:rsid w:val="006044F6"/>
    <w:rsid w:val="0060471C"/>
    <w:rsid w:val="00605792"/>
    <w:rsid w:val="00606059"/>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3C44"/>
    <w:rsid w:val="0062463B"/>
    <w:rsid w:val="00624A86"/>
    <w:rsid w:val="00626415"/>
    <w:rsid w:val="00626C74"/>
    <w:rsid w:val="00626E14"/>
    <w:rsid w:val="00627D7E"/>
    <w:rsid w:val="00630233"/>
    <w:rsid w:val="00630B14"/>
    <w:rsid w:val="00632217"/>
    <w:rsid w:val="006336B5"/>
    <w:rsid w:val="006342EB"/>
    <w:rsid w:val="0063466A"/>
    <w:rsid w:val="00634A6B"/>
    <w:rsid w:val="0063532E"/>
    <w:rsid w:val="0063638D"/>
    <w:rsid w:val="00636B31"/>
    <w:rsid w:val="0064002B"/>
    <w:rsid w:val="0064179F"/>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4D6"/>
    <w:rsid w:val="00655AEC"/>
    <w:rsid w:val="00655BE9"/>
    <w:rsid w:val="00655FDD"/>
    <w:rsid w:val="00656E60"/>
    <w:rsid w:val="00657EB0"/>
    <w:rsid w:val="00660109"/>
    <w:rsid w:val="00660F7D"/>
    <w:rsid w:val="0066106E"/>
    <w:rsid w:val="006615DA"/>
    <w:rsid w:val="006618D8"/>
    <w:rsid w:val="006621AB"/>
    <w:rsid w:val="00663EA5"/>
    <w:rsid w:val="00663FAA"/>
    <w:rsid w:val="0066474C"/>
    <w:rsid w:val="00665BB1"/>
    <w:rsid w:val="00665BEB"/>
    <w:rsid w:val="00666A5B"/>
    <w:rsid w:val="00666AB3"/>
    <w:rsid w:val="006674A2"/>
    <w:rsid w:val="006678D5"/>
    <w:rsid w:val="00667F13"/>
    <w:rsid w:val="0067087C"/>
    <w:rsid w:val="00670F48"/>
    <w:rsid w:val="00671603"/>
    <w:rsid w:val="0067415B"/>
    <w:rsid w:val="006744F8"/>
    <w:rsid w:val="00675DC1"/>
    <w:rsid w:val="00680D1C"/>
    <w:rsid w:val="006811F4"/>
    <w:rsid w:val="00681610"/>
    <w:rsid w:val="00681FB1"/>
    <w:rsid w:val="00682FDA"/>
    <w:rsid w:val="00683582"/>
    <w:rsid w:val="006837D9"/>
    <w:rsid w:val="0068511A"/>
    <w:rsid w:val="0068614B"/>
    <w:rsid w:val="006861DF"/>
    <w:rsid w:val="00687099"/>
    <w:rsid w:val="0068731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192"/>
    <w:rsid w:val="006A3CDB"/>
    <w:rsid w:val="006A5AC9"/>
    <w:rsid w:val="006A5B90"/>
    <w:rsid w:val="006A6157"/>
    <w:rsid w:val="006B11B3"/>
    <w:rsid w:val="006B162C"/>
    <w:rsid w:val="006B1DEF"/>
    <w:rsid w:val="006B2B50"/>
    <w:rsid w:val="006B357C"/>
    <w:rsid w:val="006B3BF6"/>
    <w:rsid w:val="006B4139"/>
    <w:rsid w:val="006B4FA1"/>
    <w:rsid w:val="006B5339"/>
    <w:rsid w:val="006B7179"/>
    <w:rsid w:val="006B7D88"/>
    <w:rsid w:val="006B7E58"/>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2E3F"/>
    <w:rsid w:val="006F3EB0"/>
    <w:rsid w:val="006F4975"/>
    <w:rsid w:val="006F4E34"/>
    <w:rsid w:val="006F538A"/>
    <w:rsid w:val="006F576D"/>
    <w:rsid w:val="006F5ED8"/>
    <w:rsid w:val="006F6440"/>
    <w:rsid w:val="0070029F"/>
    <w:rsid w:val="00700FE8"/>
    <w:rsid w:val="007012B3"/>
    <w:rsid w:val="007023A3"/>
    <w:rsid w:val="00702BB7"/>
    <w:rsid w:val="00703C5F"/>
    <w:rsid w:val="007051FF"/>
    <w:rsid w:val="00705F08"/>
    <w:rsid w:val="00706531"/>
    <w:rsid w:val="0070663B"/>
    <w:rsid w:val="00706AA1"/>
    <w:rsid w:val="00706E7C"/>
    <w:rsid w:val="0070769C"/>
    <w:rsid w:val="00707BDA"/>
    <w:rsid w:val="0071075F"/>
    <w:rsid w:val="0071188A"/>
    <w:rsid w:val="00712341"/>
    <w:rsid w:val="00712521"/>
    <w:rsid w:val="0071254D"/>
    <w:rsid w:val="00713D37"/>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C8"/>
    <w:rsid w:val="00731BD2"/>
    <w:rsid w:val="00732C16"/>
    <w:rsid w:val="007337DC"/>
    <w:rsid w:val="007347DE"/>
    <w:rsid w:val="00735259"/>
    <w:rsid w:val="00735D1E"/>
    <w:rsid w:val="00736156"/>
    <w:rsid w:val="00736301"/>
    <w:rsid w:val="0073641B"/>
    <w:rsid w:val="00736743"/>
    <w:rsid w:val="00736F61"/>
    <w:rsid w:val="007405DF"/>
    <w:rsid w:val="00741040"/>
    <w:rsid w:val="00741F61"/>
    <w:rsid w:val="00742EA7"/>
    <w:rsid w:val="00743B8C"/>
    <w:rsid w:val="007441F1"/>
    <w:rsid w:val="007449B8"/>
    <w:rsid w:val="00744C7A"/>
    <w:rsid w:val="0074594A"/>
    <w:rsid w:val="007465A0"/>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61D8"/>
    <w:rsid w:val="00757019"/>
    <w:rsid w:val="007572CC"/>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355"/>
    <w:rsid w:val="007826AD"/>
    <w:rsid w:val="00783313"/>
    <w:rsid w:val="00783C52"/>
    <w:rsid w:val="00785158"/>
    <w:rsid w:val="007867E8"/>
    <w:rsid w:val="007868EC"/>
    <w:rsid w:val="00786C14"/>
    <w:rsid w:val="00786E0E"/>
    <w:rsid w:val="007875DD"/>
    <w:rsid w:val="00790DE4"/>
    <w:rsid w:val="00790E3F"/>
    <w:rsid w:val="00790EF1"/>
    <w:rsid w:val="00791EA5"/>
    <w:rsid w:val="00792185"/>
    <w:rsid w:val="007929A8"/>
    <w:rsid w:val="00792D39"/>
    <w:rsid w:val="00793126"/>
    <w:rsid w:val="00793F2F"/>
    <w:rsid w:val="007945B3"/>
    <w:rsid w:val="00795E0C"/>
    <w:rsid w:val="00795EB8"/>
    <w:rsid w:val="007960FA"/>
    <w:rsid w:val="007967CF"/>
    <w:rsid w:val="007A1A8E"/>
    <w:rsid w:val="007A3220"/>
    <w:rsid w:val="007A32D9"/>
    <w:rsid w:val="007A3D6D"/>
    <w:rsid w:val="007A3F9D"/>
    <w:rsid w:val="007A446D"/>
    <w:rsid w:val="007A4519"/>
    <w:rsid w:val="007A54EE"/>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4935"/>
    <w:rsid w:val="007B586C"/>
    <w:rsid w:val="007B709A"/>
    <w:rsid w:val="007B7594"/>
    <w:rsid w:val="007C19C3"/>
    <w:rsid w:val="007C21CF"/>
    <w:rsid w:val="007C31F5"/>
    <w:rsid w:val="007C345B"/>
    <w:rsid w:val="007C38C9"/>
    <w:rsid w:val="007C39DF"/>
    <w:rsid w:val="007C3C47"/>
    <w:rsid w:val="007C3D3A"/>
    <w:rsid w:val="007C5B7B"/>
    <w:rsid w:val="007C5EC1"/>
    <w:rsid w:val="007C67B3"/>
    <w:rsid w:val="007C68BD"/>
    <w:rsid w:val="007D07A0"/>
    <w:rsid w:val="007D124E"/>
    <w:rsid w:val="007D12B8"/>
    <w:rsid w:val="007D2965"/>
    <w:rsid w:val="007D34CA"/>
    <w:rsid w:val="007D4016"/>
    <w:rsid w:val="007D4397"/>
    <w:rsid w:val="007D44A5"/>
    <w:rsid w:val="007D4786"/>
    <w:rsid w:val="007D63A9"/>
    <w:rsid w:val="007D679D"/>
    <w:rsid w:val="007D6863"/>
    <w:rsid w:val="007D78E3"/>
    <w:rsid w:val="007E004E"/>
    <w:rsid w:val="007E053E"/>
    <w:rsid w:val="007E0C0D"/>
    <w:rsid w:val="007E0EC6"/>
    <w:rsid w:val="007E0ED1"/>
    <w:rsid w:val="007E1C5A"/>
    <w:rsid w:val="007E20B7"/>
    <w:rsid w:val="007E28A0"/>
    <w:rsid w:val="007E3F4C"/>
    <w:rsid w:val="007E422A"/>
    <w:rsid w:val="007E453F"/>
    <w:rsid w:val="007E4883"/>
    <w:rsid w:val="007E5806"/>
    <w:rsid w:val="007E6824"/>
    <w:rsid w:val="007E6D33"/>
    <w:rsid w:val="007E74CF"/>
    <w:rsid w:val="007E7DA7"/>
    <w:rsid w:val="007F142D"/>
    <w:rsid w:val="007F2154"/>
    <w:rsid w:val="007F2457"/>
    <w:rsid w:val="007F30AB"/>
    <w:rsid w:val="007F491D"/>
    <w:rsid w:val="007F6178"/>
    <w:rsid w:val="007F72D0"/>
    <w:rsid w:val="007F7A67"/>
    <w:rsid w:val="00800FB7"/>
    <w:rsid w:val="00800FEF"/>
    <w:rsid w:val="00801694"/>
    <w:rsid w:val="00801FF2"/>
    <w:rsid w:val="00802335"/>
    <w:rsid w:val="0080244C"/>
    <w:rsid w:val="00802616"/>
    <w:rsid w:val="00802901"/>
    <w:rsid w:val="00802B1A"/>
    <w:rsid w:val="00803291"/>
    <w:rsid w:val="008034A0"/>
    <w:rsid w:val="00804079"/>
    <w:rsid w:val="0080472B"/>
    <w:rsid w:val="00806A8D"/>
    <w:rsid w:val="00810770"/>
    <w:rsid w:val="00810C57"/>
    <w:rsid w:val="00812530"/>
    <w:rsid w:val="00813E21"/>
    <w:rsid w:val="00814089"/>
    <w:rsid w:val="008144C5"/>
    <w:rsid w:val="00814E15"/>
    <w:rsid w:val="00815D36"/>
    <w:rsid w:val="00816291"/>
    <w:rsid w:val="00817689"/>
    <w:rsid w:val="008178D3"/>
    <w:rsid w:val="00821779"/>
    <w:rsid w:val="0082285D"/>
    <w:rsid w:val="00822FB3"/>
    <w:rsid w:val="0082331F"/>
    <w:rsid w:val="00823DAC"/>
    <w:rsid w:val="008245F5"/>
    <w:rsid w:val="0082493F"/>
    <w:rsid w:val="00824C78"/>
    <w:rsid w:val="008264FD"/>
    <w:rsid w:val="00826C9B"/>
    <w:rsid w:val="00827184"/>
    <w:rsid w:val="0082751E"/>
    <w:rsid w:val="00827B78"/>
    <w:rsid w:val="00827DAA"/>
    <w:rsid w:val="008302D0"/>
    <w:rsid w:val="00831027"/>
    <w:rsid w:val="00833A06"/>
    <w:rsid w:val="00833D89"/>
    <w:rsid w:val="00834F62"/>
    <w:rsid w:val="00835298"/>
    <w:rsid w:val="008359F4"/>
    <w:rsid w:val="00836205"/>
    <w:rsid w:val="00836272"/>
    <w:rsid w:val="008363F4"/>
    <w:rsid w:val="00836C67"/>
    <w:rsid w:val="00840261"/>
    <w:rsid w:val="00840A02"/>
    <w:rsid w:val="00840CBE"/>
    <w:rsid w:val="00840FFD"/>
    <w:rsid w:val="00841356"/>
    <w:rsid w:val="0084140C"/>
    <w:rsid w:val="00842CAD"/>
    <w:rsid w:val="00842E10"/>
    <w:rsid w:val="00842F1A"/>
    <w:rsid w:val="00843252"/>
    <w:rsid w:val="0084333E"/>
    <w:rsid w:val="008433DA"/>
    <w:rsid w:val="00844263"/>
    <w:rsid w:val="008445DA"/>
    <w:rsid w:val="00844886"/>
    <w:rsid w:val="00844FE8"/>
    <w:rsid w:val="00845910"/>
    <w:rsid w:val="0084592E"/>
    <w:rsid w:val="00845BAE"/>
    <w:rsid w:val="00846FED"/>
    <w:rsid w:val="008475AC"/>
    <w:rsid w:val="00847B3F"/>
    <w:rsid w:val="00850D31"/>
    <w:rsid w:val="0085161C"/>
    <w:rsid w:val="00851999"/>
    <w:rsid w:val="00851A7D"/>
    <w:rsid w:val="00851F67"/>
    <w:rsid w:val="00851FF5"/>
    <w:rsid w:val="00853D16"/>
    <w:rsid w:val="00854185"/>
    <w:rsid w:val="008543A1"/>
    <w:rsid w:val="00854F1C"/>
    <w:rsid w:val="008565CB"/>
    <w:rsid w:val="00856C51"/>
    <w:rsid w:val="00856DCD"/>
    <w:rsid w:val="00857A8E"/>
    <w:rsid w:val="00857D2C"/>
    <w:rsid w:val="00860534"/>
    <w:rsid w:val="0086069E"/>
    <w:rsid w:val="00861213"/>
    <w:rsid w:val="00861580"/>
    <w:rsid w:val="00861F57"/>
    <w:rsid w:val="00862C3D"/>
    <w:rsid w:val="0086454A"/>
    <w:rsid w:val="00864858"/>
    <w:rsid w:val="008653A5"/>
    <w:rsid w:val="00865690"/>
    <w:rsid w:val="00870343"/>
    <w:rsid w:val="00870BF4"/>
    <w:rsid w:val="00872066"/>
    <w:rsid w:val="00872620"/>
    <w:rsid w:val="00873F21"/>
    <w:rsid w:val="00876A5E"/>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4962"/>
    <w:rsid w:val="00895608"/>
    <w:rsid w:val="0089579F"/>
    <w:rsid w:val="00896629"/>
    <w:rsid w:val="0089666C"/>
    <w:rsid w:val="00897661"/>
    <w:rsid w:val="008A061B"/>
    <w:rsid w:val="008A2915"/>
    <w:rsid w:val="008A2B9F"/>
    <w:rsid w:val="008A302A"/>
    <w:rsid w:val="008A3387"/>
    <w:rsid w:val="008A3D1E"/>
    <w:rsid w:val="008A5275"/>
    <w:rsid w:val="008A6943"/>
    <w:rsid w:val="008B0B9D"/>
    <w:rsid w:val="008B4EF3"/>
    <w:rsid w:val="008B5E6E"/>
    <w:rsid w:val="008B6E82"/>
    <w:rsid w:val="008B7A5D"/>
    <w:rsid w:val="008B7EBB"/>
    <w:rsid w:val="008C08C9"/>
    <w:rsid w:val="008C14F3"/>
    <w:rsid w:val="008C3274"/>
    <w:rsid w:val="008C32A7"/>
    <w:rsid w:val="008C3356"/>
    <w:rsid w:val="008C35AD"/>
    <w:rsid w:val="008C41CA"/>
    <w:rsid w:val="008C430B"/>
    <w:rsid w:val="008C44A1"/>
    <w:rsid w:val="008C47AB"/>
    <w:rsid w:val="008C4BE2"/>
    <w:rsid w:val="008C4DFF"/>
    <w:rsid w:val="008C55B3"/>
    <w:rsid w:val="008C56D8"/>
    <w:rsid w:val="008C780B"/>
    <w:rsid w:val="008C7D49"/>
    <w:rsid w:val="008D02E0"/>
    <w:rsid w:val="008D0349"/>
    <w:rsid w:val="008D0B42"/>
    <w:rsid w:val="008D0F82"/>
    <w:rsid w:val="008D2C09"/>
    <w:rsid w:val="008D319B"/>
    <w:rsid w:val="008D35A3"/>
    <w:rsid w:val="008D3A2B"/>
    <w:rsid w:val="008D3BDC"/>
    <w:rsid w:val="008D4293"/>
    <w:rsid w:val="008D484D"/>
    <w:rsid w:val="008D59D5"/>
    <w:rsid w:val="008D5FB4"/>
    <w:rsid w:val="008D6167"/>
    <w:rsid w:val="008E0605"/>
    <w:rsid w:val="008E1A59"/>
    <w:rsid w:val="008E4285"/>
    <w:rsid w:val="008E57BE"/>
    <w:rsid w:val="008E5973"/>
    <w:rsid w:val="008E5AD7"/>
    <w:rsid w:val="008E5C7F"/>
    <w:rsid w:val="008E5CFF"/>
    <w:rsid w:val="008E6EB2"/>
    <w:rsid w:val="008E7213"/>
    <w:rsid w:val="008E7649"/>
    <w:rsid w:val="008F0327"/>
    <w:rsid w:val="008F11E1"/>
    <w:rsid w:val="008F1CC2"/>
    <w:rsid w:val="008F216B"/>
    <w:rsid w:val="008F2CA9"/>
    <w:rsid w:val="008F3866"/>
    <w:rsid w:val="008F41B8"/>
    <w:rsid w:val="008F494C"/>
    <w:rsid w:val="008F4DE2"/>
    <w:rsid w:val="008F55C2"/>
    <w:rsid w:val="008F5642"/>
    <w:rsid w:val="008F5CC1"/>
    <w:rsid w:val="008F66A7"/>
    <w:rsid w:val="008F66F7"/>
    <w:rsid w:val="008F766D"/>
    <w:rsid w:val="00900079"/>
    <w:rsid w:val="00900654"/>
    <w:rsid w:val="00900E5D"/>
    <w:rsid w:val="009018CF"/>
    <w:rsid w:val="00902AA8"/>
    <w:rsid w:val="009035A7"/>
    <w:rsid w:val="00903876"/>
    <w:rsid w:val="009041CC"/>
    <w:rsid w:val="009050E8"/>
    <w:rsid w:val="00905DDB"/>
    <w:rsid w:val="0090615F"/>
    <w:rsid w:val="00907F7D"/>
    <w:rsid w:val="00912550"/>
    <w:rsid w:val="00912F7B"/>
    <w:rsid w:val="00913A29"/>
    <w:rsid w:val="009145E2"/>
    <w:rsid w:val="00914FFD"/>
    <w:rsid w:val="009166E5"/>
    <w:rsid w:val="00917019"/>
    <w:rsid w:val="00917398"/>
    <w:rsid w:val="0091747B"/>
    <w:rsid w:val="00917AF0"/>
    <w:rsid w:val="00921510"/>
    <w:rsid w:val="00921F1B"/>
    <w:rsid w:val="0092212C"/>
    <w:rsid w:val="00922324"/>
    <w:rsid w:val="009227B3"/>
    <w:rsid w:val="00923433"/>
    <w:rsid w:val="00923AE5"/>
    <w:rsid w:val="00925609"/>
    <w:rsid w:val="00925BCC"/>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506D"/>
    <w:rsid w:val="00956AB6"/>
    <w:rsid w:val="009570F1"/>
    <w:rsid w:val="009571A5"/>
    <w:rsid w:val="00957E9F"/>
    <w:rsid w:val="009606FC"/>
    <w:rsid w:val="00960781"/>
    <w:rsid w:val="00960B05"/>
    <w:rsid w:val="0096290E"/>
    <w:rsid w:val="00962AEA"/>
    <w:rsid w:val="00962C78"/>
    <w:rsid w:val="0096417E"/>
    <w:rsid w:val="0096420F"/>
    <w:rsid w:val="00964438"/>
    <w:rsid w:val="00965FEE"/>
    <w:rsid w:val="0096662A"/>
    <w:rsid w:val="009666A9"/>
    <w:rsid w:val="0096689D"/>
    <w:rsid w:val="009669CE"/>
    <w:rsid w:val="0096764F"/>
    <w:rsid w:val="00970694"/>
    <w:rsid w:val="00971F19"/>
    <w:rsid w:val="00972B2E"/>
    <w:rsid w:val="00972C56"/>
    <w:rsid w:val="00972C9A"/>
    <w:rsid w:val="009732C0"/>
    <w:rsid w:val="009732D5"/>
    <w:rsid w:val="00973333"/>
    <w:rsid w:val="00973DE3"/>
    <w:rsid w:val="00974289"/>
    <w:rsid w:val="00974680"/>
    <w:rsid w:val="00974A38"/>
    <w:rsid w:val="009758ED"/>
    <w:rsid w:val="00975F26"/>
    <w:rsid w:val="009769B8"/>
    <w:rsid w:val="00977365"/>
    <w:rsid w:val="0097778C"/>
    <w:rsid w:val="00977CCB"/>
    <w:rsid w:val="0098193A"/>
    <w:rsid w:val="0098299E"/>
    <w:rsid w:val="0098352C"/>
    <w:rsid w:val="00983575"/>
    <w:rsid w:val="00984906"/>
    <w:rsid w:val="00985ADA"/>
    <w:rsid w:val="009863A5"/>
    <w:rsid w:val="009866D2"/>
    <w:rsid w:val="00986E16"/>
    <w:rsid w:val="00987842"/>
    <w:rsid w:val="0099090C"/>
    <w:rsid w:val="00991A13"/>
    <w:rsid w:val="00992C1D"/>
    <w:rsid w:val="0099382D"/>
    <w:rsid w:val="009956EE"/>
    <w:rsid w:val="00995F4A"/>
    <w:rsid w:val="00996727"/>
    <w:rsid w:val="009968F4"/>
    <w:rsid w:val="009969D8"/>
    <w:rsid w:val="00997DAE"/>
    <w:rsid w:val="009A06AF"/>
    <w:rsid w:val="009A10BE"/>
    <w:rsid w:val="009A1660"/>
    <w:rsid w:val="009A264F"/>
    <w:rsid w:val="009A286B"/>
    <w:rsid w:val="009A2AB7"/>
    <w:rsid w:val="009A31BD"/>
    <w:rsid w:val="009A3DAB"/>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939"/>
    <w:rsid w:val="009C1C4F"/>
    <w:rsid w:val="009C1D6F"/>
    <w:rsid w:val="009C27C2"/>
    <w:rsid w:val="009C3318"/>
    <w:rsid w:val="009C3468"/>
    <w:rsid w:val="009C364D"/>
    <w:rsid w:val="009C43A7"/>
    <w:rsid w:val="009C4A09"/>
    <w:rsid w:val="009C505E"/>
    <w:rsid w:val="009C5587"/>
    <w:rsid w:val="009C66A3"/>
    <w:rsid w:val="009D0289"/>
    <w:rsid w:val="009D1F6D"/>
    <w:rsid w:val="009D25A2"/>
    <w:rsid w:val="009D2718"/>
    <w:rsid w:val="009D371D"/>
    <w:rsid w:val="009D3728"/>
    <w:rsid w:val="009D4988"/>
    <w:rsid w:val="009D5B81"/>
    <w:rsid w:val="009D5D26"/>
    <w:rsid w:val="009D68C2"/>
    <w:rsid w:val="009D72F4"/>
    <w:rsid w:val="009E0C8B"/>
    <w:rsid w:val="009E282B"/>
    <w:rsid w:val="009E3A70"/>
    <w:rsid w:val="009E4180"/>
    <w:rsid w:val="009E4F2B"/>
    <w:rsid w:val="009E7A88"/>
    <w:rsid w:val="009F057F"/>
    <w:rsid w:val="009F14E8"/>
    <w:rsid w:val="009F1F21"/>
    <w:rsid w:val="009F2DE9"/>
    <w:rsid w:val="009F2E3E"/>
    <w:rsid w:val="009F2E6E"/>
    <w:rsid w:val="009F2F79"/>
    <w:rsid w:val="009F3094"/>
    <w:rsid w:val="009F384E"/>
    <w:rsid w:val="009F40F3"/>
    <w:rsid w:val="009F494E"/>
    <w:rsid w:val="009F5613"/>
    <w:rsid w:val="009F5982"/>
    <w:rsid w:val="009F60B9"/>
    <w:rsid w:val="009F6DF8"/>
    <w:rsid w:val="009F7417"/>
    <w:rsid w:val="009F78F8"/>
    <w:rsid w:val="00A0085F"/>
    <w:rsid w:val="00A027E6"/>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1E48"/>
    <w:rsid w:val="00A2304C"/>
    <w:rsid w:val="00A23836"/>
    <w:rsid w:val="00A23E52"/>
    <w:rsid w:val="00A23F8D"/>
    <w:rsid w:val="00A25767"/>
    <w:rsid w:val="00A25A37"/>
    <w:rsid w:val="00A266F4"/>
    <w:rsid w:val="00A26CD4"/>
    <w:rsid w:val="00A27360"/>
    <w:rsid w:val="00A30308"/>
    <w:rsid w:val="00A30CE1"/>
    <w:rsid w:val="00A31184"/>
    <w:rsid w:val="00A31A5A"/>
    <w:rsid w:val="00A31FEB"/>
    <w:rsid w:val="00A32067"/>
    <w:rsid w:val="00A32D93"/>
    <w:rsid w:val="00A333B7"/>
    <w:rsid w:val="00A3346B"/>
    <w:rsid w:val="00A33AFD"/>
    <w:rsid w:val="00A33FEC"/>
    <w:rsid w:val="00A34D66"/>
    <w:rsid w:val="00A35636"/>
    <w:rsid w:val="00A372ED"/>
    <w:rsid w:val="00A379AC"/>
    <w:rsid w:val="00A37EFD"/>
    <w:rsid w:val="00A4012E"/>
    <w:rsid w:val="00A40665"/>
    <w:rsid w:val="00A40BA6"/>
    <w:rsid w:val="00A43CB0"/>
    <w:rsid w:val="00A44A3C"/>
    <w:rsid w:val="00A44DE5"/>
    <w:rsid w:val="00A450C8"/>
    <w:rsid w:val="00A457AE"/>
    <w:rsid w:val="00A45D3B"/>
    <w:rsid w:val="00A46AE1"/>
    <w:rsid w:val="00A47447"/>
    <w:rsid w:val="00A47CCA"/>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0D0"/>
    <w:rsid w:val="00A616D5"/>
    <w:rsid w:val="00A6252A"/>
    <w:rsid w:val="00A6254C"/>
    <w:rsid w:val="00A62782"/>
    <w:rsid w:val="00A62A1C"/>
    <w:rsid w:val="00A632CC"/>
    <w:rsid w:val="00A63A48"/>
    <w:rsid w:val="00A65065"/>
    <w:rsid w:val="00A65278"/>
    <w:rsid w:val="00A6533B"/>
    <w:rsid w:val="00A65D79"/>
    <w:rsid w:val="00A660F0"/>
    <w:rsid w:val="00A66338"/>
    <w:rsid w:val="00A6697E"/>
    <w:rsid w:val="00A67595"/>
    <w:rsid w:val="00A677E6"/>
    <w:rsid w:val="00A67FC8"/>
    <w:rsid w:val="00A7010E"/>
    <w:rsid w:val="00A70179"/>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C7A"/>
    <w:rsid w:val="00A821D1"/>
    <w:rsid w:val="00A83273"/>
    <w:rsid w:val="00A832CE"/>
    <w:rsid w:val="00A83F38"/>
    <w:rsid w:val="00A84008"/>
    <w:rsid w:val="00A84363"/>
    <w:rsid w:val="00A851CD"/>
    <w:rsid w:val="00A851E7"/>
    <w:rsid w:val="00A860E4"/>
    <w:rsid w:val="00A8651E"/>
    <w:rsid w:val="00A8673B"/>
    <w:rsid w:val="00A870E4"/>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25B7"/>
    <w:rsid w:val="00AA7076"/>
    <w:rsid w:val="00AA783A"/>
    <w:rsid w:val="00AA7C3C"/>
    <w:rsid w:val="00AA7FA1"/>
    <w:rsid w:val="00AB1C08"/>
    <w:rsid w:val="00AB1C41"/>
    <w:rsid w:val="00AB21C8"/>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E06AA"/>
    <w:rsid w:val="00AE16FA"/>
    <w:rsid w:val="00AE1CC8"/>
    <w:rsid w:val="00AE2794"/>
    <w:rsid w:val="00AE2CB9"/>
    <w:rsid w:val="00AE2E58"/>
    <w:rsid w:val="00AE3ED2"/>
    <w:rsid w:val="00AE408C"/>
    <w:rsid w:val="00AE4378"/>
    <w:rsid w:val="00AE499C"/>
    <w:rsid w:val="00AE5C22"/>
    <w:rsid w:val="00AE66BF"/>
    <w:rsid w:val="00AE675E"/>
    <w:rsid w:val="00AE6D55"/>
    <w:rsid w:val="00AE7B92"/>
    <w:rsid w:val="00AF1B7B"/>
    <w:rsid w:val="00AF30A5"/>
    <w:rsid w:val="00AF35E7"/>
    <w:rsid w:val="00AF4996"/>
    <w:rsid w:val="00AF6A69"/>
    <w:rsid w:val="00AF6BAA"/>
    <w:rsid w:val="00AF6E8E"/>
    <w:rsid w:val="00AF78D8"/>
    <w:rsid w:val="00B01D05"/>
    <w:rsid w:val="00B02A41"/>
    <w:rsid w:val="00B0460F"/>
    <w:rsid w:val="00B0494F"/>
    <w:rsid w:val="00B0504C"/>
    <w:rsid w:val="00B053EF"/>
    <w:rsid w:val="00B054DF"/>
    <w:rsid w:val="00B0551E"/>
    <w:rsid w:val="00B055FA"/>
    <w:rsid w:val="00B059A9"/>
    <w:rsid w:val="00B06260"/>
    <w:rsid w:val="00B06A38"/>
    <w:rsid w:val="00B07069"/>
    <w:rsid w:val="00B073D5"/>
    <w:rsid w:val="00B128E2"/>
    <w:rsid w:val="00B1303D"/>
    <w:rsid w:val="00B15CA2"/>
    <w:rsid w:val="00B16080"/>
    <w:rsid w:val="00B16313"/>
    <w:rsid w:val="00B16C63"/>
    <w:rsid w:val="00B204AE"/>
    <w:rsid w:val="00B20E02"/>
    <w:rsid w:val="00B21A7B"/>
    <w:rsid w:val="00B21BAC"/>
    <w:rsid w:val="00B21DE1"/>
    <w:rsid w:val="00B2294C"/>
    <w:rsid w:val="00B22951"/>
    <w:rsid w:val="00B22E33"/>
    <w:rsid w:val="00B2384B"/>
    <w:rsid w:val="00B248AC"/>
    <w:rsid w:val="00B2630A"/>
    <w:rsid w:val="00B26448"/>
    <w:rsid w:val="00B27A66"/>
    <w:rsid w:val="00B322DF"/>
    <w:rsid w:val="00B325D4"/>
    <w:rsid w:val="00B3463E"/>
    <w:rsid w:val="00B352D1"/>
    <w:rsid w:val="00B35F3E"/>
    <w:rsid w:val="00B36727"/>
    <w:rsid w:val="00B36EF1"/>
    <w:rsid w:val="00B3700E"/>
    <w:rsid w:val="00B370EF"/>
    <w:rsid w:val="00B4085C"/>
    <w:rsid w:val="00B411A7"/>
    <w:rsid w:val="00B417A3"/>
    <w:rsid w:val="00B41977"/>
    <w:rsid w:val="00B41F96"/>
    <w:rsid w:val="00B430E7"/>
    <w:rsid w:val="00B43360"/>
    <w:rsid w:val="00B44032"/>
    <w:rsid w:val="00B44DEE"/>
    <w:rsid w:val="00B45190"/>
    <w:rsid w:val="00B45283"/>
    <w:rsid w:val="00B45981"/>
    <w:rsid w:val="00B465BD"/>
    <w:rsid w:val="00B47E88"/>
    <w:rsid w:val="00B503E6"/>
    <w:rsid w:val="00B52F38"/>
    <w:rsid w:val="00B55077"/>
    <w:rsid w:val="00B553C3"/>
    <w:rsid w:val="00B55824"/>
    <w:rsid w:val="00B56A7E"/>
    <w:rsid w:val="00B57DCF"/>
    <w:rsid w:val="00B57DDC"/>
    <w:rsid w:val="00B636B6"/>
    <w:rsid w:val="00B63AC7"/>
    <w:rsid w:val="00B64865"/>
    <w:rsid w:val="00B65E77"/>
    <w:rsid w:val="00B674E1"/>
    <w:rsid w:val="00B67BE8"/>
    <w:rsid w:val="00B67DAF"/>
    <w:rsid w:val="00B67EF2"/>
    <w:rsid w:val="00B70622"/>
    <w:rsid w:val="00B70FCC"/>
    <w:rsid w:val="00B7113B"/>
    <w:rsid w:val="00B71C8B"/>
    <w:rsid w:val="00B72629"/>
    <w:rsid w:val="00B726EB"/>
    <w:rsid w:val="00B736A3"/>
    <w:rsid w:val="00B7397A"/>
    <w:rsid w:val="00B73E12"/>
    <w:rsid w:val="00B748FC"/>
    <w:rsid w:val="00B74F98"/>
    <w:rsid w:val="00B75485"/>
    <w:rsid w:val="00B76542"/>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25B"/>
    <w:rsid w:val="00B876B5"/>
    <w:rsid w:val="00B876B6"/>
    <w:rsid w:val="00B877AC"/>
    <w:rsid w:val="00B877F7"/>
    <w:rsid w:val="00B91625"/>
    <w:rsid w:val="00B919E6"/>
    <w:rsid w:val="00B92CDA"/>
    <w:rsid w:val="00B93021"/>
    <w:rsid w:val="00B9445E"/>
    <w:rsid w:val="00B951C7"/>
    <w:rsid w:val="00B9566F"/>
    <w:rsid w:val="00B966E8"/>
    <w:rsid w:val="00B970AD"/>
    <w:rsid w:val="00B97956"/>
    <w:rsid w:val="00BA09B9"/>
    <w:rsid w:val="00BA0B4C"/>
    <w:rsid w:val="00BA1B67"/>
    <w:rsid w:val="00BA250C"/>
    <w:rsid w:val="00BA2B07"/>
    <w:rsid w:val="00BA2F6C"/>
    <w:rsid w:val="00BA2F9E"/>
    <w:rsid w:val="00BA31CC"/>
    <w:rsid w:val="00BA3FFE"/>
    <w:rsid w:val="00BA414E"/>
    <w:rsid w:val="00BA4DAC"/>
    <w:rsid w:val="00BA67A5"/>
    <w:rsid w:val="00BA7EF2"/>
    <w:rsid w:val="00BB0619"/>
    <w:rsid w:val="00BB09F8"/>
    <w:rsid w:val="00BB0B91"/>
    <w:rsid w:val="00BB23E5"/>
    <w:rsid w:val="00BB2D18"/>
    <w:rsid w:val="00BB3B73"/>
    <w:rsid w:val="00BB4AE7"/>
    <w:rsid w:val="00BB4F39"/>
    <w:rsid w:val="00BB4FB7"/>
    <w:rsid w:val="00BB5179"/>
    <w:rsid w:val="00BB544F"/>
    <w:rsid w:val="00BB71FF"/>
    <w:rsid w:val="00BB7517"/>
    <w:rsid w:val="00BC095E"/>
    <w:rsid w:val="00BC0A35"/>
    <w:rsid w:val="00BC10BF"/>
    <w:rsid w:val="00BC4DBC"/>
    <w:rsid w:val="00BC59BD"/>
    <w:rsid w:val="00BC7181"/>
    <w:rsid w:val="00BC7ECA"/>
    <w:rsid w:val="00BD00B8"/>
    <w:rsid w:val="00BD05EF"/>
    <w:rsid w:val="00BD07B0"/>
    <w:rsid w:val="00BD0B3B"/>
    <w:rsid w:val="00BD0D9C"/>
    <w:rsid w:val="00BD0FC2"/>
    <w:rsid w:val="00BD3F02"/>
    <w:rsid w:val="00BD4638"/>
    <w:rsid w:val="00BD486A"/>
    <w:rsid w:val="00BD4DE7"/>
    <w:rsid w:val="00BD5A9C"/>
    <w:rsid w:val="00BD772E"/>
    <w:rsid w:val="00BE0AF5"/>
    <w:rsid w:val="00BE2601"/>
    <w:rsid w:val="00BE304E"/>
    <w:rsid w:val="00BE36CD"/>
    <w:rsid w:val="00BE3C37"/>
    <w:rsid w:val="00BE3C45"/>
    <w:rsid w:val="00BE3C5B"/>
    <w:rsid w:val="00BE41F4"/>
    <w:rsid w:val="00BE47E9"/>
    <w:rsid w:val="00BE5578"/>
    <w:rsid w:val="00BE71CB"/>
    <w:rsid w:val="00BE7375"/>
    <w:rsid w:val="00BE7C20"/>
    <w:rsid w:val="00BE7FBE"/>
    <w:rsid w:val="00BF03A0"/>
    <w:rsid w:val="00BF088A"/>
    <w:rsid w:val="00BF0F73"/>
    <w:rsid w:val="00BF14FB"/>
    <w:rsid w:val="00BF2028"/>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9B2"/>
    <w:rsid w:val="00C11963"/>
    <w:rsid w:val="00C1263B"/>
    <w:rsid w:val="00C1329C"/>
    <w:rsid w:val="00C13671"/>
    <w:rsid w:val="00C139D5"/>
    <w:rsid w:val="00C13C02"/>
    <w:rsid w:val="00C13C48"/>
    <w:rsid w:val="00C1553E"/>
    <w:rsid w:val="00C16291"/>
    <w:rsid w:val="00C16C2D"/>
    <w:rsid w:val="00C171B2"/>
    <w:rsid w:val="00C1765E"/>
    <w:rsid w:val="00C176E9"/>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309F3"/>
    <w:rsid w:val="00C31011"/>
    <w:rsid w:val="00C3132D"/>
    <w:rsid w:val="00C33DD7"/>
    <w:rsid w:val="00C33FEA"/>
    <w:rsid w:val="00C3459A"/>
    <w:rsid w:val="00C3588D"/>
    <w:rsid w:val="00C36293"/>
    <w:rsid w:val="00C372DC"/>
    <w:rsid w:val="00C37CB0"/>
    <w:rsid w:val="00C37CE7"/>
    <w:rsid w:val="00C4081D"/>
    <w:rsid w:val="00C414B5"/>
    <w:rsid w:val="00C423FE"/>
    <w:rsid w:val="00C43FD1"/>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79B"/>
    <w:rsid w:val="00C60C8C"/>
    <w:rsid w:val="00C61E34"/>
    <w:rsid w:val="00C621FA"/>
    <w:rsid w:val="00C636AF"/>
    <w:rsid w:val="00C6413A"/>
    <w:rsid w:val="00C643E7"/>
    <w:rsid w:val="00C64C16"/>
    <w:rsid w:val="00C64E4A"/>
    <w:rsid w:val="00C65558"/>
    <w:rsid w:val="00C65D0B"/>
    <w:rsid w:val="00C66A76"/>
    <w:rsid w:val="00C67508"/>
    <w:rsid w:val="00C70E50"/>
    <w:rsid w:val="00C729E5"/>
    <w:rsid w:val="00C73A63"/>
    <w:rsid w:val="00C73C4C"/>
    <w:rsid w:val="00C7451C"/>
    <w:rsid w:val="00C748D5"/>
    <w:rsid w:val="00C75204"/>
    <w:rsid w:val="00C765DA"/>
    <w:rsid w:val="00C773CC"/>
    <w:rsid w:val="00C7781C"/>
    <w:rsid w:val="00C80AF3"/>
    <w:rsid w:val="00C8105A"/>
    <w:rsid w:val="00C82979"/>
    <w:rsid w:val="00C8299C"/>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0EB3"/>
    <w:rsid w:val="00CA2A0D"/>
    <w:rsid w:val="00CA3FE2"/>
    <w:rsid w:val="00CA434F"/>
    <w:rsid w:val="00CA4C6D"/>
    <w:rsid w:val="00CA5325"/>
    <w:rsid w:val="00CA5EED"/>
    <w:rsid w:val="00CA6660"/>
    <w:rsid w:val="00CA6EBA"/>
    <w:rsid w:val="00CA6FBF"/>
    <w:rsid w:val="00CA77CA"/>
    <w:rsid w:val="00CB0669"/>
    <w:rsid w:val="00CB0978"/>
    <w:rsid w:val="00CB1DBD"/>
    <w:rsid w:val="00CB2742"/>
    <w:rsid w:val="00CB3DB8"/>
    <w:rsid w:val="00CB44D3"/>
    <w:rsid w:val="00CB5DB2"/>
    <w:rsid w:val="00CB61FE"/>
    <w:rsid w:val="00CB6411"/>
    <w:rsid w:val="00CB6BA4"/>
    <w:rsid w:val="00CB6E24"/>
    <w:rsid w:val="00CB7433"/>
    <w:rsid w:val="00CB7459"/>
    <w:rsid w:val="00CB78EE"/>
    <w:rsid w:val="00CB7A3D"/>
    <w:rsid w:val="00CC0C35"/>
    <w:rsid w:val="00CC0F22"/>
    <w:rsid w:val="00CC1820"/>
    <w:rsid w:val="00CC2431"/>
    <w:rsid w:val="00CC26A9"/>
    <w:rsid w:val="00CC2C4E"/>
    <w:rsid w:val="00CC3602"/>
    <w:rsid w:val="00CC3F1F"/>
    <w:rsid w:val="00CC3F34"/>
    <w:rsid w:val="00CC426E"/>
    <w:rsid w:val="00CC5DA3"/>
    <w:rsid w:val="00CC6206"/>
    <w:rsid w:val="00CC6B9F"/>
    <w:rsid w:val="00CC6BE9"/>
    <w:rsid w:val="00CC7753"/>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F30"/>
    <w:rsid w:val="00D102D8"/>
    <w:rsid w:val="00D10F9C"/>
    <w:rsid w:val="00D1170B"/>
    <w:rsid w:val="00D13089"/>
    <w:rsid w:val="00D142B7"/>
    <w:rsid w:val="00D14393"/>
    <w:rsid w:val="00D14E23"/>
    <w:rsid w:val="00D15497"/>
    <w:rsid w:val="00D154BF"/>
    <w:rsid w:val="00D15A96"/>
    <w:rsid w:val="00D15B43"/>
    <w:rsid w:val="00D16449"/>
    <w:rsid w:val="00D2155A"/>
    <w:rsid w:val="00D22043"/>
    <w:rsid w:val="00D23C32"/>
    <w:rsid w:val="00D23D35"/>
    <w:rsid w:val="00D2435A"/>
    <w:rsid w:val="00D24A5E"/>
    <w:rsid w:val="00D24C6A"/>
    <w:rsid w:val="00D2594A"/>
    <w:rsid w:val="00D27021"/>
    <w:rsid w:val="00D273F2"/>
    <w:rsid w:val="00D30B76"/>
    <w:rsid w:val="00D31076"/>
    <w:rsid w:val="00D31412"/>
    <w:rsid w:val="00D31414"/>
    <w:rsid w:val="00D3199E"/>
    <w:rsid w:val="00D32A2D"/>
    <w:rsid w:val="00D33790"/>
    <w:rsid w:val="00D33B4C"/>
    <w:rsid w:val="00D33CFE"/>
    <w:rsid w:val="00D35E8B"/>
    <w:rsid w:val="00D3601A"/>
    <w:rsid w:val="00D3608D"/>
    <w:rsid w:val="00D36C25"/>
    <w:rsid w:val="00D3771F"/>
    <w:rsid w:val="00D379EF"/>
    <w:rsid w:val="00D37FAB"/>
    <w:rsid w:val="00D40709"/>
    <w:rsid w:val="00D41FCE"/>
    <w:rsid w:val="00D422C4"/>
    <w:rsid w:val="00D4283C"/>
    <w:rsid w:val="00D431EA"/>
    <w:rsid w:val="00D46FC3"/>
    <w:rsid w:val="00D47749"/>
    <w:rsid w:val="00D47AFA"/>
    <w:rsid w:val="00D51887"/>
    <w:rsid w:val="00D5262B"/>
    <w:rsid w:val="00D53368"/>
    <w:rsid w:val="00D535B9"/>
    <w:rsid w:val="00D53D55"/>
    <w:rsid w:val="00D546AF"/>
    <w:rsid w:val="00D551BB"/>
    <w:rsid w:val="00D55B36"/>
    <w:rsid w:val="00D566F5"/>
    <w:rsid w:val="00D5698C"/>
    <w:rsid w:val="00D611E2"/>
    <w:rsid w:val="00D6121A"/>
    <w:rsid w:val="00D635EB"/>
    <w:rsid w:val="00D64358"/>
    <w:rsid w:val="00D6489B"/>
    <w:rsid w:val="00D65582"/>
    <w:rsid w:val="00D65737"/>
    <w:rsid w:val="00D658C0"/>
    <w:rsid w:val="00D65CE3"/>
    <w:rsid w:val="00D65EC3"/>
    <w:rsid w:val="00D66349"/>
    <w:rsid w:val="00D66466"/>
    <w:rsid w:val="00D67922"/>
    <w:rsid w:val="00D70302"/>
    <w:rsid w:val="00D7177C"/>
    <w:rsid w:val="00D717A8"/>
    <w:rsid w:val="00D71D79"/>
    <w:rsid w:val="00D734A7"/>
    <w:rsid w:val="00D75552"/>
    <w:rsid w:val="00D75FAC"/>
    <w:rsid w:val="00D76DF0"/>
    <w:rsid w:val="00D76F31"/>
    <w:rsid w:val="00D77345"/>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2E04"/>
    <w:rsid w:val="00D956FB"/>
    <w:rsid w:val="00D95E8C"/>
    <w:rsid w:val="00D96050"/>
    <w:rsid w:val="00D963A1"/>
    <w:rsid w:val="00D965DD"/>
    <w:rsid w:val="00D968FC"/>
    <w:rsid w:val="00D97234"/>
    <w:rsid w:val="00D97B43"/>
    <w:rsid w:val="00DA01B3"/>
    <w:rsid w:val="00DA0E28"/>
    <w:rsid w:val="00DA16B2"/>
    <w:rsid w:val="00DA1E29"/>
    <w:rsid w:val="00DA2F32"/>
    <w:rsid w:val="00DA325E"/>
    <w:rsid w:val="00DA3DAC"/>
    <w:rsid w:val="00DA57FC"/>
    <w:rsid w:val="00DA59CC"/>
    <w:rsid w:val="00DA5F4A"/>
    <w:rsid w:val="00DA5F54"/>
    <w:rsid w:val="00DA71D0"/>
    <w:rsid w:val="00DA7EA2"/>
    <w:rsid w:val="00DB0999"/>
    <w:rsid w:val="00DB0FA2"/>
    <w:rsid w:val="00DB1D80"/>
    <w:rsid w:val="00DB1F56"/>
    <w:rsid w:val="00DB2204"/>
    <w:rsid w:val="00DB22EE"/>
    <w:rsid w:val="00DB272A"/>
    <w:rsid w:val="00DB3F2E"/>
    <w:rsid w:val="00DB429A"/>
    <w:rsid w:val="00DB5713"/>
    <w:rsid w:val="00DC0905"/>
    <w:rsid w:val="00DC122F"/>
    <w:rsid w:val="00DC2BAE"/>
    <w:rsid w:val="00DC2D80"/>
    <w:rsid w:val="00DC2E5F"/>
    <w:rsid w:val="00DC3323"/>
    <w:rsid w:val="00DC34F0"/>
    <w:rsid w:val="00DC516A"/>
    <w:rsid w:val="00DC5A19"/>
    <w:rsid w:val="00DC6263"/>
    <w:rsid w:val="00DC7C4C"/>
    <w:rsid w:val="00DD04EC"/>
    <w:rsid w:val="00DD0508"/>
    <w:rsid w:val="00DD099C"/>
    <w:rsid w:val="00DD1444"/>
    <w:rsid w:val="00DD2240"/>
    <w:rsid w:val="00DD31ED"/>
    <w:rsid w:val="00DD3AAC"/>
    <w:rsid w:val="00DD446A"/>
    <w:rsid w:val="00DD45C1"/>
    <w:rsid w:val="00DD4734"/>
    <w:rsid w:val="00DD48A7"/>
    <w:rsid w:val="00DD4C5F"/>
    <w:rsid w:val="00DD6F66"/>
    <w:rsid w:val="00DE0279"/>
    <w:rsid w:val="00DE13D3"/>
    <w:rsid w:val="00DE2175"/>
    <w:rsid w:val="00DE3979"/>
    <w:rsid w:val="00DE4720"/>
    <w:rsid w:val="00DE4E18"/>
    <w:rsid w:val="00DE5090"/>
    <w:rsid w:val="00DE57B7"/>
    <w:rsid w:val="00DE5A6D"/>
    <w:rsid w:val="00DE628B"/>
    <w:rsid w:val="00DE6322"/>
    <w:rsid w:val="00DE63AE"/>
    <w:rsid w:val="00DE7250"/>
    <w:rsid w:val="00DE745A"/>
    <w:rsid w:val="00DE7FBB"/>
    <w:rsid w:val="00DF013D"/>
    <w:rsid w:val="00DF0356"/>
    <w:rsid w:val="00DF1093"/>
    <w:rsid w:val="00DF1252"/>
    <w:rsid w:val="00DF1C55"/>
    <w:rsid w:val="00DF3540"/>
    <w:rsid w:val="00DF3A1D"/>
    <w:rsid w:val="00DF5570"/>
    <w:rsid w:val="00DF580A"/>
    <w:rsid w:val="00DF59BE"/>
    <w:rsid w:val="00DF5E16"/>
    <w:rsid w:val="00DF5E88"/>
    <w:rsid w:val="00DF63B6"/>
    <w:rsid w:val="00DF6733"/>
    <w:rsid w:val="00E00466"/>
    <w:rsid w:val="00E00770"/>
    <w:rsid w:val="00E00DB6"/>
    <w:rsid w:val="00E00E9B"/>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C21"/>
    <w:rsid w:val="00E24FAE"/>
    <w:rsid w:val="00E25241"/>
    <w:rsid w:val="00E25DE4"/>
    <w:rsid w:val="00E265A3"/>
    <w:rsid w:val="00E30B03"/>
    <w:rsid w:val="00E312C1"/>
    <w:rsid w:val="00E3153C"/>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66D"/>
    <w:rsid w:val="00E42755"/>
    <w:rsid w:val="00E42F8D"/>
    <w:rsid w:val="00E43424"/>
    <w:rsid w:val="00E43CF8"/>
    <w:rsid w:val="00E43EED"/>
    <w:rsid w:val="00E442AA"/>
    <w:rsid w:val="00E45BBE"/>
    <w:rsid w:val="00E46472"/>
    <w:rsid w:val="00E466A2"/>
    <w:rsid w:val="00E47853"/>
    <w:rsid w:val="00E47EA0"/>
    <w:rsid w:val="00E501D3"/>
    <w:rsid w:val="00E516A1"/>
    <w:rsid w:val="00E51AB2"/>
    <w:rsid w:val="00E53724"/>
    <w:rsid w:val="00E53C8F"/>
    <w:rsid w:val="00E5438D"/>
    <w:rsid w:val="00E54BD8"/>
    <w:rsid w:val="00E56110"/>
    <w:rsid w:val="00E568B5"/>
    <w:rsid w:val="00E56D1B"/>
    <w:rsid w:val="00E5779D"/>
    <w:rsid w:val="00E6010F"/>
    <w:rsid w:val="00E60795"/>
    <w:rsid w:val="00E60A51"/>
    <w:rsid w:val="00E61E1A"/>
    <w:rsid w:val="00E621A3"/>
    <w:rsid w:val="00E6375E"/>
    <w:rsid w:val="00E6377B"/>
    <w:rsid w:val="00E64FBC"/>
    <w:rsid w:val="00E654C0"/>
    <w:rsid w:val="00E66087"/>
    <w:rsid w:val="00E67F75"/>
    <w:rsid w:val="00E7010D"/>
    <w:rsid w:val="00E7041A"/>
    <w:rsid w:val="00E70691"/>
    <w:rsid w:val="00E7078C"/>
    <w:rsid w:val="00E70A78"/>
    <w:rsid w:val="00E718AC"/>
    <w:rsid w:val="00E71A64"/>
    <w:rsid w:val="00E71EE2"/>
    <w:rsid w:val="00E72992"/>
    <w:rsid w:val="00E72EF2"/>
    <w:rsid w:val="00E73428"/>
    <w:rsid w:val="00E735AC"/>
    <w:rsid w:val="00E737CA"/>
    <w:rsid w:val="00E74967"/>
    <w:rsid w:val="00E74A06"/>
    <w:rsid w:val="00E74ACA"/>
    <w:rsid w:val="00E7619B"/>
    <w:rsid w:val="00E765D0"/>
    <w:rsid w:val="00E7674A"/>
    <w:rsid w:val="00E77AA8"/>
    <w:rsid w:val="00E8065F"/>
    <w:rsid w:val="00E81A9C"/>
    <w:rsid w:val="00E82420"/>
    <w:rsid w:val="00E829DF"/>
    <w:rsid w:val="00E82B12"/>
    <w:rsid w:val="00E8302D"/>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F33"/>
    <w:rsid w:val="00EA2470"/>
    <w:rsid w:val="00EA3AF3"/>
    <w:rsid w:val="00EA3CE8"/>
    <w:rsid w:val="00EA4118"/>
    <w:rsid w:val="00EA479E"/>
    <w:rsid w:val="00EA71C2"/>
    <w:rsid w:val="00EA7517"/>
    <w:rsid w:val="00EA7B92"/>
    <w:rsid w:val="00EB0137"/>
    <w:rsid w:val="00EB130D"/>
    <w:rsid w:val="00EB15F3"/>
    <w:rsid w:val="00EB1FDF"/>
    <w:rsid w:val="00EB2DEC"/>
    <w:rsid w:val="00EB37A7"/>
    <w:rsid w:val="00EB3900"/>
    <w:rsid w:val="00EB3CB7"/>
    <w:rsid w:val="00EB4C37"/>
    <w:rsid w:val="00EB4D22"/>
    <w:rsid w:val="00EB5A67"/>
    <w:rsid w:val="00EB6B22"/>
    <w:rsid w:val="00EB744A"/>
    <w:rsid w:val="00EB78E0"/>
    <w:rsid w:val="00EB7D34"/>
    <w:rsid w:val="00EC17C9"/>
    <w:rsid w:val="00EC1F35"/>
    <w:rsid w:val="00EC3F68"/>
    <w:rsid w:val="00EC447E"/>
    <w:rsid w:val="00EC52CA"/>
    <w:rsid w:val="00EC5CDC"/>
    <w:rsid w:val="00EC5E09"/>
    <w:rsid w:val="00EC70FF"/>
    <w:rsid w:val="00EC7B59"/>
    <w:rsid w:val="00ED0181"/>
    <w:rsid w:val="00ED099E"/>
    <w:rsid w:val="00ED0A7C"/>
    <w:rsid w:val="00ED2F51"/>
    <w:rsid w:val="00ED2FA8"/>
    <w:rsid w:val="00ED3825"/>
    <w:rsid w:val="00ED3B38"/>
    <w:rsid w:val="00ED4537"/>
    <w:rsid w:val="00ED528B"/>
    <w:rsid w:val="00ED5322"/>
    <w:rsid w:val="00ED5679"/>
    <w:rsid w:val="00ED5998"/>
    <w:rsid w:val="00ED5F98"/>
    <w:rsid w:val="00ED62BD"/>
    <w:rsid w:val="00ED7B82"/>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7E8"/>
    <w:rsid w:val="00EE790C"/>
    <w:rsid w:val="00EF0042"/>
    <w:rsid w:val="00EF04CD"/>
    <w:rsid w:val="00EF0A71"/>
    <w:rsid w:val="00EF1570"/>
    <w:rsid w:val="00EF26F8"/>
    <w:rsid w:val="00EF2A6B"/>
    <w:rsid w:val="00EF34AA"/>
    <w:rsid w:val="00EF3FB5"/>
    <w:rsid w:val="00EF5A20"/>
    <w:rsid w:val="00EF5FD9"/>
    <w:rsid w:val="00EF656E"/>
    <w:rsid w:val="00EF6B4D"/>
    <w:rsid w:val="00EF797C"/>
    <w:rsid w:val="00F00549"/>
    <w:rsid w:val="00F0103C"/>
    <w:rsid w:val="00F013AE"/>
    <w:rsid w:val="00F01A02"/>
    <w:rsid w:val="00F01FAA"/>
    <w:rsid w:val="00F021E3"/>
    <w:rsid w:val="00F0245B"/>
    <w:rsid w:val="00F03026"/>
    <w:rsid w:val="00F04591"/>
    <w:rsid w:val="00F053DA"/>
    <w:rsid w:val="00F056A1"/>
    <w:rsid w:val="00F05AB1"/>
    <w:rsid w:val="00F06388"/>
    <w:rsid w:val="00F0674A"/>
    <w:rsid w:val="00F0680F"/>
    <w:rsid w:val="00F075A2"/>
    <w:rsid w:val="00F10872"/>
    <w:rsid w:val="00F11162"/>
    <w:rsid w:val="00F11244"/>
    <w:rsid w:val="00F11E2C"/>
    <w:rsid w:val="00F12245"/>
    <w:rsid w:val="00F125A7"/>
    <w:rsid w:val="00F127FB"/>
    <w:rsid w:val="00F129D2"/>
    <w:rsid w:val="00F129E8"/>
    <w:rsid w:val="00F12A2F"/>
    <w:rsid w:val="00F12EF3"/>
    <w:rsid w:val="00F13B2B"/>
    <w:rsid w:val="00F13CEA"/>
    <w:rsid w:val="00F142C5"/>
    <w:rsid w:val="00F1448B"/>
    <w:rsid w:val="00F1590C"/>
    <w:rsid w:val="00F15FF9"/>
    <w:rsid w:val="00F165E3"/>
    <w:rsid w:val="00F17D61"/>
    <w:rsid w:val="00F212AD"/>
    <w:rsid w:val="00F21712"/>
    <w:rsid w:val="00F2184C"/>
    <w:rsid w:val="00F2389D"/>
    <w:rsid w:val="00F23BE7"/>
    <w:rsid w:val="00F23F5C"/>
    <w:rsid w:val="00F259B1"/>
    <w:rsid w:val="00F302F8"/>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0744"/>
    <w:rsid w:val="00F4154F"/>
    <w:rsid w:val="00F41935"/>
    <w:rsid w:val="00F4315F"/>
    <w:rsid w:val="00F45029"/>
    <w:rsid w:val="00F4531F"/>
    <w:rsid w:val="00F46411"/>
    <w:rsid w:val="00F46D01"/>
    <w:rsid w:val="00F46EC7"/>
    <w:rsid w:val="00F47331"/>
    <w:rsid w:val="00F4770C"/>
    <w:rsid w:val="00F47BB4"/>
    <w:rsid w:val="00F47E16"/>
    <w:rsid w:val="00F51877"/>
    <w:rsid w:val="00F51D4A"/>
    <w:rsid w:val="00F51EBD"/>
    <w:rsid w:val="00F525E3"/>
    <w:rsid w:val="00F527DF"/>
    <w:rsid w:val="00F541B7"/>
    <w:rsid w:val="00F54582"/>
    <w:rsid w:val="00F5686D"/>
    <w:rsid w:val="00F56F2E"/>
    <w:rsid w:val="00F57AD3"/>
    <w:rsid w:val="00F61699"/>
    <w:rsid w:val="00F61CD0"/>
    <w:rsid w:val="00F62810"/>
    <w:rsid w:val="00F6353C"/>
    <w:rsid w:val="00F63591"/>
    <w:rsid w:val="00F63EEB"/>
    <w:rsid w:val="00F64C0C"/>
    <w:rsid w:val="00F65362"/>
    <w:rsid w:val="00F66A6C"/>
    <w:rsid w:val="00F66C02"/>
    <w:rsid w:val="00F6708C"/>
    <w:rsid w:val="00F67B7E"/>
    <w:rsid w:val="00F7049A"/>
    <w:rsid w:val="00F706BE"/>
    <w:rsid w:val="00F7097A"/>
    <w:rsid w:val="00F71409"/>
    <w:rsid w:val="00F71451"/>
    <w:rsid w:val="00F71526"/>
    <w:rsid w:val="00F71817"/>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3F1F"/>
    <w:rsid w:val="00F84B69"/>
    <w:rsid w:val="00F84EF1"/>
    <w:rsid w:val="00F8591E"/>
    <w:rsid w:val="00F86646"/>
    <w:rsid w:val="00F86FBB"/>
    <w:rsid w:val="00F87930"/>
    <w:rsid w:val="00F9038C"/>
    <w:rsid w:val="00F9087F"/>
    <w:rsid w:val="00F91184"/>
    <w:rsid w:val="00F9139B"/>
    <w:rsid w:val="00F91506"/>
    <w:rsid w:val="00F916DB"/>
    <w:rsid w:val="00F91843"/>
    <w:rsid w:val="00F91B79"/>
    <w:rsid w:val="00F91DAC"/>
    <w:rsid w:val="00F92B5B"/>
    <w:rsid w:val="00F92D84"/>
    <w:rsid w:val="00F9417B"/>
    <w:rsid w:val="00F942D1"/>
    <w:rsid w:val="00F949D8"/>
    <w:rsid w:val="00F94A47"/>
    <w:rsid w:val="00F94D75"/>
    <w:rsid w:val="00F953C6"/>
    <w:rsid w:val="00F9644C"/>
    <w:rsid w:val="00F96638"/>
    <w:rsid w:val="00FA02B5"/>
    <w:rsid w:val="00FA0A5B"/>
    <w:rsid w:val="00FA0CEB"/>
    <w:rsid w:val="00FA1253"/>
    <w:rsid w:val="00FA12BE"/>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D8D"/>
    <w:rsid w:val="00FB5898"/>
    <w:rsid w:val="00FB5A2E"/>
    <w:rsid w:val="00FB5C28"/>
    <w:rsid w:val="00FB6CD6"/>
    <w:rsid w:val="00FB702A"/>
    <w:rsid w:val="00FB732E"/>
    <w:rsid w:val="00FB7412"/>
    <w:rsid w:val="00FB7F7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4523"/>
    <w:rsid w:val="00FD5CEE"/>
    <w:rsid w:val="00FD62A1"/>
    <w:rsid w:val="00FE01F5"/>
    <w:rsid w:val="00FE051B"/>
    <w:rsid w:val="00FE1934"/>
    <w:rsid w:val="00FE2904"/>
    <w:rsid w:val="00FE2C11"/>
    <w:rsid w:val="00FE3068"/>
    <w:rsid w:val="00FE31FC"/>
    <w:rsid w:val="00FE4074"/>
    <w:rsid w:val="00FE4EAF"/>
    <w:rsid w:val="00FE5107"/>
    <w:rsid w:val="00FE5338"/>
    <w:rsid w:val="00FE5605"/>
    <w:rsid w:val="00FE5B92"/>
    <w:rsid w:val="00FE5BE4"/>
    <w:rsid w:val="00FE6072"/>
    <w:rsid w:val="00FE6711"/>
    <w:rsid w:val="00FE6D0F"/>
    <w:rsid w:val="00FE7569"/>
    <w:rsid w:val="00FE7C56"/>
    <w:rsid w:val="00FE7F02"/>
    <w:rsid w:val="00FF0E6F"/>
    <w:rsid w:val="00FF110E"/>
    <w:rsid w:val="00FF13DE"/>
    <w:rsid w:val="00FF1437"/>
    <w:rsid w:val="00FF16AB"/>
    <w:rsid w:val="00FF1749"/>
    <w:rsid w:val="00FF21C1"/>
    <w:rsid w:val="00FF40FD"/>
    <w:rsid w:val="00FF4695"/>
    <w:rsid w:val="00FF48B5"/>
    <w:rsid w:val="00FF5EC7"/>
    <w:rsid w:val="01960FEB"/>
    <w:rsid w:val="02AC40B0"/>
    <w:rsid w:val="03B70F40"/>
    <w:rsid w:val="048764DD"/>
    <w:rsid w:val="04E6066F"/>
    <w:rsid w:val="05897B82"/>
    <w:rsid w:val="05910BF1"/>
    <w:rsid w:val="064C0699"/>
    <w:rsid w:val="0848526B"/>
    <w:rsid w:val="09852594"/>
    <w:rsid w:val="099D6219"/>
    <w:rsid w:val="09D13E4B"/>
    <w:rsid w:val="0B571924"/>
    <w:rsid w:val="0B8A3B81"/>
    <w:rsid w:val="0C576789"/>
    <w:rsid w:val="0CA57984"/>
    <w:rsid w:val="0D1246EC"/>
    <w:rsid w:val="0D4E4639"/>
    <w:rsid w:val="0D516F41"/>
    <w:rsid w:val="0D594B71"/>
    <w:rsid w:val="0E214E5E"/>
    <w:rsid w:val="0E291FDB"/>
    <w:rsid w:val="0ECF5EFA"/>
    <w:rsid w:val="0ED0418B"/>
    <w:rsid w:val="0F3325C5"/>
    <w:rsid w:val="11174691"/>
    <w:rsid w:val="112A66A0"/>
    <w:rsid w:val="112C53B1"/>
    <w:rsid w:val="11BA57D3"/>
    <w:rsid w:val="141E103F"/>
    <w:rsid w:val="14D31D2B"/>
    <w:rsid w:val="14EB7761"/>
    <w:rsid w:val="156264EB"/>
    <w:rsid w:val="15886B12"/>
    <w:rsid w:val="181A051C"/>
    <w:rsid w:val="18D311FD"/>
    <w:rsid w:val="1A5326BB"/>
    <w:rsid w:val="1A9E2445"/>
    <w:rsid w:val="1C530364"/>
    <w:rsid w:val="1DA62ED2"/>
    <w:rsid w:val="1DAC51FE"/>
    <w:rsid w:val="1F65226C"/>
    <w:rsid w:val="1FC044B2"/>
    <w:rsid w:val="23C52A20"/>
    <w:rsid w:val="275058F4"/>
    <w:rsid w:val="27672D9D"/>
    <w:rsid w:val="2836394D"/>
    <w:rsid w:val="2A2B5331"/>
    <w:rsid w:val="2C176CEA"/>
    <w:rsid w:val="2CDD08C1"/>
    <w:rsid w:val="2D2355A4"/>
    <w:rsid w:val="2D245E58"/>
    <w:rsid w:val="2F38492B"/>
    <w:rsid w:val="2F733C34"/>
    <w:rsid w:val="2FC743F0"/>
    <w:rsid w:val="30F87DD1"/>
    <w:rsid w:val="322E119F"/>
    <w:rsid w:val="32916BA4"/>
    <w:rsid w:val="32A933BB"/>
    <w:rsid w:val="335E31E5"/>
    <w:rsid w:val="33FF0399"/>
    <w:rsid w:val="34F0095A"/>
    <w:rsid w:val="35673D9C"/>
    <w:rsid w:val="35C23E24"/>
    <w:rsid w:val="36AA2402"/>
    <w:rsid w:val="36D328A8"/>
    <w:rsid w:val="38C42631"/>
    <w:rsid w:val="39394037"/>
    <w:rsid w:val="3B9D56D9"/>
    <w:rsid w:val="3CF466C5"/>
    <w:rsid w:val="3F1C6CDA"/>
    <w:rsid w:val="3FA77D2D"/>
    <w:rsid w:val="404A06A9"/>
    <w:rsid w:val="40F35BE4"/>
    <w:rsid w:val="4132562A"/>
    <w:rsid w:val="415059DB"/>
    <w:rsid w:val="425460E8"/>
    <w:rsid w:val="42803B6F"/>
    <w:rsid w:val="42D50C00"/>
    <w:rsid w:val="42DC7FF9"/>
    <w:rsid w:val="43012B48"/>
    <w:rsid w:val="44AE2DCF"/>
    <w:rsid w:val="44BA2C52"/>
    <w:rsid w:val="463351A2"/>
    <w:rsid w:val="46D5399F"/>
    <w:rsid w:val="47C370E5"/>
    <w:rsid w:val="47EB1017"/>
    <w:rsid w:val="4AE3338F"/>
    <w:rsid w:val="4D3662C0"/>
    <w:rsid w:val="4D781995"/>
    <w:rsid w:val="4EC639D6"/>
    <w:rsid w:val="4EF66965"/>
    <w:rsid w:val="4F936C28"/>
    <w:rsid w:val="5020111E"/>
    <w:rsid w:val="50223592"/>
    <w:rsid w:val="51F170C6"/>
    <w:rsid w:val="53011CE4"/>
    <w:rsid w:val="53073B9D"/>
    <w:rsid w:val="532278B2"/>
    <w:rsid w:val="5533172C"/>
    <w:rsid w:val="55343A9D"/>
    <w:rsid w:val="559275D4"/>
    <w:rsid w:val="55FD29C7"/>
    <w:rsid w:val="563E2ACB"/>
    <w:rsid w:val="564F24E2"/>
    <w:rsid w:val="56702990"/>
    <w:rsid w:val="56F642F5"/>
    <w:rsid w:val="578728B2"/>
    <w:rsid w:val="58E20110"/>
    <w:rsid w:val="5A934ADF"/>
    <w:rsid w:val="5AFA32A6"/>
    <w:rsid w:val="5C7623A5"/>
    <w:rsid w:val="5D43732A"/>
    <w:rsid w:val="610007D1"/>
    <w:rsid w:val="611413CB"/>
    <w:rsid w:val="621E2D67"/>
    <w:rsid w:val="623618B1"/>
    <w:rsid w:val="635D0434"/>
    <w:rsid w:val="63D329D3"/>
    <w:rsid w:val="6624061D"/>
    <w:rsid w:val="664724DD"/>
    <w:rsid w:val="666349AB"/>
    <w:rsid w:val="66BD0B58"/>
    <w:rsid w:val="66E90212"/>
    <w:rsid w:val="67310175"/>
    <w:rsid w:val="6A350B45"/>
    <w:rsid w:val="6B087840"/>
    <w:rsid w:val="6C772485"/>
    <w:rsid w:val="6E77326D"/>
    <w:rsid w:val="6EBA79B8"/>
    <w:rsid w:val="6F204DBD"/>
    <w:rsid w:val="700C0878"/>
    <w:rsid w:val="702A4845"/>
    <w:rsid w:val="715015CB"/>
    <w:rsid w:val="7157067F"/>
    <w:rsid w:val="71790689"/>
    <w:rsid w:val="71C43C87"/>
    <w:rsid w:val="72810CBF"/>
    <w:rsid w:val="72D81326"/>
    <w:rsid w:val="73AFED9A"/>
    <w:rsid w:val="75885932"/>
    <w:rsid w:val="790F1F7D"/>
    <w:rsid w:val="7B69055E"/>
    <w:rsid w:val="7B802519"/>
    <w:rsid w:val="7BCC4C09"/>
    <w:rsid w:val="7D564EE9"/>
    <w:rsid w:val="7E213608"/>
    <w:rsid w:val="A9FED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65"/>
    <w:qFormat/>
    <w:uiPriority w:val="99"/>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99"/>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Char1"/>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
    <w:qFormat/>
    <w:uiPriority w:val="0"/>
    <w:rPr>
      <w:kern w:val="2"/>
      <w:sz w:val="21"/>
    </w:rPr>
  </w:style>
  <w:style w:type="character" w:customStyle="1" w:styleId="65">
    <w:name w:val="批注文字 字符1"/>
    <w:basedOn w:val="29"/>
    <w:link w:val="13"/>
    <w:qFormat/>
    <w:uiPriority w:val="0"/>
    <w:rPr>
      <w:kern w:val="2"/>
      <w:sz w:val="21"/>
    </w:rPr>
  </w:style>
  <w:style w:type="character" w:customStyle="1" w:styleId="66">
    <w:name w:val="批注文字 字符"/>
    <w:basedOn w:val="29"/>
    <w:qFormat/>
    <w:uiPriority w:val="0"/>
    <w:rPr>
      <w:kern w:val="2"/>
      <w:sz w:val="21"/>
    </w:rPr>
  </w:style>
  <w:style w:type="paragraph" w:customStyle="1" w:styleId="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68">
    <w:name w:val="批注文字 字符2"/>
    <w:qFormat/>
    <w:uiPriority w:val="99"/>
    <w:rPr>
      <w:rFonts w:ascii="Times New Roman" w:hAnsi="Times New Roman" w:eastAsia="宋体" w:cs="Times New Roman"/>
      <w:sz w:val="21"/>
      <w:szCs w:val="20"/>
      <w14:ligatures w14:val="none"/>
    </w:rPr>
  </w:style>
  <w:style w:type="paragraph" w:customStyle="1" w:styleId="69">
    <w:name w:val="修订3"/>
    <w:hidden/>
    <w:semiHidden/>
    <w:qFormat/>
    <w:uiPriority w:val="99"/>
    <w:rPr>
      <w:rFonts w:ascii="Times New Roman" w:hAnsi="Times New Roman" w:eastAsia="宋体" w:cs="Times New Roman"/>
      <w:kern w:val="2"/>
      <w:sz w:val="21"/>
      <w:lang w:val="en-US" w:eastAsia="zh-CN" w:bidi="ar-SA"/>
    </w:rPr>
  </w:style>
  <w:style w:type="paragraph" w:customStyle="1" w:styleId="7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141</Pages>
  <Words>15822</Words>
  <Characters>90191</Characters>
  <Lines>751</Lines>
  <Paragraphs>211</Paragraphs>
  <TotalTime>1</TotalTime>
  <ScaleCrop>false</ScaleCrop>
  <LinksUpToDate>false</LinksUpToDate>
  <CharactersWithSpaces>105802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2026-03-26T05:48:00Z</dcterms:created>
  <dc:creator>张敏峻</dc:creator>
  <cp:lastModifiedBy>zhangjing1</cp:lastModifiedBy>
  <cp:lastPrinted>2019-12-02T10:12:00Z</cp:lastPrinted>
  <dcterms:modified xsi:type="dcterms:W3CDTF">2026-07-17T02:26:41Z</dcterms:modified>
  <dc:title>招募说明书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A2CF6711E15D48E7BB67C7EBA6191BEB_13</vt:lpwstr>
  </property>
</Properties>
</file>