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D09CF">
      <w:pPr>
        <w:rPr>
          <w:sz w:val="32"/>
        </w:rPr>
      </w:pPr>
    </w:p>
    <w:p w:rsidR="00C92FC0" w:rsidRPr="00EB07BC" w:rsidRDefault="00FD09CF">
      <w:pPr>
        <w:rPr>
          <w:sz w:val="32"/>
        </w:rPr>
      </w:pPr>
    </w:p>
    <w:p w:rsidR="00C92FC0" w:rsidRPr="00EB07BC" w:rsidRDefault="00FD09CF">
      <w:pPr>
        <w:rPr>
          <w:sz w:val="32"/>
        </w:rPr>
      </w:pPr>
    </w:p>
    <w:p w:rsidR="00651F1C" w:rsidRDefault="00651F1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51F1C" w:rsidRDefault="00651F1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51F1C" w:rsidRDefault="00651F1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51F1C" w:rsidRDefault="0004543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交银施罗德智选进取三个月持有期混合型发起式基金中基金（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651F1C" w:rsidRDefault="0004543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51F1C" w:rsidRDefault="00651F1C">
      <w:pPr>
        <w:snapToGrid w:val="0"/>
        <w:spacing w:line="360" w:lineRule="auto"/>
        <w:jc w:val="center"/>
        <w:rPr>
          <w:rFonts w:ascii="宋体" w:hAnsi="宋体"/>
          <w:b/>
          <w:sz w:val="30"/>
          <w:szCs w:val="30"/>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04543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51F1C" w:rsidRDefault="0004543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651F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51F1C" w:rsidRDefault="0004543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二〇二六年七月</w:t>
      </w:r>
    </w:p>
    <w:p w:rsidR="00651F1C" w:rsidRDefault="00651F1C">
      <w:pPr>
        <w:autoSpaceDE w:val="0"/>
        <w:autoSpaceDN w:val="0"/>
        <w:adjustRightInd w:val="0"/>
        <w:snapToGrid w:val="0"/>
        <w:spacing w:line="360" w:lineRule="auto"/>
        <w:ind w:left="1347" w:rightChars="6" w:right="13"/>
        <w:rPr>
          <w:rFonts w:ascii="宋体" w:hAnsi="宋体"/>
          <w:kern w:val="0"/>
          <w:sz w:val="32"/>
          <w:szCs w:val="32"/>
        </w:rPr>
        <w:sectPr w:rsidR="00651F1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51F1C" w:rsidRDefault="0004543D">
      <w:pPr>
        <w:pStyle w:val="1"/>
        <w:snapToGrid w:val="0"/>
        <w:spacing w:beforeLines="0" w:before="240" w:after="240"/>
        <w:rPr>
          <w:rFonts w:ascii="宋体" w:hAnsi="宋体"/>
          <w:kern w:val="0"/>
        </w:rPr>
      </w:pPr>
      <w:bookmarkStart w:id="0" w:name="_Toc324920538"/>
      <w:bookmarkStart w:id="1" w:name="_Toc496884613"/>
      <w:bookmarkStart w:id="2" w:name="_Toc235443131"/>
      <w:r>
        <w:rPr>
          <w:rFonts w:ascii="Times New Roman" w:hAnsi="Times New Roman"/>
          <w:kern w:val="0"/>
        </w:rPr>
        <w:lastRenderedPageBreak/>
        <w:t>重要提示</w:t>
      </w:r>
      <w:bookmarkEnd w:id="0"/>
      <w:bookmarkEnd w:id="1"/>
      <w:bookmarkEnd w:id="2"/>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交银施罗德智选进取三个月持有期混合型发起式基金中基金（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1741</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港股通标的股票的特定风险；投资科创板股票的特定风险；投资存托凭证的特定风险；本基金为发起式基金，《基金合同》生效之日起三年后的对应日，基金资产净值低于</w:t>
      </w:r>
      <w:r>
        <w:rPr>
          <w:rFonts w:ascii="Times New Roman" w:hAnsi="Times New Roman"/>
          <w:kern w:val="0"/>
          <w:sz w:val="24"/>
        </w:rPr>
        <w:t>2</w:t>
      </w:r>
      <w:r>
        <w:rPr>
          <w:rFonts w:ascii="Times New Roman" w:hAnsi="Times New Roman"/>
          <w:kern w:val="0"/>
          <w:sz w:val="24"/>
        </w:rPr>
        <w:t>亿元，或《基金合同》生效三年后继续存续的，基金存续期内，连续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本基金法律文件风险收益特征表述与销售机构基金风险评价可能不一致的风险；投资本基金的其他风险等等。本基金为混合型基金中基金，其预期风险与预期收益理论上高于债券型基金、债券型基金中基金、货币市场基金和货币型基金中基金，低于股票型基金和股票型基金中基金。</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w:t>
      </w:r>
      <w:r>
        <w:rPr>
          <w:rFonts w:ascii="Times New Roman" w:hAnsi="Times New Roman"/>
          <w:kern w:val="0"/>
          <w:sz w:val="24"/>
        </w:rPr>
        <w:lastRenderedPageBreak/>
        <w:t>回的基金份额超过了该份额持有人持续持有超过三个月的基金份额数量，则基金份额持有人的赎回申请将全部被予以拒绝。基金份额持有人需承担赎回申请失败的风险。</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本基金单一投资者（基金管理人、基金管理人高级管理人员或基金经理等人员作为发起资金提供方除外）持有基金份额数不得超过基金份额总数的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651F1C" w:rsidRDefault="0004543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07</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651F1C" w:rsidRDefault="00651F1C">
      <w:pPr>
        <w:autoSpaceDE w:val="0"/>
        <w:autoSpaceDN w:val="0"/>
        <w:adjustRightInd w:val="0"/>
        <w:snapToGrid w:val="0"/>
        <w:spacing w:before="51" w:line="360" w:lineRule="auto"/>
        <w:ind w:left="120" w:rightChars="6" w:right="13" w:firstLine="480"/>
        <w:rPr>
          <w:rFonts w:ascii="宋体" w:hAnsi="宋体"/>
          <w:kern w:val="0"/>
          <w:szCs w:val="24"/>
        </w:rPr>
        <w:sectPr w:rsidR="00651F1C">
          <w:headerReference w:type="default" r:id="rId14"/>
          <w:pgSz w:w="11920" w:h="16840"/>
          <w:pgMar w:top="1440" w:right="1680" w:bottom="280" w:left="1680" w:header="0" w:footer="1073" w:gutter="0"/>
          <w:pgNumType w:start="1"/>
          <w:cols w:space="720"/>
        </w:sectPr>
      </w:pPr>
    </w:p>
    <w:p w:rsidR="00FD09CF" w:rsidRPr="00FD09CF" w:rsidRDefault="0004543D" w:rsidP="00FD09CF">
      <w:pPr>
        <w:pStyle w:val="ad"/>
        <w:snapToGrid w:val="0"/>
        <w:spacing w:after="240" w:line="360" w:lineRule="auto"/>
        <w:jc w:val="center"/>
        <w:rPr>
          <w:rFonts w:ascii="宋体" w:hAnsi="宋体"/>
          <w:noProof/>
          <w:sz w:val="24"/>
        </w:rPr>
      </w:pPr>
      <w:r w:rsidRPr="00FD09CF">
        <w:rPr>
          <w:rFonts w:ascii="宋体" w:hAnsi="宋体"/>
          <w:color w:val="000000"/>
          <w:position w:val="-4"/>
          <w:sz w:val="24"/>
          <w:szCs w:val="30"/>
        </w:rPr>
        <w:lastRenderedPageBreak/>
        <w:t>目</w:t>
      </w:r>
      <w:r w:rsidRPr="00FD09CF">
        <w:rPr>
          <w:rFonts w:ascii="宋体" w:hAnsi="宋体"/>
          <w:color w:val="000000"/>
          <w:position w:val="-4"/>
          <w:sz w:val="24"/>
          <w:szCs w:val="30"/>
        </w:rPr>
        <w:tab/>
        <w:t>录</w:t>
      </w:r>
      <w:r w:rsidR="00FD09CF" w:rsidRPr="00FD09CF">
        <w:rPr>
          <w:rFonts w:ascii="宋体" w:hAnsi="宋体"/>
          <w:color w:val="000000"/>
          <w:position w:val="-4"/>
          <w:sz w:val="24"/>
          <w:szCs w:val="30"/>
        </w:rPr>
        <w:fldChar w:fldCharType="begin"/>
      </w:r>
      <w:r w:rsidR="00FD09CF" w:rsidRPr="00FD09CF">
        <w:rPr>
          <w:rFonts w:ascii="宋体" w:hAnsi="宋体"/>
          <w:color w:val="000000"/>
          <w:position w:val="-4"/>
          <w:sz w:val="24"/>
          <w:szCs w:val="30"/>
        </w:rPr>
        <w:instrText xml:space="preserve"> TOC \o "1-3" \f - \h \t "-1" </w:instrText>
      </w:r>
      <w:r w:rsidR="00FD09CF" w:rsidRPr="00FD09CF">
        <w:rPr>
          <w:rFonts w:ascii="宋体" w:hAnsi="宋体"/>
          <w:color w:val="000000"/>
          <w:position w:val="-4"/>
          <w:sz w:val="24"/>
          <w:szCs w:val="30"/>
        </w:rPr>
        <w:fldChar w:fldCharType="separate"/>
      </w:r>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1" w:history="1">
        <w:r w:rsidRPr="00FD09CF">
          <w:rPr>
            <w:rStyle w:val="aa"/>
            <w:rFonts w:ascii="宋体" w:hAnsi="宋体" w:hint="eastAsia"/>
            <w:noProof/>
            <w:kern w:val="0"/>
            <w:sz w:val="24"/>
          </w:rPr>
          <w:t>重要提示</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_Toc235443131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2" w:history="1">
        <w:r w:rsidRPr="00FD09CF">
          <w:rPr>
            <w:rStyle w:val="aa"/>
            <w:rFonts w:ascii="宋体" w:hAnsi="宋体" w:hint="eastAsia"/>
            <w:noProof/>
            <w:sz w:val="24"/>
          </w:rPr>
          <w:t>一、绪言</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_Toc235443132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5</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3" w:history="1">
        <w:r w:rsidRPr="00FD09CF">
          <w:rPr>
            <w:rStyle w:val="aa"/>
            <w:rFonts w:ascii="宋体" w:hAnsi="宋体" w:hint="eastAsia"/>
            <w:noProof/>
            <w:sz w:val="24"/>
          </w:rPr>
          <w:t>二、释义</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_Toc235443133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6</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4" w:history="1">
        <w:r w:rsidRPr="00FD09CF">
          <w:rPr>
            <w:rStyle w:val="aa"/>
            <w:rFonts w:ascii="宋体" w:hAnsi="宋体" w:hint="eastAsia"/>
            <w:noProof/>
            <w:sz w:val="24"/>
          </w:rPr>
          <w:t>三、基金管理人</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_Toc235443134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12</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5" w:history="1">
        <w:r w:rsidRPr="00FD09CF">
          <w:rPr>
            <w:rStyle w:val="aa"/>
            <w:rFonts w:ascii="宋体" w:hAnsi="宋体" w:hint="eastAsia"/>
            <w:noProof/>
            <w:sz w:val="24"/>
          </w:rPr>
          <w:t>四、基金托管人</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_Toc235443135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19</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6" w:history="1">
        <w:r w:rsidRPr="00FD09CF">
          <w:rPr>
            <w:rStyle w:val="aa"/>
            <w:rFonts w:ascii="宋体" w:hAnsi="宋体" w:hint="eastAsia"/>
            <w:noProof/>
            <w:sz w:val="24"/>
          </w:rPr>
          <w:t>五、相关服务机构</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_Toc235443136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23</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7" w:history="1">
        <w:r w:rsidRPr="00FD09CF">
          <w:rPr>
            <w:rStyle w:val="aa"/>
            <w:rFonts w:ascii="宋体" w:hAnsi="宋体" w:hint="eastAsia"/>
            <w:noProof/>
            <w:sz w:val="24"/>
          </w:rPr>
          <w:t>六、基金的募集</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_Toc235443137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39</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8" w:history="1">
        <w:r w:rsidRPr="00FD09CF">
          <w:rPr>
            <w:rStyle w:val="aa"/>
            <w:rFonts w:ascii="宋体" w:hAnsi="宋体" w:hint="eastAsia"/>
            <w:noProof/>
            <w:sz w:val="24"/>
          </w:rPr>
          <w:t>七、基金合同的生效</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_Toc235443138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40</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39" w:history="1">
        <w:r w:rsidRPr="00FD09CF">
          <w:rPr>
            <w:rStyle w:val="aa"/>
            <w:rFonts w:ascii="宋体" w:hAnsi="宋体" w:hint="eastAsia"/>
            <w:noProof/>
            <w:sz w:val="24"/>
          </w:rPr>
          <w:t>八、基金份额的申购与赎回</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_Toc235443139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41</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0" w:history="1">
        <w:r w:rsidRPr="00FD09CF">
          <w:rPr>
            <w:rStyle w:val="aa"/>
            <w:rFonts w:ascii="宋体" w:hAnsi="宋体" w:hint="eastAsia"/>
            <w:noProof/>
            <w:sz w:val="24"/>
          </w:rPr>
          <w:t>九、基金的投资</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_Toc235443140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55</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1" w:history="1">
        <w:r w:rsidRPr="00FD09CF">
          <w:rPr>
            <w:rStyle w:val="aa"/>
            <w:rFonts w:ascii="宋体" w:hAnsi="宋体" w:hint="eastAsia"/>
            <w:noProof/>
            <w:sz w:val="24"/>
          </w:rPr>
          <w:t>十、基金的业绩</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_Toc235443141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66</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2" w:history="1">
        <w:r w:rsidRPr="00FD09CF">
          <w:rPr>
            <w:rStyle w:val="aa"/>
            <w:rFonts w:ascii="宋体" w:hAnsi="宋体" w:hint="eastAsia"/>
            <w:noProof/>
            <w:sz w:val="24"/>
          </w:rPr>
          <w:t>十一、基金的财产</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_Toc235443142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68</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3" w:history="1">
        <w:r w:rsidRPr="00FD09CF">
          <w:rPr>
            <w:rStyle w:val="aa"/>
            <w:rFonts w:ascii="宋体" w:hAnsi="宋体" w:hint="eastAsia"/>
            <w:noProof/>
            <w:sz w:val="24"/>
          </w:rPr>
          <w:t>十二、基金资产的估值</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_Toc235443143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69</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4" w:history="1">
        <w:r w:rsidRPr="00FD09CF">
          <w:rPr>
            <w:rStyle w:val="aa"/>
            <w:rFonts w:ascii="宋体" w:hAnsi="宋体" w:hint="eastAsia"/>
            <w:noProof/>
            <w:sz w:val="24"/>
          </w:rPr>
          <w:t>十三、基金收益与分配</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_Toc235443144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76</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5" w:history="1">
        <w:r w:rsidRPr="00FD09CF">
          <w:rPr>
            <w:rStyle w:val="aa"/>
            <w:rFonts w:ascii="宋体" w:hAnsi="宋体" w:hint="eastAsia"/>
            <w:noProof/>
            <w:sz w:val="24"/>
          </w:rPr>
          <w:t>十四、基金的费用与税收</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_Toc235443145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78</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6" w:history="1">
        <w:r w:rsidRPr="00FD09CF">
          <w:rPr>
            <w:rStyle w:val="aa"/>
            <w:rFonts w:ascii="宋体" w:hAnsi="宋体" w:hint="eastAsia"/>
            <w:noProof/>
            <w:sz w:val="24"/>
          </w:rPr>
          <w:t>十五、基金的会计与审计</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_Toc235443146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81</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7" w:history="1">
        <w:r w:rsidRPr="00FD09CF">
          <w:rPr>
            <w:rStyle w:val="aa"/>
            <w:rFonts w:ascii="宋体" w:hAnsi="宋体" w:hint="eastAsia"/>
            <w:noProof/>
            <w:sz w:val="24"/>
          </w:rPr>
          <w:t>十六、基金的信息披露</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_Toc235443147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82</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8" w:history="1">
        <w:r w:rsidRPr="00FD09CF">
          <w:rPr>
            <w:rStyle w:val="aa"/>
            <w:rFonts w:ascii="宋体" w:hAnsi="宋体" w:hint="eastAsia"/>
            <w:noProof/>
            <w:sz w:val="24"/>
          </w:rPr>
          <w:t>十七、侧袋机制</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_Toc235443148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89</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49" w:history="1">
        <w:r w:rsidRPr="00FD09CF">
          <w:rPr>
            <w:rStyle w:val="aa"/>
            <w:rFonts w:ascii="宋体" w:hAnsi="宋体" w:hint="eastAsia"/>
            <w:noProof/>
            <w:sz w:val="24"/>
          </w:rPr>
          <w:t>十八、风险揭示</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_Toc235443149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92</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0" w:history="1">
        <w:r w:rsidRPr="00FD09CF">
          <w:rPr>
            <w:rStyle w:val="aa"/>
            <w:rFonts w:ascii="宋体" w:hAnsi="宋体" w:hint="eastAsia"/>
            <w:noProof/>
            <w:sz w:val="24"/>
          </w:rPr>
          <w:t>十九、基金合同的变更、终止与基金财产的清算</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_Toc235443150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103</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1" w:history="1">
        <w:r w:rsidRPr="00FD09CF">
          <w:rPr>
            <w:rStyle w:val="aa"/>
            <w:rFonts w:ascii="宋体" w:hAnsi="宋体" w:hint="eastAsia"/>
            <w:noProof/>
            <w:sz w:val="24"/>
          </w:rPr>
          <w:t>二十、基金合同内容摘要</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_Toc235443151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105</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2" w:history="1">
        <w:r w:rsidRPr="00FD09CF">
          <w:rPr>
            <w:rStyle w:val="aa"/>
            <w:rFonts w:ascii="宋体" w:hAnsi="宋体" w:hint="eastAsia"/>
            <w:noProof/>
            <w:sz w:val="24"/>
          </w:rPr>
          <w:t>二十一、托管协议的内容摘要</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_Toc235443152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122</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3" w:history="1">
        <w:r w:rsidRPr="00FD09CF">
          <w:rPr>
            <w:rStyle w:val="aa"/>
            <w:rFonts w:ascii="宋体" w:hAnsi="宋体" w:hint="eastAsia"/>
            <w:noProof/>
            <w:sz w:val="24"/>
          </w:rPr>
          <w:t>二十二、对基金份额持有人的服务</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_Toc235443153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141</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4" w:history="1">
        <w:r w:rsidRPr="00FD09CF">
          <w:rPr>
            <w:rStyle w:val="aa"/>
            <w:rFonts w:ascii="宋体" w:hAnsi="宋体" w:hint="eastAsia"/>
            <w:noProof/>
            <w:sz w:val="24"/>
          </w:rPr>
          <w:t>二十三、其他应披露事项</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_Toc235443154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143</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5" w:history="1">
        <w:r w:rsidRPr="00FD09CF">
          <w:rPr>
            <w:rStyle w:val="aa"/>
            <w:rFonts w:ascii="宋体" w:hAnsi="宋体" w:hint="eastAsia"/>
            <w:noProof/>
            <w:sz w:val="24"/>
          </w:rPr>
          <w:t>二十四、招募说明书的存放及查阅方式</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_Toc235443155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145</w:t>
        </w:r>
        <w:r w:rsidRPr="00FD09CF">
          <w:rPr>
            <w:rFonts w:ascii="宋体" w:hAnsi="宋体"/>
            <w:noProof/>
            <w:sz w:val="24"/>
          </w:rPr>
          <w:fldChar w:fldCharType="end"/>
        </w:r>
      </w:hyperlink>
    </w:p>
    <w:p w:rsidR="00FD09CF" w:rsidRPr="00FD09CF" w:rsidRDefault="00FD09CF" w:rsidP="00FD09CF">
      <w:pPr>
        <w:pStyle w:val="10"/>
        <w:tabs>
          <w:tab w:val="right" w:leader="dot" w:pos="8550"/>
        </w:tabs>
        <w:spacing w:line="360" w:lineRule="auto"/>
        <w:rPr>
          <w:rFonts w:ascii="宋体" w:hAnsi="宋体" w:cstheme="minorBidi"/>
          <w:noProof/>
          <w:sz w:val="24"/>
        </w:rPr>
      </w:pPr>
      <w:hyperlink w:anchor="_Toc235443156" w:history="1">
        <w:r w:rsidRPr="00FD09CF">
          <w:rPr>
            <w:rStyle w:val="aa"/>
            <w:rFonts w:ascii="宋体" w:hAnsi="宋体" w:hint="eastAsia"/>
            <w:noProof/>
            <w:sz w:val="24"/>
          </w:rPr>
          <w:t>二十五、备查文件</w:t>
        </w:r>
        <w:r w:rsidRPr="00FD09CF">
          <w:rPr>
            <w:rFonts w:ascii="宋体" w:hAnsi="宋体"/>
            <w:noProof/>
            <w:sz w:val="24"/>
          </w:rPr>
          <w:tab/>
        </w:r>
        <w:r w:rsidRPr="00FD09CF">
          <w:rPr>
            <w:rFonts w:ascii="宋体" w:hAnsi="宋体"/>
            <w:noProof/>
            <w:sz w:val="24"/>
          </w:rPr>
          <w:fldChar w:fldCharType="begin"/>
        </w:r>
        <w:r w:rsidRPr="00FD09CF">
          <w:rPr>
            <w:rFonts w:ascii="宋体" w:hAnsi="宋体"/>
            <w:noProof/>
            <w:sz w:val="24"/>
          </w:rPr>
          <w:instrText xml:space="preserve"> PAGEREF _Toc235443156 \h </w:instrText>
        </w:r>
        <w:r w:rsidRPr="00FD09CF">
          <w:rPr>
            <w:rFonts w:ascii="宋体" w:hAnsi="宋体"/>
            <w:noProof/>
            <w:sz w:val="24"/>
          </w:rPr>
        </w:r>
        <w:r w:rsidRPr="00FD09CF">
          <w:rPr>
            <w:rFonts w:ascii="宋体" w:hAnsi="宋体"/>
            <w:noProof/>
            <w:sz w:val="24"/>
          </w:rPr>
          <w:fldChar w:fldCharType="separate"/>
        </w:r>
        <w:r w:rsidRPr="00FD09CF">
          <w:rPr>
            <w:rFonts w:ascii="宋体" w:hAnsi="宋体"/>
            <w:noProof/>
            <w:sz w:val="24"/>
          </w:rPr>
          <w:t>146</w:t>
        </w:r>
        <w:r w:rsidRPr="00FD09CF">
          <w:rPr>
            <w:rFonts w:ascii="宋体" w:hAnsi="宋体"/>
            <w:noProof/>
            <w:sz w:val="24"/>
          </w:rPr>
          <w:fldChar w:fldCharType="end"/>
        </w:r>
      </w:hyperlink>
    </w:p>
    <w:p w:rsidR="00651F1C" w:rsidRPr="00FD09CF" w:rsidRDefault="00FD09CF" w:rsidP="00FD09CF">
      <w:pPr>
        <w:pStyle w:val="ad"/>
        <w:snapToGrid w:val="0"/>
        <w:spacing w:after="240" w:line="360" w:lineRule="auto"/>
        <w:jc w:val="center"/>
        <w:rPr>
          <w:rFonts w:ascii="宋体" w:hAnsi="宋体"/>
          <w:color w:val="000000"/>
          <w:sz w:val="24"/>
        </w:rPr>
      </w:pPr>
      <w:r w:rsidRPr="00FD09CF">
        <w:rPr>
          <w:rFonts w:ascii="宋体" w:hAnsi="宋体"/>
          <w:color w:val="000000"/>
          <w:position w:val="-4"/>
          <w:sz w:val="24"/>
          <w:szCs w:val="30"/>
        </w:rPr>
        <w:fldChar w:fldCharType="end"/>
      </w:r>
      <w:bookmarkStart w:id="3" w:name="_GoBack"/>
      <w:bookmarkEnd w:id="3"/>
    </w:p>
    <w:p w:rsidR="00651F1C" w:rsidRDefault="00651F1C">
      <w:pPr>
        <w:autoSpaceDE w:val="0"/>
        <w:autoSpaceDN w:val="0"/>
        <w:adjustRightInd w:val="0"/>
        <w:snapToGrid w:val="0"/>
        <w:spacing w:line="360" w:lineRule="auto"/>
        <w:ind w:left="120" w:rightChars="6" w:right="13"/>
        <w:rPr>
          <w:rFonts w:ascii="宋体" w:hAnsi="宋体"/>
          <w:kern w:val="0"/>
          <w:szCs w:val="24"/>
        </w:rPr>
        <w:sectPr w:rsidR="00651F1C">
          <w:pgSz w:w="11920" w:h="16840"/>
          <w:pgMar w:top="1480" w:right="1680" w:bottom="280" w:left="1680" w:header="0" w:footer="1073" w:gutter="0"/>
          <w:cols w:space="720"/>
        </w:sectPr>
      </w:pPr>
    </w:p>
    <w:p w:rsidR="00651F1C" w:rsidRDefault="0004543D">
      <w:pPr>
        <w:pStyle w:val="1"/>
        <w:snapToGrid w:val="0"/>
        <w:spacing w:beforeLines="0" w:before="240" w:after="240"/>
        <w:rPr>
          <w:rFonts w:ascii="宋体" w:hAnsi="宋体"/>
          <w:szCs w:val="30"/>
        </w:rPr>
      </w:pPr>
      <w:bookmarkStart w:id="4" w:name="_Toc235443132"/>
      <w:r>
        <w:rPr>
          <w:rFonts w:ascii="Times New Roman" w:hAnsi="Times New Roman"/>
          <w:sz w:val="30"/>
        </w:rPr>
        <w:lastRenderedPageBreak/>
        <w:t>一、绪言</w:t>
      </w:r>
      <w:bookmarkEnd w:id="4"/>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智选进取三个月持有期混合型发起式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智选进取三个月持有期混合型发起式基金中基金（FOF）基金合同》（以下简称“基金合同”）编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5" w:name="_Toc235443133"/>
      <w:r>
        <w:rPr>
          <w:rFonts w:ascii="Times New Roman" w:hAnsi="Times New Roman"/>
          <w:sz w:val="30"/>
        </w:rPr>
        <w:lastRenderedPageBreak/>
        <w:t>二、释义</w:t>
      </w:r>
      <w:bookmarkEnd w:id="5"/>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1、基金或本基金：指交银施罗德智选进取三个月持有期混合型发起式基金中基金（FOF）</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4、基金合同：指《交银施罗德智选进取三个月持有期混合型发起式基金中基金（FOF）基金合同》及对基金合同的任何有效修订和补充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5、托管协议：指基金管理人与基金托管人就本基金签订之《交银施罗德智选进取三个月持有期混合型发起式基金中基金（FOF）托管协议》及对该托管协议的任何有效修订和补充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6、招募说明书或本招募说明书：指《交银施罗德智选进取三个月持有期混合型发起式基金中基金（FOF）招募说明书》及其更新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7、基金产品资料概要：指《交银施罗德智选进取三个月持有期混合型发起式基金中基金（FOF）基金产品资料概要》及其更新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8、基金份额发售公告：指《交银施罗德智选进取三个月持有期混合型发起式基金中基金（FOF）基金份额发售公告》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21、投资人、投资者：指个人投资者、机构投资者、合格境外投资者、发起资金提供方以及法律法规或中国证监会允许购买证券投资基金的其他投资人的合称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月度对日：指某一特定日期在后续日历月度中的对应日期，若该日历月度中不存在对应日期的，则该月度对日为该特定日期在后续日历月度中对应月度的最后一日。如该月度对日为非工作日的，则顺延至下一个工作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发起式基金：指符合《运作办法》和中国证监会规定的相关条件而募集、运作，由基金管理人、基金管理人股东、基金管理人高级管理人员或基金经理（指基金管理人员工中依法具有基金经理资格者，包括但不限于本基金的基金经理，下同）等人员承诺认购一定金额并持有一定期限的证券投资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56、发起资金：指基金管理人的股东资金、基金管理人固有资金、基金管理人高级管理人员或基金经理等人员参与认购的资金。发起资金认购本基金的金额不低</w:t>
      </w:r>
      <w:r>
        <w:rPr>
          <w:rFonts w:ascii="宋体" w:hAnsi="宋体"/>
          <w:sz w:val="24"/>
        </w:rPr>
        <w:lastRenderedPageBreak/>
        <w:t>于1000万元人民币，且发起资金认购的基金份额持有期限自基金合同生效日起不低于三年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57、发起资金提供方：指以发起资金认购本基金且承诺以发起资金认购的基金份额持有期限自基金合同生效之日起不少于三年的基金管理人股东、基金管理人、基金管理人高级管理人员或基金经理等人员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58、规定媒介：指符合中国证监会规定条件的用以进行信息披露的全国性报刊及《信息披露办法》规定的互联网网站（包括基金管理人网站、基金托管人网站、中国证监会基金电子披露网站）等媒介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59、销售服务费：指从基金财产中计提的，用于本基金市场推广、销售以及基金份额持有人服务的费用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60、A类基金份额：指在投资人认购/申购时收取认购/申购费用且不从本类别基金资产中计提销售服务费的基金份额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61、C类基金份额：指在投资人认购/申购时不收取认购/申购费用，并从本类别基金资产中计提销售服务费的基金份额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w:t>
      </w:r>
      <w:r>
        <w:rPr>
          <w:rFonts w:ascii="宋体" w:hAnsi="宋体"/>
          <w:sz w:val="24"/>
        </w:rPr>
        <w:lastRenderedPageBreak/>
        <w:t>资产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66、不可抗力：指基金合同当事人不能预见、不能避免且不能克服的客观事件</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6" w:name="_Toc235443134"/>
      <w:r>
        <w:rPr>
          <w:rFonts w:ascii="Times New Roman" w:hAnsi="Times New Roman"/>
          <w:sz w:val="30"/>
        </w:rPr>
        <w:lastRenderedPageBreak/>
        <w:t>三、基金管理人</w:t>
      </w:r>
      <w:bookmarkEnd w:id="6"/>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慧选睿信一年持有期混合型基金中基金（FOF）(2022年07月27日至2025年05月08日)、交银施罗德安享稳健养老目标一年持有期混合型基金中基金（FOF）(2023年01月07日至2025年07月12日)的基金经理。现任交银施罗德智选星光混合型基金中基金（FOF-LOF）(2021年11月10日至今)、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智选进取三个月持有期混合型发起式基金中基金（FOF）(2023年12月27日至今)、交银施罗德安悦平衡养老目标三年持有期混合型发起式基金中基金（FOF）(2024年02月05日至今)的基金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倩旖女士:基金经理。复旦大学金融学硕士、中南财经政法大学经济学学士。4年证券投资行业从业经验。2022年加入交银施罗德基金管理有限公司，历任多元资产管理部研究员，现任多资产管理部基金经理。现任交银施罗德智选进取三个月持有期混合型发起式基金中基金（FOF）(2026年07月16日至今)、交银施罗德智选星光混合型基金中基金（FOF-LOF）(2026年07月16日至今)的基金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（三）基金管理人的职责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4、基金管理人承诺加强人员管理，强化职业操守，督促和约束员工遵守国家有关法律法规及行业规范，诚实信用、勤勉尽责；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w:t>
      </w:r>
      <w:r>
        <w:rPr>
          <w:rFonts w:ascii="宋体" w:hAnsi="宋体"/>
          <w:sz w:val="24"/>
        </w:rPr>
        <w:lastRenderedPageBreak/>
        <w:t>责监察公司的风险管理措施的执行。具体而言，包括如下组成部分：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（8）业务部门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7" w:name="_Toc235443135"/>
      <w:r>
        <w:rPr>
          <w:rFonts w:ascii="Times New Roman" w:hAnsi="Times New Roman"/>
          <w:sz w:val="30"/>
        </w:rPr>
        <w:lastRenderedPageBreak/>
        <w:t>四、基金托管人</w:t>
      </w:r>
      <w:bookmarkEnd w:id="7"/>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截止2025年9月30日，上海浦东发展银行证券投资基金托管规模为15490.37亿元，托管证券投资基金共523只。</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8" w:name="_Toc235443136"/>
      <w:r>
        <w:rPr>
          <w:rFonts w:ascii="Times New Roman" w:hAnsi="Times New Roman"/>
          <w:sz w:val="30"/>
        </w:rPr>
        <w:lastRenderedPageBreak/>
        <w:t>五、相关服务机构</w:t>
      </w:r>
      <w:bookmarkEnd w:id="8"/>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（3）名称：东方财富证券股份有限公司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（4）名称：中信建投证券股份有限公司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（5）名称：华宝证券股份有限公司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（6）名称：国金证券股份有限公司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（7）名称：中信证券（山东）有限责任公司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（8）名称：中信证券华南股份有限公司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网址：www.gzs.com.cn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（10）名称：上海中欧财富基金销售有限公司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（11）名称：济安财富（北京）基金销售有限公司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（12）名称：博时财富基金销售有限公司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电话：0755-83169999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（13）名称：大连网金基金销售有限公司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（14）名称：阳光人寿保险股份有限公司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（15）名称：玄元保险代理有限公司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网址：www.licaimofang.cn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（16）名称：京东肯特瑞基金销售有限公司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（17）名称：和耕传承基金销售有限公司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（18）名称：腾安基金销售（深圳）有限公司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（19）名称：珠海盈米基金销售有限公司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（20）名称：上海华夏财富投资管理有限公司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（21）名称：北京度小满基金销售有限公司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（22）名称：南京苏宁基金销售有限公司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（23）名称：北京汇成基金销售有限公司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（24）名称：上海利得基金销售有限公司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（25）名称：上海挖财基金销售有限公司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邮编：200120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（26）名称：万家财富基金销售（天津）有限公司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（27）名称：上海万得基金销售有限公司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（28）名称：北京雪球基金销售有限公司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网址：danjuanfunds.com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（29）名称：中证金牛（北京）基金销售有限公司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（30）名称：上海证达通基金销售有限公司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（31）名称：北京创金启富基金销售有限公司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（32）名称：奕丰基金销售有限公司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w:t>
      </w:r>
      <w:r>
        <w:rPr>
          <w:rFonts w:ascii="宋体" w:hAnsi="宋体"/>
          <w:sz w:val="24"/>
        </w:rPr>
        <w:lastRenderedPageBreak/>
        <w:t>书有限公司）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（33）名称：上海天天基金销售有限公司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（34）名称：和讯信息科技有限公司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（35）名称：诺亚正行基金销售有限公司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电话：（021）80358523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（36）名称：上海好买基金销售有限公司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（37）名称：上海长量基金销售有限公司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（38）名称：深圳众禄基金销售股份有限公司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网址：www.zlfund.cn，www.jjmmw.com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（39）名称：蚂蚁（杭州）基金销售有限公司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（40）名称：深圳市新兰德证券投资咨询有限公司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（41）名称：北京展恒基金销售股份有限公司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（42）名称：泛华普益基金销售有限公司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办公地址：成都市金牛区花照壁西顺街399号1栋1单元龙湖西宸天街B座1201号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（43）名称：上海联泰基金销售有限公司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（44）名称：宜信普泽（北京）基金销售有限公司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（45）名称：浙江同花顺基金销售有限公司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传真：（0571）86800423</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（46）名称：上海基煜基金销售有限公司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（47）名称：中信期货有限公司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电话：（010）50938782</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9" w:name="_Toc235443137"/>
      <w:r>
        <w:rPr>
          <w:rFonts w:ascii="Times New Roman" w:hAnsi="Times New Roman"/>
          <w:sz w:val="30"/>
        </w:rPr>
        <w:lastRenderedPageBreak/>
        <w:t>六、基金的募集</w:t>
      </w:r>
      <w:bookmarkEnd w:id="9"/>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本基金由基金管理人依照《基金法》、《运作办法》、《销售办法》、基金合同及其他有关规定，并经中国证监会2023年8月9日证监许可【2023】1741号文准予募集注册。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本基金2023年12月4日至2023年12月22日进行发售，本基金设立募集期共募集18,598,076.63份基金份额，有效认购户数为2,895户。</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0" w:name="_Toc235443138"/>
      <w:r>
        <w:rPr>
          <w:rFonts w:ascii="Times New Roman" w:hAnsi="Times New Roman"/>
          <w:sz w:val="30"/>
        </w:rPr>
        <w:lastRenderedPageBreak/>
        <w:t>七、基金合同的生效</w:t>
      </w:r>
      <w:bookmarkEnd w:id="10"/>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根据有关规定，本基金满足基金合同生效条件，基金合同已于2023年12月27日正式生效。自基金合同生效之日起，本基金管理人正式开始管理本基金。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1" w:name="_Toc235443139"/>
      <w:r>
        <w:rPr>
          <w:rFonts w:ascii="Times New Roman" w:hAnsi="Times New Roman"/>
          <w:sz w:val="30"/>
        </w:rPr>
        <w:lastRenderedPageBreak/>
        <w:t>八、基金份额的申购与赎回</w:t>
      </w:r>
      <w:bookmarkEnd w:id="11"/>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若该工作日为非港股通交易</w:t>
      </w:r>
      <w:r>
        <w:rPr>
          <w:rFonts w:ascii="宋体" w:hAnsi="宋体"/>
          <w:sz w:val="24"/>
        </w:rPr>
        <w:lastRenderedPageBreak/>
        <w:t>日，则本基金可不开放），但基金管理人根据法律法规、中国证监会的要求或基金合同的规定公告暂停申购、赎回时除外。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本基金已于2024年3月18日起开放申购业务。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本基金已于2024年3月27日起开放赎回业务。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投资人可以多次申购本基金，申购费用按每笔申购申请单独计算。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于不受最短持有期限制的红利再投资所得基金份额，对持续持有期少于7日的投资者收取1.5%的赎回费，并全额计入基金财产。对持续持有期大于等于3个月但少于6个月的投资人所收取的赎回费，将赎回费总额的50%计入基金财产。其余用于支付登记费和其他必要的手续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个月（含）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个月，最短持有期限届满后，本基金C类基金份额不收取赎回费。其中，对于不受最短持有期限制的红利再投资所得基金份额，对持续持有期少于7日的投资者收取1.5%的赎回费，并全额计入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例四：某投资者（非养老金客户）投资100,000元申购本基金的A类基金份额，假设申购当日A类基金份额净值为1.0400元，申购费率为1.5%，则其可得到的申购份额为：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即：某投资者（非养老金客户）投资100,000元申购本基金的A类基金份额，假设申购当日A类基金份额净值为1.0400元，则其可得到94,732.86份A类基金份额。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例五：某养老金客户投资1,000,000元通过基金管理人的直销柜台申购本基金的A类基金份额，假设申购当日A类基金份额净值为1.0400元，申购费率为0.36%，则其可得到的申购份额为：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净申购金额=1,000,000/（1+0.36%）=996,412.91元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申购费用=1,000,000-996,412.91=3,587.09元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申购份额=（1,000,000-3,587.09）/1.0400=958,089.34份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即：该养老金客户投资1,000,000元通过基金管理人的直销柜台申购本基金的A类基金份额，假设申购当日A类基金份额净值为1.0400元，则其可得到958,089.34份A类基金份额。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例七：某投资者赎回持有的10,000份A类基金份额，持有期限为三个月，对应的赎回费率为0.5%，假设赎回当日A类基金份额净值是1.0160元，则其可得到的赎回金额为：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即：投资者赎回本基金10,000份A类基金份额，持有期限为三个月，对应的赎回费率为0.5%，假设赎回当日A类基金份额净值是1.0160元，则其可得到的赎回金额为10,109.20元。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例八：某投资者赎回持有的10,000份C类基金份额，持有期限为三个月，对应的赎回费率为0，假设赎回当日C类基金份额净值是1.0160元，则其可得到的赎回金额为：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即：投资者赎回本基金10,000份C类基金份额，持有期限为三个月，对应的赎回费率为0，假设赎回当日C类基金份额净值是1.0160元，则其可得到的赎回金额为10,160.00元。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基金管理人、基金管理人高级管理人员或基金经理等人员作为发起资金提供方除外）持有基金份额的比例超过50%，或者变相规避50%集中度的。出现上述情形时，基金管理人有权将上述申购申请全部或部分确认失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9、法律法规规定、中国证监会认定或基金合同约定的其他情形。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w:t>
      </w:r>
      <w:r>
        <w:rPr>
          <w:rFonts w:ascii="宋体" w:hAnsi="宋体"/>
          <w:sz w:val="24"/>
        </w:rPr>
        <w:lastRenderedPageBreak/>
        <w:t>基金份额超过前一开放日的基金总份额的20%时，本基金管理人有权采取如下措施：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w:t>
      </w:r>
      <w:r>
        <w:rPr>
          <w:rFonts w:ascii="宋体" w:hAnsi="宋体"/>
          <w:sz w:val="24"/>
        </w:rPr>
        <w:lastRenderedPageBreak/>
        <w:t>管理人管理的其他基金之间的转换业务，基金转换可以收取一定的转换费，相关规则由基金管理人届时根据相关法律法规及基金合同的规定制定并公告，并提前告知基金托管人与相关机构。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本基金2024年3月14日刊登公告自2024年3月18日起开通定期定额投资计划业务，具体开通销售机构名单和业务规则参见相关公告。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2" w:name="_Toc235443140"/>
      <w:r>
        <w:rPr>
          <w:rFonts w:ascii="Times New Roman" w:hAnsi="Times New Roman"/>
          <w:sz w:val="30"/>
        </w:rPr>
        <w:lastRenderedPageBreak/>
        <w:t>九、基金的投资</w:t>
      </w:r>
      <w:bookmarkEnd w:id="12"/>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本基金为基金中基金，在严格控制风险的前提下，充分发挥专业研究与管理能力，力争为投资者提供长期稳健的投资回报。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上述混合型基金需符合下列两个条件之一：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1、基金合同中约定股票投资占基金资产的比例不低于60%；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2、最近四个季度披露的股票投资占基金资产的比例均不低于60%的混合型基金。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w:t>
      </w:r>
      <w:r>
        <w:rPr>
          <w:rFonts w:ascii="宋体" w:hAnsi="宋体"/>
          <w:sz w:val="24"/>
        </w:rPr>
        <w:lastRenderedPageBreak/>
        <w:t>实的基本面分析和深入的实地调研，以定性与定量相结合的方法对公司价值进行综合评估。通过对重点上市公司进行内在价值的评估和成长性跟踪研究，在明确的价值评估基础上精选优秀质地的投资标的。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w:t>
      </w:r>
      <w:r>
        <w:rPr>
          <w:rFonts w:ascii="宋体" w:hAnsi="宋体"/>
          <w:sz w:val="24"/>
        </w:rPr>
        <w:lastRenderedPageBreak/>
        <w:t>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得超过基金资产的15%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（8）本基金持有一家公司发行的证券（同一家公司在内地和香港同时上市的A+H股合并计算，不含本基金所投资的基金份额），其市值不超过基金资产净值的10%；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w:t>
      </w:r>
      <w:r>
        <w:rPr>
          <w:rFonts w:ascii="宋体" w:hAnsi="宋体"/>
          <w:sz w:val="24"/>
        </w:rPr>
        <w:lastRenderedPageBreak/>
        <w:t>的15%；因证券市场波动、上市公司股票停牌、基金规模变动等基金管理人之外的因素致使基金不符合该比例限制的，基金管理人不得主动新增流动性受限资产的投资；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（19）本基金资产总值不超过基金资产净值的140%；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w:t>
      </w:r>
      <w:r>
        <w:rPr>
          <w:rFonts w:ascii="宋体" w:hAnsi="宋体"/>
          <w:sz w:val="24"/>
        </w:rPr>
        <w:lastRenderedPageBreak/>
        <w:t>同的约定。基金托管人对基金的投资的监督与检查自基金合同生效之日起开始。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或变更上述限制，如适用于本基金，基金管理人在履行适当程序后，则本基金投资不再受相关限制或以变更后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90%×中证偏股型基金指数收益率+2%×恒生指数收益率+8%×中债综合全价指数收益率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恒生指数是由恒生指数服务有限公司编制，以香港股票市场中的50家上市股票为成份股样本，以其发行量为权数的加权平均股价指数，是反映香港股市价幅趋势最有影响的一种股价指数。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w:t>
      </w:r>
      <w:r>
        <w:rPr>
          <w:rFonts w:ascii="宋体" w:hAnsi="宋体"/>
          <w:sz w:val="24"/>
        </w:rPr>
        <w:lastRenderedPageBreak/>
        <w:t>意见后，可以依照法律法规及基金合同的约定启用侧袋机制。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基金管理人的董事会及董事保证本报告所载资料不存在虚假记载、误导性陈述或重大遗漏，并对其内容的真实性、准确性和完整性承担个别及连带责任。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基金托管人上海浦东发展银行股份有限公司根据本基金合同规定，于2025年10月27日复核了本报告中的财务指标、净值表现和投资组合报告等内容，保证复核内容不存在虚假记载、误导性陈述或者重大遗漏。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本报告期自2025年07月01日起至09月30日止。本报告财务资料未经审计师审计。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20,981,730.00</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92.70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1,211,623.79</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5.35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1,211,623.79</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5.35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-63.78</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144,973.24</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296,541.09</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1.31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22,634,804.34</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1,109,049.68</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102,574.11</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102,574.11</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1,211,623.79</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5.45</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202,485.10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201,546.25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201,268.66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2513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200,395.56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国开</w:t>
            </w:r>
            <w:r>
              <w:rPr>
                <w:rFonts w:ascii="Times New Roman" w:hAnsi="Times New Roman"/>
                <w:color w:val="000000"/>
                <w:kern w:val="0"/>
                <w:sz w:val="25"/>
                <w:szCs w:val="24"/>
              </w:rPr>
              <w:t>2101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102,574.11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8、报告期末按公允价值占基金资产净值比例大小排序的前五名权证投资明细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2025年07月25日,国家外汇管理局北京市分局公示京汇罚[2025]30号行政处罚决定书,给予国家开发银行罚没合计1394.42万元人民币的行政处罚。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11.2 基金投资的前十名股票是否超出基金合同规定的备选股票库</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3,014.74</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262,569.25</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30,957.10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296,541.09</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3" w:name="_Toc235443141"/>
      <w:r>
        <w:rPr>
          <w:rFonts w:ascii="Times New Roman" w:hAnsi="Times New Roman"/>
          <w:sz w:val="30"/>
        </w:rPr>
        <w:lastRenderedPageBreak/>
        <w:t>十、基金的业绩</w:t>
      </w:r>
      <w:bookmarkEnd w:id="13"/>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1、基金份额净值收益率及其与同期业绩比较基准收益率的比较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交银智选进取三个月持有期混合发起（FOF）A：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35.60%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23.69%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11.91%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2.73%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5.29%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-2.56%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7.22%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4.56%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3.15%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交银智选进取三个月持有期混合发起（FOF）C：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35.46%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23.69%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11.77%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5.29%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6.79%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4.56%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651F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3.15%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-3.14%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bl>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注：本基金的业绩比较基准为90%×中证偏股型基金指数收益率+2%×恒生指数收益率+8%×中债综合全价指数收益率，每日进行再平衡过程。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2、自基金合同生效以来基金份额累计净值收益率变动及其与同期业绩比较基准收益率变动的比较</w:t>
      </w:r>
    </w:p>
    <w:p w:rsidR="00651F1C" w:rsidRDefault="0004543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交银施罗德智选进取三个月持有期混合型发起式基金中基金（FOF）</w:t>
      </w:r>
    </w:p>
    <w:p w:rsidR="00651F1C" w:rsidRDefault="0004543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651F1C" w:rsidRDefault="0004543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（2023年12月27日至2025年09月30日）</w:t>
      </w:r>
    </w:p>
    <w:p w:rsidR="00651F1C" w:rsidRDefault="0004543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交银智选进取三个月持有期混合发起（FOF）A</w:t>
      </w:r>
    </w:p>
    <w:p w:rsidR="00651F1C" w:rsidRDefault="00FD09C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651F1C" w:rsidRDefault="0004543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交银智选进取三个月持有期混合发起（FOF）C</w:t>
      </w:r>
    </w:p>
    <w:p w:rsidR="00651F1C" w:rsidRDefault="00FD09C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4" w:name="_Toc235443142"/>
      <w:r>
        <w:rPr>
          <w:rFonts w:ascii="Times New Roman" w:hAnsi="Times New Roman"/>
          <w:sz w:val="30"/>
        </w:rPr>
        <w:lastRenderedPageBreak/>
        <w:t>十一、基金的财产</w:t>
      </w:r>
      <w:bookmarkEnd w:id="14"/>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5" w:name="_Toc235443143"/>
      <w:r>
        <w:rPr>
          <w:rFonts w:ascii="Times New Roman" w:hAnsi="Times New Roman"/>
          <w:sz w:val="30"/>
        </w:rPr>
        <w:lastRenderedPageBreak/>
        <w:t>十二、基金资产的估值</w:t>
      </w:r>
      <w:bookmarkEnd w:id="15"/>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8、当发生大额申购或赎回情形时，基金管理人可以采用摆动定价机制，以确保基金估值的公平性。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该类基金份额的基金资产净值除以估值日该类基金份额的余额数量计算，精确到0.0001元，小数点后第5位四舍五入。基金管理人可以设立大额赎回情形下的净值精度应急调整机制，具体可参见相关公告。国家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6" w:name="_Toc235443144"/>
      <w:r>
        <w:rPr>
          <w:rFonts w:ascii="Times New Roman" w:hAnsi="Times New Roman"/>
          <w:sz w:val="30"/>
        </w:rPr>
        <w:lastRenderedPageBreak/>
        <w:t>十三、基金收益与分配</w:t>
      </w:r>
      <w:bookmarkEnd w:id="16"/>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7" w:name="_Toc235443145"/>
      <w:r>
        <w:rPr>
          <w:rFonts w:ascii="Times New Roman" w:hAnsi="Times New Roman"/>
          <w:sz w:val="30"/>
        </w:rPr>
        <w:lastRenderedPageBreak/>
        <w:t>十四、基金的费用与税收</w:t>
      </w:r>
      <w:bookmarkEnd w:id="17"/>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11、因投资港股通标的股票而产生的各项合理费用；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1.0%年费率计提。管理费的计算方法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H＝E×1.0%÷当年天数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（2）基金托管人的托管费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（4）上述“（一）基金费用的种类”中第3－8项，第10－12项费用，根据有关法规及相应协议规定，按费用实际支出金额列入当期费用，由基金托管人从基金财产中支付。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2、与基金销售有关的费用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8" w:name="_Toc235443146"/>
      <w:r>
        <w:rPr>
          <w:rFonts w:ascii="Times New Roman" w:hAnsi="Times New Roman"/>
          <w:sz w:val="30"/>
        </w:rPr>
        <w:lastRenderedPageBreak/>
        <w:t>十五、基金的会计与审计</w:t>
      </w:r>
      <w:bookmarkEnd w:id="18"/>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19" w:name="_Toc235443147"/>
      <w:r>
        <w:rPr>
          <w:rFonts w:ascii="Times New Roman" w:hAnsi="Times New Roman"/>
          <w:sz w:val="30"/>
        </w:rPr>
        <w:lastRenderedPageBreak/>
        <w:t>十六、基金的信息披露</w:t>
      </w:r>
      <w:bookmarkEnd w:id="19"/>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《基金合同》生效公告中将说明基金募集情况及基金管理人股东、基金管理人、基金管理人高级管理人员或基金经理等人员持有的基金份额、承诺持有的期限等情况。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基金管理人应在年度报告、中期报告、季度报告中分别披露基金管理人股东、基金管理人、基金管理人高级管理人员或基金经理等人员持有基金的份额、期限及</w:t>
      </w:r>
      <w:r>
        <w:rPr>
          <w:rFonts w:ascii="宋体" w:hAnsi="宋体"/>
          <w:sz w:val="24"/>
        </w:rPr>
        <w:lastRenderedPageBreak/>
        <w:t>期间的变动情况。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w:t>
      </w:r>
      <w:r>
        <w:rPr>
          <w:rFonts w:ascii="宋体" w:hAnsi="宋体"/>
          <w:sz w:val="24"/>
        </w:rPr>
        <w:lastRenderedPageBreak/>
        <w:t>重大行政处罚、刑事处罚，基金托管人或其专门基金托管部门负责人因基金托管业务相关行为受到重大行政处罚、刑事处罚；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（25）《基金合同》生效三年后继续存续的，基金存续期内，连续30、40、45个工作日出现基金份额持有人数量不满200人或者基金资产净值低于5000万元情形；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基金管理人、基金托管人应当建立健全信息披露管理制度，指定专门部门及高级管理人员负责管理信息披露事务。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0" w:name="_Toc235443148"/>
      <w:r>
        <w:rPr>
          <w:rFonts w:ascii="Times New Roman" w:hAnsi="Times New Roman"/>
          <w:sz w:val="30"/>
        </w:rPr>
        <w:lastRenderedPageBreak/>
        <w:t>十七、侧袋机制</w:t>
      </w:r>
      <w:bookmarkEnd w:id="20"/>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51F1C" w:rsidRDefault="0004543D">
      <w:pPr>
        <w:pStyle w:val="1"/>
        <w:snapToGrid w:val="0"/>
        <w:spacing w:beforeLines="0" w:before="240" w:after="240"/>
        <w:rPr>
          <w:rFonts w:ascii="宋体" w:hAnsi="宋体"/>
          <w:szCs w:val="30"/>
        </w:rPr>
      </w:pPr>
      <w:bookmarkStart w:id="21" w:name="_Toc235443149"/>
      <w:r>
        <w:rPr>
          <w:rFonts w:ascii="Times New Roman" w:hAnsi="Times New Roman"/>
          <w:sz w:val="30"/>
        </w:rPr>
        <w:lastRenderedPageBreak/>
        <w:t>十八、风险揭示</w:t>
      </w:r>
      <w:bookmarkEnd w:id="21"/>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三个月，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三个月后月度对日（含该日）开始办理赎回，具体业务办理时间在赎回开始公告中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三个月的基金份额数量，则基金份额持有人的赎回申请将全部被予以拒绝。基金份额持有人需承担赎回申请失败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w:t>
      </w:r>
      <w:r>
        <w:rPr>
          <w:rFonts w:ascii="宋体" w:hAnsi="宋体"/>
          <w:sz w:val="24"/>
        </w:rPr>
        <w:lastRenderedPageBreak/>
        <w:t>金资产的比例为60%-95%（其中投资于港股通标的股票的比例占股票资产的0%-50%）；投资于香港互认基金的比例不超过基金资产的20%；投资于货币市场基金的比例不超过本基金资产净值的15%。因此本基金所持有的基金的业绩表现、持有基金的基金管理人水平等因素将影响到本基金的基金业绩表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w:t>
      </w:r>
      <w:r>
        <w:rPr>
          <w:rFonts w:ascii="宋体" w:hAnsi="宋体"/>
          <w:sz w:val="24"/>
        </w:rPr>
        <w:lastRenderedPageBreak/>
        <w:t>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发起式基金，《基金合同》生效之日起三年后的对应日，基金资产净值低于2亿元，或《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w:t>
      </w:r>
      <w:r>
        <w:rPr>
          <w:rFonts w:ascii="宋体" w:hAnsi="宋体"/>
          <w:sz w:val="24"/>
        </w:rPr>
        <w:lastRenderedPageBreak/>
        <w:t>率和卖出参考汇率，并不等于最终结算汇率。港股通交易日日终，中国证券登记结算有限责任公司进行净额换汇，将换汇成本按成交金额分摊至每笔交易，确定交易实际适用的结算汇率。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w:t>
      </w:r>
      <w:r>
        <w:rPr>
          <w:rFonts w:ascii="宋体" w:hAnsi="宋体"/>
          <w:sz w:val="24"/>
        </w:rPr>
        <w:lastRenderedPageBreak/>
        <w:t>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w:t>
      </w:r>
      <w:r>
        <w:rPr>
          <w:rFonts w:ascii="宋体" w:hAnsi="宋体"/>
          <w:sz w:val="24"/>
        </w:rPr>
        <w:lastRenderedPageBreak/>
        <w:t>个股大量流通盘导致个股流动性较差，基金组合存在无法及时变现及其他相关流动性风险。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w:t>
      </w:r>
      <w:r>
        <w:rPr>
          <w:rFonts w:ascii="宋体" w:hAnsi="宋体"/>
          <w:sz w:val="24"/>
        </w:rPr>
        <w:lastRenderedPageBreak/>
        <w:t>构的风险等级评价与基金法律文件中风险收益特征的表述可能存在不同，投资者在购买本基金时需按照销售机构的要求完成风险承受能力与产品风险之间的匹配检验。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（十四）其他风险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2" w:name="_Toc235443150"/>
      <w:r>
        <w:rPr>
          <w:rFonts w:ascii="Times New Roman" w:hAnsi="Times New Roman"/>
          <w:sz w:val="30"/>
        </w:rPr>
        <w:lastRenderedPageBreak/>
        <w:t>十九、基金合同的变更、终止与基金财产的清算</w:t>
      </w:r>
      <w:bookmarkEnd w:id="22"/>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3" w:name="_Toc235443151"/>
      <w:r>
        <w:rPr>
          <w:rFonts w:ascii="Times New Roman" w:hAnsi="Times New Roman"/>
          <w:sz w:val="30"/>
        </w:rPr>
        <w:lastRenderedPageBreak/>
        <w:t>二十、基金合同内容摘要</w:t>
      </w:r>
      <w:bookmarkEnd w:id="23"/>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11）发起资金提供方持有认购的基金份额的期限自《基金合同》生效日起不少于3年；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12）法律法规及中国证监会规定的和《基金合同》约定的其他义务。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2）在法律法规和《基金合同》规定的范围内调整本基金的申购费率、调低赎回费率、调低基金销售服务费、在对现有基金份额持有人利益无实质性不利影响的前提下变更收费方式；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6）在符合法律法规及本基金合同规定、并且对基金份额持有人利益无实质性不利影响的前提下，调整本基金份额类别的设置；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基金份额持有人大会决议自生效之日起依照《信息披露办法》的规定在规定媒介上公告。如果采用通讯方式进行表决，在公告基金份额持有人大会决议时，必须将公证书全文、公证机构、公证员姓名等一同公告。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（5）现场开会由出席大会的基金份额持有人和代理人所持表决权的50%以上（含50%）选举产生一名基金份额持有人或代理人作为该次基金份额持有人大会的主持人；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 2 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w:t>
      </w:r>
      <w:r>
        <w:rPr>
          <w:rFonts w:ascii="宋体" w:hAnsi="宋体"/>
          <w:sz w:val="24"/>
        </w:rPr>
        <w:lastRenderedPageBreak/>
        <w:t>现基金份额持有人数量不满200人或者基金资产净值低于5000万元情形的，基金合同终止，不需召开基金份额持有人大会；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w:t>
      </w:r>
      <w:r>
        <w:rPr>
          <w:rFonts w:ascii="宋体" w:hAnsi="宋体"/>
          <w:sz w:val="24"/>
        </w:rPr>
        <w:lastRenderedPageBreak/>
        <w:t>比例进行分配。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由败诉方承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4" w:name="_Toc235443152"/>
      <w:r>
        <w:rPr>
          <w:rFonts w:ascii="Times New Roman" w:hAnsi="Times New Roman"/>
          <w:sz w:val="30"/>
        </w:rPr>
        <w:lastRenderedPageBreak/>
        <w:t>二十一、托管协议的内容摘要</w:t>
      </w:r>
      <w:bookmarkEnd w:id="24"/>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批准设立机关和批准设立文号：中国人民银行银复（1992）350号文</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w:t>
      </w:r>
      <w:r>
        <w:rPr>
          <w:rFonts w:ascii="宋体" w:hAnsi="宋体"/>
          <w:sz w:val="24"/>
        </w:rPr>
        <w:lastRenderedPageBreak/>
        <w:t>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上述混合型基金需符合下列两个条件之一：</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1）基金合同中约定股票投资占基金资产的比例不低于60%；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2）最近四个季度披露的股票投资占基金资产的比例均不低于60%的混合型基金。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得超过基金资产的15%；</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8）本基金持有一家公司发行的证券（同一家公司在内地和香港同时上市的A+H股合并计算，不含本基金所投资的基金份额），其市值不超过基金资产净值的10%；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w:t>
      </w:r>
      <w:r>
        <w:rPr>
          <w:rFonts w:ascii="宋体" w:hAnsi="宋体"/>
          <w:sz w:val="24"/>
        </w:rPr>
        <w:lastRenderedPageBreak/>
        <w:t>规定的比例限制；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19）本基金资产总值不超过基金资产净值的140%；</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w:t>
      </w:r>
      <w:r>
        <w:rPr>
          <w:rFonts w:ascii="宋体" w:hAnsi="宋体"/>
          <w:sz w:val="24"/>
        </w:rPr>
        <w:lastRenderedPageBreak/>
        <w:t>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或变更上述限制，如适用于本基金，基金管理人在履行适当程序后，则本基金投资不再受相关限制或以变更后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上述指标的监督义务，仅限于监督由基金管理人管理且由基金托管人托管的全部公募基金是否符合上述比例限制。《基金法》及其他有关法律法规或监管部门取消上述限制的，如适用于本基金，基金管理人在履行适当程序后，则本基金投资不再受相关限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如法律、行政法规或监管部门取消或变更上述禁止性规定，如适用于本基金，基金管理人在履行适当程序后可不受上述规定的限制或以变更后的规定为准。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6.基金托管人依据有关法律法规的规定和《基金合同》的约定，对基金银行存款业务进行监督。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w:t>
      </w:r>
      <w:r>
        <w:rPr>
          <w:rFonts w:ascii="宋体" w:hAnsi="宋体"/>
          <w:sz w:val="24"/>
        </w:rPr>
        <w:lastRenderedPageBreak/>
        <w:t>义存在不同。就流动性受限资产定义，请参照基金合同的“第二部分 释义”部分。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w:t>
      </w:r>
      <w:r>
        <w:rPr>
          <w:rFonts w:ascii="宋体" w:hAnsi="宋体"/>
          <w:sz w:val="24"/>
        </w:rPr>
        <w:lastRenderedPageBreak/>
        <w:t>个工作日将有关资料书面提交基金托管人，并保证向基金托管人提供的有关资料真实、准确、完整。有关资料如有调整，基金管理人应及时提供调整后的资料。上述书面资料包括但不限于：</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2）有关非公开发行股票的发行数量、发行价格、锁定期等发行资料。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3）基金拟认购的数量、价格、总成本、账面价值。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4）该基金投资流通受限证券的投资额度和投资比例控制。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w:t>
      </w:r>
      <w:r>
        <w:rPr>
          <w:rFonts w:ascii="宋体" w:hAnsi="宋体"/>
          <w:sz w:val="24"/>
        </w:rPr>
        <w:lastRenderedPageBreak/>
        <w:t>人发出回函，进行解释或举证。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基金账户及投资所需其他账户、是否复核基金管理人计算的基金资产净值和各类基金份额净值、是否根据基金管理人指令办理清算交收、进行相关信息披露和监督基金投资运作等行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w:t>
      </w:r>
      <w:r>
        <w:rPr>
          <w:rFonts w:ascii="宋体" w:hAnsi="宋体"/>
          <w:sz w:val="24"/>
        </w:rPr>
        <w:lastRenderedPageBreak/>
        <w:t>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（3）基金托管人按照规定为托管的基金财产开设资金账户、证券账户、基金账户及投资所需其他账户。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发起</w:t>
      </w:r>
      <w:r>
        <w:rPr>
          <w:rFonts w:ascii="宋体" w:hAnsi="宋体"/>
          <w:sz w:val="24"/>
        </w:rPr>
        <w:lastRenderedPageBreak/>
        <w:t>资金提供方认购金额及其承诺的持有期限符合《基金法》、《运作办法》等有关规定后，由基金管理人聘请符合《中华人民共和国证券法》规定的会计师事务所进行验资，出具验资报告，会计师事务所提交的验资报告需对发起资金提供方及其持有份额进行专门说明。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w:t>
      </w:r>
      <w:r>
        <w:rPr>
          <w:rFonts w:ascii="宋体" w:hAnsi="宋体"/>
          <w:sz w:val="24"/>
        </w:rPr>
        <w:lastRenderedPageBreak/>
        <w:t>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w:t>
      </w:r>
      <w:r>
        <w:rPr>
          <w:rFonts w:ascii="宋体" w:hAnsi="宋体"/>
          <w:sz w:val="24"/>
        </w:rPr>
        <w:lastRenderedPageBreak/>
        <w:t>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估值日，该类基金份额的基金资产净值除以估值日该类基金份额的余额数量计算，精确到0.0001元，小数点后第5位四舍五入。基金管理人可以设立大额赎回情形下的净值精度应急调整机制，具体可参见相关公告。国家另有规定的，从其规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w:t>
      </w:r>
      <w:r>
        <w:rPr>
          <w:rFonts w:ascii="宋体" w:hAnsi="宋体"/>
          <w:sz w:val="24"/>
        </w:rPr>
        <w:lastRenderedPageBreak/>
        <w:t>见，按照基金管理人对基金净值信息的计算结果对外予以公布。法律法规以及监管部门有强制规定的，从其规定。如有新增事项，按国家最新规定估值。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当相关法律法规或《基金合同》规定的估值方法不能客观反映基金财产公允价值时，基金管理人可根据具体情况，并与基金托管人商定后，按最能反映公允价值的价格估值。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w:t>
      </w:r>
      <w:r>
        <w:rPr>
          <w:rFonts w:ascii="宋体" w:hAnsi="宋体"/>
          <w:sz w:val="24"/>
        </w:rPr>
        <w:lastRenderedPageBreak/>
        <w:t>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（5）法律法规、中国证监会和《基金合同》认定的其他情形。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w:t>
      </w:r>
      <w:r>
        <w:rPr>
          <w:rFonts w:ascii="宋体" w:hAnsi="宋体"/>
          <w:sz w:val="24"/>
        </w:rPr>
        <w:lastRenderedPageBreak/>
        <w:t>时无法查找到错账的原因而影响到基金净值信息的计算和公告的，以基金管理人的账册为准。</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6、基金定期报告、基金招募说明书的编制和复核</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w:t>
      </w:r>
      <w:r>
        <w:rPr>
          <w:rFonts w:ascii="宋体" w:hAnsi="宋体"/>
          <w:sz w:val="24"/>
        </w:rPr>
        <w:lastRenderedPageBreak/>
        <w:t>金合同》终止日、基金份额持有人大会权益登记日、每年6月30日、12月31日的基金份额持有人名册。基金份额持有人名册的内容必须包括基金份额持有人的名称和持有的基金份额。</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编制中期报告和年度报告前，基金管理人应将每年6月30日、12月31日的基金份额持有人名册送交基金托管人，文件方式可以采用电子或文档的形式并且保证其的真实、准确、完整。基金托管人应妥善保管，不得将持有人名册用于基金托管业务以外的其他用途。</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2）基金托管人解散、依法被撤销、破产或有其他基金托管人接管基金资产；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1）支付清算费用；</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4、基金财产清算账册及文件的保存</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5" w:name="_Toc235443153"/>
      <w:r>
        <w:rPr>
          <w:rFonts w:ascii="Times New Roman" w:hAnsi="Times New Roman"/>
          <w:sz w:val="30"/>
        </w:rPr>
        <w:lastRenderedPageBreak/>
        <w:t>二十二、对基金份额持有人的服务</w:t>
      </w:r>
      <w:bookmarkEnd w:id="25"/>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本基金未开通转换业务，具体实施方法请参见相关公告。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如本招募说明书存在任何您/贵机构无法理解的内容，请通过上述方式联系基金管理人。请确保投资前，您/贵机构已经全面理解了本招募说明书。</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6" w:name="_Toc235443154"/>
      <w:r>
        <w:rPr>
          <w:rFonts w:ascii="Times New Roman" w:hAnsi="Times New Roman"/>
          <w:sz w:val="30"/>
        </w:rPr>
        <w:lastRenderedPageBreak/>
        <w:t>二十三、其他应披露事项</w:t>
      </w:r>
      <w:bookmarkEnd w:id="26"/>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）暂停申购、赎回和定期定额投资业务的公告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）调整净值披露时间和申购赎回确认时间的公告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交银施罗德基金管理有限公司关于增加中信建投证券股份有限公司为旗下基金的销售机构的公告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2025-04-18</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51F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交银施罗德智选进取三个月持有期混合型发起式基金中基金（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51F1C" w:rsidRDefault="000454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7" w:name="_Toc235443155"/>
      <w:r>
        <w:rPr>
          <w:rFonts w:ascii="Times New Roman" w:hAnsi="Times New Roman"/>
          <w:sz w:val="30"/>
        </w:rPr>
        <w:lastRenderedPageBreak/>
        <w:t>二十四、招募说明书的存放及查阅方式</w:t>
      </w:r>
      <w:bookmarkEnd w:id="27"/>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04543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51F1C" w:rsidRDefault="0004543D">
      <w:pPr>
        <w:pStyle w:val="1"/>
        <w:snapToGrid w:val="0"/>
        <w:spacing w:beforeLines="0" w:before="240" w:after="240"/>
        <w:rPr>
          <w:rFonts w:ascii="宋体" w:hAnsi="宋体"/>
          <w:szCs w:val="30"/>
        </w:rPr>
      </w:pPr>
      <w:bookmarkStart w:id="28" w:name="_Toc235443156"/>
      <w:r>
        <w:rPr>
          <w:rFonts w:ascii="Times New Roman" w:hAnsi="Times New Roman"/>
          <w:sz w:val="30"/>
        </w:rPr>
        <w:lastRenderedPageBreak/>
        <w:t>二十五、备查文件</w:t>
      </w:r>
      <w:bookmarkEnd w:id="28"/>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（一）中国证监会准予交银施罗德智选进取三个月持有期混合型发起式基金中基金（FOF）募集注册的文件</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（二）《交银施罗德智选进取三个月持有期混合型发起式基金中基金（FOF）基金合同》</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（三）《交银施罗德智选进取三个月持有期混合型发起式基金中基金（FOF）托管协议》</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51F1C" w:rsidRDefault="0004543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（六）关于申请募集注册交银施罗德智选进取三个月持有期混合型发起式基金中基金（FOF）的法律意见书</w:t>
      </w:r>
    </w:p>
    <w:sectPr w:rsidR="00651F1C">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B96" w:rsidRDefault="0004543D">
      <w:r>
        <w:separator/>
      </w:r>
    </w:p>
  </w:endnote>
  <w:endnote w:type="continuationSeparator" w:id="0">
    <w:p w:rsidR="00391B96" w:rsidRDefault="00045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651F1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FD09C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51F1C" w:rsidRDefault="0004543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D09CF">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651F1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FD09C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51F1C" w:rsidRDefault="0004543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D09CF">
                  <w:rPr>
                    <w:rFonts w:ascii="Times New Roman" w:hAnsi="Times New Roman"/>
                    <w:noProof/>
                    <w:kern w:val="0"/>
                    <w:sz w:val="18"/>
                    <w:szCs w:val="18"/>
                  </w:rPr>
                  <w:t>146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B96" w:rsidRDefault="0004543D">
      <w:r>
        <w:separator/>
      </w:r>
    </w:p>
  </w:footnote>
  <w:footnote w:type="continuationSeparator" w:id="0">
    <w:p w:rsidR="00391B96" w:rsidRDefault="00045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651F1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04543D">
    <w:pPr>
      <w:pStyle w:val="a3"/>
      <w:jc w:val="right"/>
      <w:rPr>
        <w:rFonts w:ascii="宋体" w:hAnsi="宋体"/>
      </w:rPr>
    </w:pPr>
    <w:r>
      <w:rPr>
        <w:rFonts w:ascii="宋体" w:hAnsi="宋体" w:hint="eastAsia"/>
      </w:rPr>
      <w:t>交银施罗德智选进取三个月持有期混合型发起式基金中基金（FOF）招募说明书更新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651F1C">
    <w:pPr>
      <w:pStyle w:val="10"/>
      <w:jc w:val="right"/>
    </w:pPr>
  </w:p>
  <w:p w:rsidR="00651F1C" w:rsidRDefault="00651F1C">
    <w:pPr>
      <w:pStyle w:val="10"/>
      <w:jc w:val="right"/>
    </w:pPr>
  </w:p>
  <w:p w:rsidR="00651F1C" w:rsidRDefault="00651F1C">
    <w:pPr>
      <w:pStyle w:val="a3"/>
      <w:jc w:val="right"/>
    </w:pPr>
  </w:p>
  <w:p w:rsidR="00651F1C" w:rsidRDefault="0004543D">
    <w:pPr>
      <w:pStyle w:val="a3"/>
      <w:jc w:val="right"/>
      <w:rPr>
        <w:rFonts w:ascii="宋体" w:hAnsi="宋体"/>
      </w:rPr>
    </w:pPr>
    <w:r>
      <w:rPr>
        <w:rFonts w:ascii="宋体" w:hAnsi="宋体" w:hint="eastAsia"/>
      </w:rPr>
      <w:t>交银施罗德智选进取三个月持有期混合型发起式基金中基金（FOF）招募说明书更新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F1C" w:rsidRDefault="00651F1C">
    <w:pPr>
      <w:pStyle w:val="a3"/>
      <w:jc w:val="right"/>
    </w:pPr>
  </w:p>
  <w:p w:rsidR="00651F1C" w:rsidRDefault="00651F1C">
    <w:pPr>
      <w:pStyle w:val="a3"/>
      <w:jc w:val="right"/>
    </w:pPr>
  </w:p>
  <w:p w:rsidR="00651F1C" w:rsidRDefault="00651F1C">
    <w:pPr>
      <w:pStyle w:val="a3"/>
      <w:jc w:val="right"/>
    </w:pPr>
  </w:p>
  <w:p w:rsidR="00651F1C" w:rsidRDefault="0004543D">
    <w:pPr>
      <w:pStyle w:val="a3"/>
      <w:jc w:val="right"/>
      <w:rPr>
        <w:rFonts w:ascii="宋体" w:hAnsi="宋体"/>
      </w:rPr>
    </w:pPr>
    <w:r>
      <w:rPr>
        <w:rFonts w:ascii="宋体" w:hAnsi="宋体" w:hint="eastAsia"/>
      </w:rPr>
      <w:t>交银施罗德智选进取三个月持有期混合型发起式基金中基金（FOF）招募说明书更新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43D"/>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1B96"/>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1F1C"/>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09CF"/>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EDEC2D19-25B2-4AD4-8904-14B190EA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147</Pages>
  <Words>16046</Words>
  <Characters>91467</Characters>
  <Application>Microsoft Office Word</Application>
  <DocSecurity>0</DocSecurity>
  <Lines>762</Lines>
  <Paragraphs>214</Paragraphs>
  <ScaleCrop>false</ScaleCrop>
  <Company>Microsoft</Company>
  <LinksUpToDate>false</LinksUpToDate>
  <CharactersWithSpaces>107299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2026-07-20T04:31:00Z</dcterms:created>
  <dcterms:modified xsi:type="dcterms:W3CDTF">2026-07-20T04:31:00Z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