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299"/>
        <w:gridCol w:w="1574"/>
        <w:gridCol w:w="3272"/>
        <w:gridCol w:w="192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501210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上海证券交易所/2021-11-19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场内简称：智选FOF；扩位简称：交银智选星光FOF；交易代码：501210。</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A类基金份额的场外基金简称变更为“交银智选星光混合（FOF-LOF）A”，场内基金简称仍为“智选FOF”，场内基金扩位简称仍为“交银智选星光FOF”，基金代码仍为“501210”。</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3、本基金A类基金份额的场内申购费率由场内销售机构参照A类基金份额的场外申购费率设定，本基金A类基金份额的场内赎回费率参照A类基金份额场外赎回费率执行。</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（1）基金上市交易的风险</w:t>
      </w:r>
    </w:p>
    <w:p>
      <w:pPr>
        <w:ind w:firstLine="420"/>
        <w:jc w:val="left"/>
        <w:rPr>
          <w:rFonts w:ascii="仿宋_GB2312" w:eastAsia="仿宋_GB2312"/>
          <w:szCs w:val="21"/>
        </w:rPr>
      </w:pPr>
      <w:r>
        <w:rPr>
          <w:rFonts w:hint="eastAsia" w:ascii="仿宋_GB2312" w:eastAsia="仿宋_GB2312"/>
          <w:szCs w:val="21"/>
        </w:rPr>
        <w:t>本基金A类基金份额在符合相关法律法规要求的前提下将申请在上海证券交易所挂牌上市，由于上市期间可能因信息披露导致基金停牌，投资者在停牌期间不能买卖本基金上市交易份额，产生风险；同时，可能因上市后交易对手不足而产生流动性风险。</w:t>
      </w:r>
    </w:p>
    <w:p>
      <w:pPr>
        <w:ind w:firstLine="420"/>
        <w:jc w:val="left"/>
        <w:rPr>
          <w:rFonts w:ascii="仿宋_GB2312" w:eastAsia="仿宋_GB2312"/>
          <w:szCs w:val="21"/>
        </w:rPr>
      </w:pPr>
      <w:r>
        <w:rPr>
          <w:rFonts w:hint="eastAsia" w:ascii="仿宋_GB2312" w:eastAsia="仿宋_GB2312"/>
          <w:szCs w:val="21"/>
        </w:rPr>
        <w:t>（2）基金份额二级市场交易价格折溢价的风险</w:t>
      </w:r>
    </w:p>
    <w:p>
      <w:pPr>
        <w:ind w:firstLine="420"/>
        <w:jc w:val="left"/>
        <w:rPr>
          <w:rFonts w:ascii="仿宋_GB2312" w:eastAsia="仿宋_GB2312"/>
          <w:szCs w:val="21"/>
        </w:rPr>
      </w:pPr>
      <w:r>
        <w:rPr>
          <w:rFonts w:hint="eastAsia" w:ascii="仿宋_GB2312" w:eastAsia="仿宋_GB2312"/>
          <w:szCs w:val="21"/>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pPr>
        <w:ind w:firstLine="420"/>
        <w:jc w:val="left"/>
        <w:rPr>
          <w:rFonts w:ascii="仿宋_GB2312" w:eastAsia="仿宋_GB2312"/>
          <w:szCs w:val="21"/>
        </w:rPr>
      </w:pPr>
      <w:r>
        <w:rPr>
          <w:rFonts w:hint="eastAsia" w:ascii="仿宋_GB2312" w:eastAsia="仿宋_GB2312"/>
          <w:szCs w:val="21"/>
        </w:rPr>
        <w:t>（3）退市风险</w:t>
      </w:r>
    </w:p>
    <w:p>
      <w:pPr>
        <w:ind w:firstLine="420"/>
        <w:jc w:val="left"/>
        <w:rPr>
          <w:rFonts w:ascii="仿宋_GB2312" w:eastAsia="仿宋_GB2312"/>
          <w:szCs w:val="21"/>
        </w:rPr>
      </w:pPr>
      <w:r>
        <w:rPr>
          <w:rFonts w:hint="eastAsia" w:ascii="仿宋_GB2312" w:eastAsia="仿宋_GB2312"/>
          <w:szCs w:val="21"/>
        </w:rPr>
        <w:t>因本基金A类基金份额不再符合证券交易所上市条件被终止上市，或被基金份额持有人大会决议提前终止上市，导致A类基金份额不能继续进行二级市场交易的风险。</w:t>
      </w:r>
    </w:p>
    <w:p>
      <w:pPr>
        <w:ind w:firstLine="420"/>
        <w:jc w:val="left"/>
        <w:rPr>
          <w:rFonts w:ascii="仿宋_GB2312" w:eastAsia="仿宋_GB2312"/>
          <w:szCs w:val="21"/>
        </w:rPr>
      </w:pPr>
      <w:r>
        <w:rPr>
          <w:rFonts w:hint="eastAsia" w:ascii="仿宋_GB2312" w:eastAsia="仿宋_GB2312"/>
          <w:szCs w:val="21"/>
        </w:rPr>
        <w:t>（4）基金合同生效后一年之内（含一年）为封闭期，在此期间投资者不能申购、赎回基金份额，但可在A类基金份额上市交易后通过上海证券交易所转让A类基金份额。本基金封闭期结束转为开放式运作后，投资人方可进行A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F5AFC"/>
    <w:rsid w:val="00F75715"/>
    <w:rsid w:val="00F811C4"/>
    <w:rsid w:val="00FC2918"/>
    <w:rsid w:val="68495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1067</Words>
  <Characters>6084</Characters>
  <Lines>50</Lines>
  <Paragraphs>14</Paragraphs>
  <TotalTime>0</TotalTime>
  <ScaleCrop>false</ScaleCrop>
  <LinksUpToDate>false</LinksUpToDate>
  <CharactersWithSpaces>7137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2026-07-20T04:31:00Z</dcterms:created>
  <dc:creator>Cc</dc:creator>
  <cp:lastModifiedBy>haotingting</cp:lastModifiedBy>
  <dcterms:modified xsi:type="dcterms:W3CDTF">2026-07-20T07:04:00Z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DE66513E1DBD4301B2F91F534A116338</vt:lpwstr>
  </property>
</Properties>
</file>