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61ED6">
      <w:pPr>
        <w:jc w:val="center"/>
        <w:outlineLvl w:val="0"/>
        <w:rPr>
          <w:rFonts w:hint="eastAsia" w:ascii="黑体" w:hAnsi="黑体" w:eastAsia="黑体"/>
          <w:b/>
          <w:sz w:val="36"/>
          <w:lang w:eastAsia="zh-CN"/>
        </w:rPr>
      </w:pPr>
      <w:bookmarkStart w:id="0" w:name="_GoBack"/>
      <w:bookmarkEnd w:id="0"/>
      <w:r>
        <w:rPr>
          <w:rFonts w:hint="eastAsia" w:ascii="黑体" w:hAnsi="黑体" w:eastAsia="黑体"/>
          <w:b/>
          <w:sz w:val="36"/>
          <w:lang w:eastAsia="zh-CN"/>
        </w:rPr>
        <w:t>交银施罗德消费研选混合型发起式证券投资基金</w:t>
      </w:r>
    </w:p>
    <w:p w14:paraId="6EC86337">
      <w:pPr>
        <w:jc w:val="center"/>
        <w:outlineLvl w:val="0"/>
        <w:rPr>
          <w:rFonts w:ascii="黑体" w:hAnsi="黑体" w:eastAsia="黑体"/>
          <w:b/>
          <w:sz w:val="36"/>
        </w:rPr>
      </w:pPr>
      <w:r>
        <w:rPr>
          <w:rFonts w:hint="eastAsia" w:ascii="黑体" w:hAnsi="黑体" w:eastAsia="黑体"/>
          <w:b/>
          <w:sz w:val="36"/>
        </w:rPr>
        <w:t>（C类份额）基金产品资料概要</w:t>
      </w:r>
    </w:p>
    <w:p w14:paraId="24DAE737">
      <w:pPr>
        <w:jc w:val="right"/>
        <w:rPr>
          <w:rFonts w:hint="default" w:ascii="仿宋_GB2312" w:hAnsi="宋体" w:eastAsia="仿宋_GB2312" w:cs="宋体"/>
          <w:kern w:val="0"/>
          <w:sz w:val="24"/>
          <w:szCs w:val="24"/>
          <w:highlight w:val="none"/>
          <w:lang w:val="en-US" w:eastAsia="zh-CN"/>
        </w:rPr>
      </w:pPr>
      <w:r>
        <w:rPr>
          <w:rFonts w:hint="eastAsia" w:ascii="方正仿宋简体" w:hAnsi="方正仿宋简体" w:eastAsia="方正仿宋简体" w:cs="方正仿宋简体"/>
          <w:iCs/>
          <w:sz w:val="24"/>
          <w:szCs w:val="24"/>
          <w:highlight w:val="none"/>
        </w:rPr>
        <w:t>编制日期：</w:t>
      </w:r>
      <w:r>
        <w:rPr>
          <w:rFonts w:hint="eastAsia" w:ascii="Times New Roman" w:hAnsi="Times New Roman" w:eastAsia="仿宋_GB2312" w:cs="宋体"/>
          <w:kern w:val="0"/>
          <w:sz w:val="24"/>
          <w:szCs w:val="24"/>
          <w:highlight w:val="none"/>
        </w:rPr>
        <w:t>20</w:t>
      </w:r>
      <w:r>
        <w:rPr>
          <w:rFonts w:hint="eastAsia" w:ascii="Times New Roman" w:hAnsi="Times New Roman" w:eastAsia="仿宋_GB2312" w:cs="宋体"/>
          <w:kern w:val="0"/>
          <w:sz w:val="24"/>
          <w:szCs w:val="24"/>
          <w:highlight w:val="none"/>
          <w:lang w:val="en-US" w:eastAsia="zh-CN"/>
        </w:rPr>
        <w:t>26-</w:t>
      </w:r>
      <w:r>
        <w:rPr>
          <w:rFonts w:hint="eastAsia" w:ascii="Times New Roman" w:hAnsi="Times New Roman" w:eastAsia="仿宋_GB2312" w:cs="宋体"/>
          <w:kern w:val="0"/>
          <w:sz w:val="24"/>
          <w:szCs w:val="24"/>
          <w:highlight w:val="none"/>
          <w:lang w:val="en-US" w:eastAsia="zh-CN"/>
        </w:rPr>
        <w:t>07</w:t>
      </w:r>
      <w:r>
        <w:rPr>
          <w:rFonts w:hint="eastAsia" w:ascii="Times New Roman" w:hAnsi="Times New Roman" w:eastAsia="仿宋_GB2312" w:cs="宋体"/>
          <w:kern w:val="0"/>
          <w:sz w:val="24"/>
          <w:szCs w:val="24"/>
          <w:highlight w:val="none"/>
          <w:lang w:val="en-US" w:eastAsia="zh-CN"/>
        </w:rPr>
        <w:t>-</w:t>
      </w:r>
      <w:r>
        <w:rPr>
          <w:rFonts w:hint="eastAsia" w:ascii="Times New Roman" w:hAnsi="Times New Roman" w:eastAsia="仿宋_GB2312" w:cs="宋体"/>
          <w:kern w:val="0"/>
          <w:sz w:val="24"/>
          <w:szCs w:val="24"/>
          <w:highlight w:val="none"/>
          <w:lang w:val="en-US" w:eastAsia="zh-CN"/>
        </w:rPr>
        <w:t>17</w:t>
      </w:r>
    </w:p>
    <w:p w14:paraId="00501DCC">
      <w:pPr>
        <w:jc w:val="center"/>
        <w:outlineLvl w:val="0"/>
        <w:rPr>
          <w:rFonts w:hint="default" w:ascii="方正仿宋简体" w:hAnsi="方正仿宋简体" w:eastAsia="仿宋_GB2312" w:cs="方正仿宋简体"/>
          <w:iCs/>
          <w:sz w:val="24"/>
          <w:szCs w:val="24"/>
          <w:highlight w:val="none"/>
          <w:lang w:val="en-US" w:eastAsia="zh-CN"/>
        </w:rPr>
      </w:pPr>
      <w:r>
        <w:rPr>
          <w:rFonts w:ascii="方正仿宋简体" w:hAnsi="方正仿宋简体" w:eastAsia="方正仿宋简体" w:cs="方正仿宋简体"/>
          <w:iCs/>
          <w:sz w:val="24"/>
          <w:szCs w:val="24"/>
          <w:highlight w:val="none"/>
        </w:rPr>
        <w:t>送出日期：</w:t>
      </w:r>
      <w:r>
        <w:rPr>
          <w:rFonts w:hint="eastAsia" w:ascii="Times New Roman" w:hAnsi="Times New Roman" w:eastAsia="仿宋_GB2312" w:cs="宋体"/>
          <w:kern w:val="0"/>
          <w:sz w:val="24"/>
          <w:szCs w:val="24"/>
          <w:highlight w:val="none"/>
        </w:rPr>
        <w:t>20</w:t>
      </w:r>
      <w:r>
        <w:rPr>
          <w:rFonts w:hint="eastAsia" w:ascii="Times New Roman" w:hAnsi="Times New Roman" w:eastAsia="仿宋_GB2312" w:cs="宋体"/>
          <w:kern w:val="0"/>
          <w:sz w:val="24"/>
          <w:szCs w:val="24"/>
          <w:highlight w:val="none"/>
          <w:lang w:val="en-US" w:eastAsia="zh-CN"/>
        </w:rPr>
        <w:t>26-</w:t>
      </w:r>
      <w:r>
        <w:rPr>
          <w:rFonts w:hint="eastAsia" w:ascii="Times New Roman" w:hAnsi="Times New Roman" w:eastAsia="仿宋_GB2312" w:cs="宋体"/>
          <w:kern w:val="0"/>
          <w:sz w:val="24"/>
          <w:szCs w:val="24"/>
          <w:highlight w:val="none"/>
          <w:lang w:val="en-US" w:eastAsia="zh-CN"/>
        </w:rPr>
        <w:t>07</w:t>
      </w:r>
      <w:r>
        <w:rPr>
          <w:rFonts w:hint="eastAsia" w:ascii="Times New Roman" w:hAnsi="Times New Roman" w:eastAsia="仿宋_GB2312" w:cs="宋体"/>
          <w:kern w:val="0"/>
          <w:sz w:val="24"/>
          <w:szCs w:val="24"/>
          <w:highlight w:val="none"/>
          <w:lang w:val="en-US" w:eastAsia="zh-CN"/>
        </w:rPr>
        <w:t>-</w:t>
      </w:r>
      <w:r>
        <w:rPr>
          <w:rFonts w:hint="eastAsia" w:ascii="Times New Roman" w:hAnsi="Times New Roman" w:eastAsia="仿宋_GB2312" w:cs="宋体"/>
          <w:kern w:val="0"/>
          <w:sz w:val="24"/>
          <w:szCs w:val="24"/>
          <w:highlight w:val="none"/>
          <w:lang w:val="en-US" w:eastAsia="zh-CN"/>
        </w:rPr>
        <w:t>20</w:t>
      </w:r>
    </w:p>
    <w:p w14:paraId="1CF57EFF">
      <w:pPr>
        <w:autoSpaceDE w:val="0"/>
        <w:autoSpaceDN w:val="0"/>
        <w:adjustRightInd w:val="0"/>
        <w:jc w:val="center"/>
        <w:outlineLvl w:val="0"/>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14:paraId="69077FCF">
      <w:pPr>
        <w:jc w:val="center"/>
        <w:outlineLvl w:val="0"/>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14:paraId="63A82883">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8"/>
        <w:gridCol w:w="1772"/>
        <w:gridCol w:w="3065"/>
        <w:gridCol w:w="1887"/>
      </w:tblGrid>
      <w:tr w14:paraId="6BB2723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3F1F6D26">
            <w:pPr>
              <w:widowControl/>
              <w:jc w:val="left"/>
              <w:rPr>
                <w:rFonts w:ascii="仿宋_GB2312" w:eastAsia="仿宋_GB2312"/>
                <w:sz w:val="24"/>
                <w:szCs w:val="24"/>
              </w:rPr>
            </w:pPr>
            <w:r>
              <w:rPr>
                <w:rFonts w:hint="eastAsia" w:ascii="仿宋_GB2312" w:eastAsia="仿宋_GB2312"/>
                <w:sz w:val="24"/>
                <w:szCs w:val="24"/>
              </w:rPr>
              <w:t>基金简称</w:t>
            </w:r>
          </w:p>
        </w:tc>
        <w:tc>
          <w:tcPr>
            <w:tcW w:w="1772" w:type="dxa"/>
            <w:vAlign w:val="center"/>
          </w:tcPr>
          <w:p w14:paraId="7418D956">
            <w:pPr>
              <w:rPr>
                <w:rFonts w:ascii="仿宋_GB2312" w:eastAsia="仿宋_GB2312"/>
                <w:sz w:val="24"/>
                <w:szCs w:val="24"/>
              </w:rPr>
            </w:pPr>
            <w:r>
              <w:rPr>
                <w:rFonts w:hint="eastAsia" w:ascii="仿宋_GB2312" w:eastAsia="仿宋_GB2312"/>
                <w:sz w:val="24"/>
                <w:szCs w:val="24"/>
              </w:rPr>
              <w:t>交银</w:t>
            </w:r>
            <w:r>
              <w:rPr>
                <w:rFonts w:hint="eastAsia" w:ascii="仿宋_GB2312" w:eastAsia="仿宋_GB2312"/>
                <w:sz w:val="24"/>
                <w:szCs w:val="24"/>
                <w:lang w:val="en-US" w:eastAsia="zh-CN"/>
              </w:rPr>
              <w:t>消费研选混合发起</w:t>
            </w:r>
            <w:r>
              <w:rPr>
                <w:rFonts w:hint="eastAsia" w:ascii="仿宋_GB2312" w:eastAsia="仿宋_GB2312"/>
                <w:sz w:val="24"/>
                <w:szCs w:val="24"/>
              </w:rPr>
              <w:t>C</w:t>
            </w:r>
          </w:p>
        </w:tc>
        <w:tc>
          <w:tcPr>
            <w:tcW w:w="3065" w:type="dxa"/>
            <w:vAlign w:val="center"/>
          </w:tcPr>
          <w:p w14:paraId="633567D6">
            <w:pPr>
              <w:rPr>
                <w:rFonts w:ascii="仿宋_GB2312" w:hAnsi="宋体" w:eastAsia="仿宋_GB2312" w:cs="宋体"/>
                <w:sz w:val="24"/>
                <w:szCs w:val="24"/>
              </w:rPr>
            </w:pPr>
            <w:r>
              <w:rPr>
                <w:rFonts w:hint="eastAsia" w:ascii="仿宋_GB2312" w:eastAsia="仿宋_GB2312"/>
                <w:sz w:val="24"/>
                <w:szCs w:val="24"/>
              </w:rPr>
              <w:t>基金代码</w:t>
            </w:r>
          </w:p>
        </w:tc>
        <w:tc>
          <w:tcPr>
            <w:tcW w:w="1887" w:type="dxa"/>
            <w:vAlign w:val="center"/>
          </w:tcPr>
          <w:p w14:paraId="499CB378">
            <w:pPr>
              <w:rPr>
                <w:rFonts w:hint="default" w:ascii="仿宋_GB2312" w:eastAsia="仿宋_GB2312"/>
                <w:sz w:val="24"/>
                <w:szCs w:val="24"/>
                <w:lang w:val="en-US"/>
              </w:rPr>
            </w:pPr>
            <w:r>
              <w:rPr>
                <w:rFonts w:hint="eastAsia" w:ascii="仿宋_GB2312" w:eastAsia="仿宋_GB2312"/>
                <w:sz w:val="24"/>
                <w:szCs w:val="24"/>
                <w:highlight w:val="none"/>
                <w:lang w:val="en-US" w:eastAsia="zh-CN"/>
              </w:rPr>
              <w:t>028444</w:t>
            </w:r>
          </w:p>
        </w:tc>
      </w:tr>
      <w:tr w14:paraId="7006658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3FCD1A54">
            <w:pPr>
              <w:rPr>
                <w:rFonts w:ascii="仿宋_GB2312" w:eastAsia="仿宋_GB2312"/>
                <w:sz w:val="24"/>
                <w:szCs w:val="24"/>
              </w:rPr>
            </w:pPr>
            <w:r>
              <w:rPr>
                <w:rFonts w:hint="eastAsia" w:ascii="仿宋_GB2312" w:eastAsia="仿宋_GB2312"/>
                <w:sz w:val="24"/>
                <w:szCs w:val="24"/>
              </w:rPr>
              <w:t>基金管理人</w:t>
            </w:r>
          </w:p>
        </w:tc>
        <w:tc>
          <w:tcPr>
            <w:tcW w:w="1772" w:type="dxa"/>
            <w:vAlign w:val="center"/>
          </w:tcPr>
          <w:p w14:paraId="4E83AD1C">
            <w:pPr>
              <w:rPr>
                <w:rFonts w:ascii="仿宋_GB2312" w:eastAsia="仿宋_GB2312"/>
                <w:sz w:val="24"/>
                <w:szCs w:val="24"/>
              </w:rPr>
            </w:pPr>
            <w:r>
              <w:rPr>
                <w:rFonts w:hint="eastAsia" w:ascii="仿宋_GB2312" w:eastAsia="仿宋_GB2312"/>
                <w:sz w:val="24"/>
                <w:szCs w:val="24"/>
              </w:rPr>
              <w:t>交银施罗德基金管理有限公司</w:t>
            </w:r>
          </w:p>
        </w:tc>
        <w:tc>
          <w:tcPr>
            <w:tcW w:w="3065" w:type="dxa"/>
            <w:vAlign w:val="center"/>
          </w:tcPr>
          <w:p w14:paraId="3B7F1FAE">
            <w:pPr>
              <w:rPr>
                <w:rFonts w:ascii="仿宋_GB2312" w:hAnsi="宋体" w:eastAsia="仿宋_GB2312" w:cs="宋体"/>
                <w:sz w:val="24"/>
                <w:szCs w:val="24"/>
              </w:rPr>
            </w:pPr>
            <w:r>
              <w:rPr>
                <w:rFonts w:hint="eastAsia" w:ascii="仿宋_GB2312" w:eastAsia="仿宋_GB2312"/>
                <w:sz w:val="24"/>
                <w:szCs w:val="24"/>
              </w:rPr>
              <w:t>基金托管人</w:t>
            </w:r>
          </w:p>
        </w:tc>
        <w:tc>
          <w:tcPr>
            <w:tcW w:w="1887" w:type="dxa"/>
            <w:vAlign w:val="center"/>
          </w:tcPr>
          <w:p w14:paraId="4F032CC4">
            <w:pPr>
              <w:rPr>
                <w:rFonts w:ascii="仿宋_GB2312" w:eastAsia="仿宋_GB2312"/>
                <w:sz w:val="24"/>
                <w:szCs w:val="24"/>
              </w:rPr>
            </w:pPr>
            <w:r>
              <w:rPr>
                <w:rFonts w:hint="eastAsia" w:ascii="仿宋_GB2312" w:eastAsia="仿宋_GB2312"/>
                <w:sz w:val="24"/>
                <w:szCs w:val="24"/>
                <w:lang w:eastAsia="zh-CN"/>
              </w:rPr>
              <w:t>中国农业银行</w:t>
            </w:r>
            <w:r>
              <w:rPr>
                <w:rFonts w:hint="eastAsia" w:ascii="仿宋_GB2312" w:eastAsia="仿宋_GB2312"/>
                <w:sz w:val="24"/>
                <w:szCs w:val="24"/>
              </w:rPr>
              <w:t>股份有限公司</w:t>
            </w:r>
          </w:p>
        </w:tc>
      </w:tr>
      <w:tr w14:paraId="7EFA925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4952" w:type="dxa"/>
          <w:jc w:val="center"/>
        </w:trPr>
        <w:tc>
          <w:tcPr>
            <w:tcW w:w="2348" w:type="dxa"/>
            <w:vAlign w:val="center"/>
          </w:tcPr>
          <w:p w14:paraId="5DC650C4">
            <w:pPr>
              <w:rPr>
                <w:rFonts w:ascii="仿宋_GB2312" w:eastAsia="仿宋_GB2312"/>
                <w:sz w:val="24"/>
                <w:szCs w:val="24"/>
              </w:rPr>
            </w:pPr>
            <w:r>
              <w:rPr>
                <w:rFonts w:hint="eastAsia" w:ascii="仿宋_GB2312" w:eastAsia="仿宋_GB2312"/>
                <w:sz w:val="24"/>
                <w:szCs w:val="24"/>
              </w:rPr>
              <w:t>基金合同生效日</w:t>
            </w:r>
          </w:p>
        </w:tc>
        <w:tc>
          <w:tcPr>
            <w:tcW w:w="1772" w:type="dxa"/>
            <w:vAlign w:val="center"/>
          </w:tcPr>
          <w:p w14:paraId="620792FD">
            <w:pPr>
              <w:rPr>
                <w:rFonts w:ascii="仿宋_GB2312" w:eastAsia="仿宋_GB2312"/>
                <w:sz w:val="24"/>
                <w:szCs w:val="24"/>
              </w:rPr>
            </w:pPr>
            <w:r>
              <w:rPr>
                <w:rFonts w:hint="eastAsia" w:ascii="仿宋_GB2312" w:eastAsia="仿宋_GB2312"/>
                <w:sz w:val="24"/>
                <w:szCs w:val="24"/>
              </w:rPr>
              <w:t>-</w:t>
            </w:r>
          </w:p>
        </w:tc>
      </w:tr>
      <w:tr w14:paraId="32E2AE8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56272CB0">
            <w:pPr>
              <w:rPr>
                <w:rFonts w:ascii="仿宋_GB2312" w:eastAsia="仿宋_GB2312"/>
                <w:sz w:val="24"/>
                <w:szCs w:val="24"/>
              </w:rPr>
            </w:pPr>
            <w:r>
              <w:rPr>
                <w:rFonts w:hint="eastAsia" w:ascii="仿宋_GB2312" w:eastAsia="仿宋_GB2312"/>
                <w:sz w:val="24"/>
                <w:szCs w:val="24"/>
              </w:rPr>
              <w:t>基金类型</w:t>
            </w:r>
          </w:p>
        </w:tc>
        <w:tc>
          <w:tcPr>
            <w:tcW w:w="1772" w:type="dxa"/>
            <w:vAlign w:val="center"/>
          </w:tcPr>
          <w:p w14:paraId="78CD3792">
            <w:pPr>
              <w:rPr>
                <w:rFonts w:ascii="仿宋_GB2312" w:eastAsia="仿宋_GB2312"/>
                <w:sz w:val="24"/>
                <w:szCs w:val="24"/>
              </w:rPr>
            </w:pPr>
            <w:r>
              <w:rPr>
                <w:rFonts w:hint="eastAsia" w:ascii="仿宋_GB2312" w:eastAsia="仿宋_GB2312"/>
                <w:sz w:val="24"/>
                <w:szCs w:val="24"/>
              </w:rPr>
              <w:t>混合型</w:t>
            </w:r>
          </w:p>
        </w:tc>
        <w:tc>
          <w:tcPr>
            <w:tcW w:w="3065" w:type="dxa"/>
            <w:vAlign w:val="center"/>
          </w:tcPr>
          <w:p w14:paraId="4E7EB882">
            <w:pPr>
              <w:rPr>
                <w:rFonts w:ascii="仿宋_GB2312" w:hAnsi="宋体" w:eastAsia="仿宋_GB2312" w:cs="宋体"/>
                <w:sz w:val="24"/>
                <w:szCs w:val="24"/>
              </w:rPr>
            </w:pPr>
            <w:r>
              <w:rPr>
                <w:rFonts w:hint="eastAsia" w:ascii="仿宋_GB2312" w:eastAsia="仿宋_GB2312"/>
                <w:sz w:val="24"/>
                <w:szCs w:val="24"/>
              </w:rPr>
              <w:t>交易币种</w:t>
            </w:r>
          </w:p>
        </w:tc>
        <w:tc>
          <w:tcPr>
            <w:tcW w:w="1887" w:type="dxa"/>
            <w:vAlign w:val="center"/>
          </w:tcPr>
          <w:p w14:paraId="3B62BCBD">
            <w:pPr>
              <w:rPr>
                <w:rFonts w:ascii="仿宋_GB2312" w:eastAsia="仿宋_GB2312"/>
                <w:sz w:val="24"/>
                <w:szCs w:val="24"/>
              </w:rPr>
            </w:pPr>
            <w:r>
              <w:rPr>
                <w:rFonts w:hint="eastAsia" w:ascii="仿宋_GB2312" w:eastAsia="仿宋_GB2312"/>
                <w:sz w:val="24"/>
                <w:szCs w:val="24"/>
              </w:rPr>
              <w:t>人民币</w:t>
            </w:r>
          </w:p>
        </w:tc>
      </w:tr>
      <w:tr w14:paraId="71E8AAB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70DFA701">
            <w:pPr>
              <w:rPr>
                <w:rFonts w:ascii="仿宋_GB2312" w:eastAsia="仿宋_GB2312"/>
                <w:sz w:val="24"/>
                <w:szCs w:val="24"/>
              </w:rPr>
            </w:pPr>
            <w:r>
              <w:rPr>
                <w:rFonts w:hint="eastAsia" w:ascii="仿宋_GB2312" w:eastAsia="仿宋_GB2312"/>
                <w:sz w:val="24"/>
                <w:szCs w:val="24"/>
              </w:rPr>
              <w:t>运作方式</w:t>
            </w:r>
          </w:p>
        </w:tc>
        <w:tc>
          <w:tcPr>
            <w:tcW w:w="1772" w:type="dxa"/>
            <w:vAlign w:val="center"/>
          </w:tcPr>
          <w:p w14:paraId="3EA2F0A9">
            <w:pPr>
              <w:rPr>
                <w:rFonts w:ascii="仿宋_GB2312" w:eastAsia="仿宋_GB2312"/>
                <w:sz w:val="24"/>
                <w:szCs w:val="24"/>
              </w:rPr>
            </w:pPr>
            <w:r>
              <w:rPr>
                <w:rFonts w:hint="eastAsia" w:ascii="仿宋_GB2312" w:eastAsia="仿宋_GB2312"/>
                <w:sz w:val="24"/>
                <w:szCs w:val="24"/>
              </w:rPr>
              <w:t>普通开放式</w:t>
            </w:r>
          </w:p>
        </w:tc>
        <w:tc>
          <w:tcPr>
            <w:tcW w:w="3065" w:type="dxa"/>
            <w:vAlign w:val="center"/>
          </w:tcPr>
          <w:p w14:paraId="659D3F3A">
            <w:pPr>
              <w:rPr>
                <w:rFonts w:ascii="仿宋_GB2312" w:hAnsi="宋体" w:eastAsia="仿宋_GB2312" w:cs="宋体"/>
                <w:sz w:val="24"/>
                <w:szCs w:val="24"/>
              </w:rPr>
            </w:pPr>
            <w:r>
              <w:rPr>
                <w:rFonts w:hint="eastAsia" w:ascii="仿宋_GB2312" w:eastAsia="仿宋_GB2312"/>
                <w:sz w:val="24"/>
                <w:szCs w:val="24"/>
              </w:rPr>
              <w:t>开放频率</w:t>
            </w:r>
          </w:p>
        </w:tc>
        <w:tc>
          <w:tcPr>
            <w:tcW w:w="1887" w:type="dxa"/>
            <w:vAlign w:val="center"/>
          </w:tcPr>
          <w:p w14:paraId="3F13F9AE">
            <w:pPr>
              <w:rPr>
                <w:rFonts w:ascii="仿宋_GB2312" w:eastAsia="仿宋_GB2312"/>
                <w:sz w:val="24"/>
                <w:szCs w:val="24"/>
              </w:rPr>
            </w:pPr>
            <w:r>
              <w:rPr>
                <w:rFonts w:hint="eastAsia" w:ascii="仿宋_GB2312" w:eastAsia="仿宋_GB2312"/>
                <w:sz w:val="24"/>
                <w:szCs w:val="24"/>
              </w:rPr>
              <w:t>每个开放日</w:t>
            </w:r>
          </w:p>
        </w:tc>
      </w:tr>
      <w:tr w14:paraId="157A99BA">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14:paraId="124BE82C">
            <w:pPr>
              <w:jc w:val="left"/>
              <w:rPr>
                <w:rFonts w:ascii="仿宋_GB2312" w:eastAsia="仿宋_GB2312"/>
                <w:sz w:val="24"/>
                <w:szCs w:val="24"/>
              </w:rPr>
            </w:pPr>
            <w:r>
              <w:rPr>
                <w:rFonts w:hint="eastAsia" w:ascii="仿宋_GB2312" w:eastAsia="仿宋_GB2312"/>
                <w:sz w:val="24"/>
                <w:szCs w:val="24"/>
              </w:rPr>
              <w:t>基金经理</w:t>
            </w:r>
          </w:p>
        </w:tc>
        <w:tc>
          <w:tcPr>
            <w:tcW w:w="1772" w:type="dxa"/>
            <w:vMerge w:val="restart"/>
          </w:tcPr>
          <w:p w14:paraId="277201EA">
            <w:pPr>
              <w:rPr>
                <w:rFonts w:hint="eastAsia" w:eastAsia="仿宋_GB2312" w:asciiTheme="majorEastAsia" w:hAnsiTheme="majorEastAsia"/>
                <w:sz w:val="24"/>
                <w:szCs w:val="24"/>
                <w:lang w:eastAsia="zh-CN"/>
              </w:rPr>
            </w:pPr>
            <w:r>
              <w:rPr>
                <w:rFonts w:hint="eastAsia" w:ascii="仿宋_GB2312" w:eastAsia="仿宋_GB2312"/>
                <w:sz w:val="24"/>
                <w:szCs w:val="24"/>
                <w:lang w:val="en-US" w:eastAsia="zh-CN"/>
              </w:rPr>
              <w:t>张程</w:t>
            </w:r>
          </w:p>
        </w:tc>
        <w:tc>
          <w:tcPr>
            <w:tcW w:w="3065" w:type="dxa"/>
          </w:tcPr>
          <w:p w14:paraId="6CD06B20">
            <w:pPr>
              <w:jc w:val="left"/>
              <w:rPr>
                <w:rFonts w:ascii="仿宋_GB2312" w:eastAsia="仿宋_GB2312"/>
                <w:sz w:val="24"/>
                <w:szCs w:val="24"/>
              </w:rPr>
            </w:pPr>
            <w:r>
              <w:rPr>
                <w:rFonts w:hint="eastAsia" w:ascii="仿宋_GB2312" w:hAnsi="宋体" w:eastAsia="仿宋_GB2312" w:cs="宋体"/>
                <w:kern w:val="0"/>
                <w:sz w:val="24"/>
                <w:szCs w:val="24"/>
              </w:rPr>
              <w:t>开始担任本基金基金经理的日期</w:t>
            </w:r>
          </w:p>
        </w:tc>
        <w:tc>
          <w:tcPr>
            <w:tcW w:w="1887" w:type="dxa"/>
          </w:tcPr>
          <w:p w14:paraId="3E1B29C6">
            <w:pPr>
              <w:jc w:val="left"/>
              <w:rPr>
                <w:rFonts w:ascii="仿宋_GB2312" w:eastAsia="仿宋_GB2312"/>
                <w:sz w:val="24"/>
                <w:szCs w:val="24"/>
              </w:rPr>
            </w:pPr>
            <w:r>
              <w:rPr>
                <w:rFonts w:hint="eastAsia" w:ascii="仿宋_GB2312" w:eastAsia="仿宋_GB2312"/>
                <w:sz w:val="24"/>
                <w:szCs w:val="24"/>
              </w:rPr>
              <w:t>-</w:t>
            </w:r>
          </w:p>
        </w:tc>
      </w:tr>
      <w:tr w14:paraId="5E91F6C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14:paraId="444E5D9B">
            <w:pPr>
              <w:jc w:val="left"/>
              <w:rPr>
                <w:rFonts w:ascii="仿宋_GB2312" w:eastAsia="仿宋_GB2312"/>
                <w:sz w:val="24"/>
                <w:szCs w:val="24"/>
              </w:rPr>
            </w:pPr>
          </w:p>
        </w:tc>
        <w:tc>
          <w:tcPr>
            <w:tcW w:w="1772" w:type="dxa"/>
            <w:vMerge w:val="continue"/>
          </w:tcPr>
          <w:p w14:paraId="71465171">
            <w:pPr>
              <w:jc w:val="left"/>
              <w:rPr>
                <w:rFonts w:ascii="仿宋_GB2312" w:eastAsia="仿宋_GB2312"/>
                <w:sz w:val="24"/>
                <w:szCs w:val="24"/>
              </w:rPr>
            </w:pPr>
          </w:p>
        </w:tc>
        <w:tc>
          <w:tcPr>
            <w:tcW w:w="3065" w:type="dxa"/>
          </w:tcPr>
          <w:p w14:paraId="63DFEAD3">
            <w:pPr>
              <w:jc w:val="left"/>
              <w:rPr>
                <w:rFonts w:ascii="仿宋_GB2312" w:eastAsia="仿宋_GB2312"/>
                <w:sz w:val="24"/>
                <w:szCs w:val="24"/>
              </w:rPr>
            </w:pPr>
            <w:r>
              <w:rPr>
                <w:rFonts w:hint="eastAsia" w:ascii="仿宋_GB2312" w:hAnsi="宋体" w:eastAsia="仿宋_GB2312" w:cs="宋体"/>
                <w:kern w:val="0"/>
                <w:sz w:val="24"/>
                <w:szCs w:val="24"/>
              </w:rPr>
              <w:t>证券从业日期</w:t>
            </w:r>
          </w:p>
        </w:tc>
        <w:tc>
          <w:tcPr>
            <w:tcW w:w="1887" w:type="dxa"/>
          </w:tcPr>
          <w:p w14:paraId="52B6F812">
            <w:pPr>
              <w:jc w:val="left"/>
              <w:rPr>
                <w:rFonts w:hint="eastAsia" w:ascii="仿宋_GB2312" w:eastAsia="仿宋_GB2312"/>
                <w:sz w:val="24"/>
                <w:szCs w:val="24"/>
                <w:lang w:eastAsia="zh-CN"/>
              </w:rPr>
            </w:pPr>
            <w:r>
              <w:rPr>
                <w:rFonts w:hint="eastAsia" w:ascii="仿宋_GB2312" w:eastAsia="仿宋_GB2312"/>
                <w:szCs w:val="21"/>
              </w:rPr>
              <w:t>20</w:t>
            </w:r>
            <w:r>
              <w:rPr>
                <w:rFonts w:hint="eastAsia" w:ascii="仿宋_GB2312" w:eastAsia="仿宋_GB2312"/>
                <w:szCs w:val="21"/>
                <w:lang w:val="en-US" w:eastAsia="zh-CN"/>
              </w:rPr>
              <w:t>20-03-02</w:t>
            </w:r>
          </w:p>
        </w:tc>
      </w:tr>
      <w:tr w14:paraId="09F6B3D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tcPr>
          <w:p w14:paraId="7254D98D">
            <w:pPr>
              <w:jc w:val="left"/>
              <w:rPr>
                <w:rFonts w:ascii="仿宋_GB2312" w:eastAsia="仿宋_GB2312"/>
                <w:sz w:val="24"/>
                <w:szCs w:val="24"/>
              </w:rPr>
            </w:pPr>
            <w:r>
              <w:rPr>
                <w:rFonts w:hint="eastAsia" w:ascii="仿宋_GB2312" w:hAnsi="宋体" w:eastAsia="仿宋_GB2312" w:cs="宋体"/>
                <w:kern w:val="0"/>
                <w:sz w:val="24"/>
                <w:szCs w:val="24"/>
              </w:rPr>
              <w:t>其他</w:t>
            </w:r>
          </w:p>
        </w:tc>
        <w:tc>
          <w:tcPr>
            <w:tcW w:w="6724" w:type="dxa"/>
            <w:gridSpan w:val="3"/>
          </w:tcPr>
          <w:p w14:paraId="0773000F">
            <w:pPr>
              <w:ind w:firstLine="420"/>
              <w:rPr>
                <w:rFonts w:hint="eastAsia" w:ascii="仿宋_GB2312" w:eastAsia="仿宋_GB2312"/>
                <w:sz w:val="24"/>
                <w:szCs w:val="24"/>
              </w:rPr>
            </w:pPr>
            <w:r>
              <w:rPr>
                <w:rFonts w:hint="eastAsia" w:ascii="仿宋_GB2312" w:eastAsia="仿宋_GB2312"/>
                <w:sz w:val="24"/>
                <w:szCs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4D0F4CF4">
            <w:pPr>
              <w:ind w:firstLine="420"/>
              <w:rPr>
                <w:rFonts w:ascii="仿宋_GB2312" w:eastAsia="仿宋_GB2312"/>
                <w:sz w:val="24"/>
                <w:szCs w:val="24"/>
              </w:rPr>
            </w:pPr>
            <w:r>
              <w:rPr>
                <w:rFonts w:hint="eastAsia" w:ascii="仿宋_GB2312" w:eastAsia="仿宋_GB2312"/>
                <w:sz w:val="24"/>
                <w:szCs w:val="24"/>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14:paraId="015D2A39">
      <w:pPr>
        <w:jc w:val="left"/>
        <w:outlineLvl w:val="0"/>
        <w:rPr>
          <w:rFonts w:ascii="仿宋_GB2312" w:eastAsia="仿宋_GB2312"/>
          <w:sz w:val="24"/>
          <w:szCs w:val="24"/>
        </w:rPr>
      </w:pPr>
      <w:r>
        <w:rPr>
          <w:rFonts w:hint="eastAsia" w:ascii="仿宋_GB2312" w:eastAsia="仿宋_GB2312"/>
          <w:sz w:val="24"/>
          <w:szCs w:val="24"/>
        </w:rPr>
        <w:t>注：本基金为偏股混合型基金。</w:t>
      </w:r>
    </w:p>
    <w:p w14:paraId="10E5B4D9">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二、基金投资与净值表现</w:t>
      </w:r>
    </w:p>
    <w:p w14:paraId="6F7809F5">
      <w:pPr>
        <w:jc w:val="left"/>
        <w:rPr>
          <w:rFonts w:ascii="仿宋_GB2312" w:eastAsia="仿宋_GB2312"/>
          <w:b/>
          <w:sz w:val="24"/>
          <w:szCs w:val="24"/>
        </w:rPr>
      </w:pPr>
      <w:r>
        <w:rPr>
          <w:rFonts w:hint="eastAsia" w:ascii="仿宋_GB2312" w:eastAsia="仿宋_GB2312"/>
          <w:b/>
          <w:sz w:val="24"/>
          <w:szCs w:val="24"/>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547"/>
        <w:gridCol w:w="6525"/>
      </w:tblGrid>
      <w:tr w14:paraId="6A23409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6BB646BB">
            <w:pPr>
              <w:widowControl/>
              <w:jc w:val="left"/>
              <w:rPr>
                <w:rFonts w:ascii="仿宋_GB2312" w:eastAsia="仿宋_GB2312"/>
                <w:sz w:val="24"/>
                <w:szCs w:val="24"/>
              </w:rPr>
            </w:pPr>
            <w:r>
              <w:rPr>
                <w:rFonts w:hint="eastAsia" w:ascii="仿宋_GB2312" w:eastAsia="仿宋_GB2312"/>
                <w:sz w:val="24"/>
                <w:szCs w:val="24"/>
              </w:rPr>
              <w:t>投资目标</w:t>
            </w:r>
          </w:p>
        </w:tc>
        <w:tc>
          <w:tcPr>
            <w:tcW w:w="6525" w:type="dxa"/>
            <w:vAlign w:val="center"/>
          </w:tcPr>
          <w:p w14:paraId="4F2CC990">
            <w:pPr>
              <w:ind w:firstLine="420"/>
              <w:jc w:val="left"/>
              <w:rPr>
                <w:rFonts w:ascii="仿宋_GB2312" w:eastAsia="仿宋_GB2312"/>
                <w:sz w:val="24"/>
                <w:szCs w:val="24"/>
              </w:rPr>
            </w:pPr>
            <w:r>
              <w:rPr>
                <w:rFonts w:hint="eastAsia" w:ascii="仿宋_GB2312" w:eastAsia="仿宋_GB2312"/>
                <w:sz w:val="24"/>
                <w:szCs w:val="24"/>
              </w:rPr>
              <w:t>本基金主要投资于</w:t>
            </w:r>
            <w:r>
              <w:rPr>
                <w:rFonts w:hint="eastAsia" w:ascii="仿宋_GB2312" w:eastAsia="仿宋_GB2312"/>
                <w:sz w:val="24"/>
                <w:szCs w:val="24"/>
                <w:lang w:eastAsia="zh-CN"/>
              </w:rPr>
              <w:t>消费</w:t>
            </w:r>
            <w:r>
              <w:rPr>
                <w:rFonts w:hint="eastAsia" w:ascii="仿宋_GB2312" w:eastAsia="仿宋_GB2312"/>
                <w:sz w:val="24"/>
                <w:szCs w:val="24"/>
              </w:rPr>
              <w:t>主题相关上市公司，在合理控制风险的前提下，充分发挥专业研究与管理能力，力争为投资者提供长期稳健的投资回报。</w:t>
            </w:r>
          </w:p>
        </w:tc>
      </w:tr>
      <w:tr w14:paraId="29350A36">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76396A96">
            <w:pPr>
              <w:rPr>
                <w:rFonts w:ascii="仿宋_GB2312" w:eastAsia="仿宋_GB2312"/>
                <w:sz w:val="24"/>
                <w:szCs w:val="24"/>
              </w:rPr>
            </w:pPr>
            <w:r>
              <w:rPr>
                <w:rFonts w:hint="eastAsia" w:ascii="仿宋_GB2312" w:eastAsia="仿宋_GB2312"/>
                <w:sz w:val="24"/>
                <w:szCs w:val="24"/>
              </w:rPr>
              <w:t>投资范围</w:t>
            </w:r>
          </w:p>
        </w:tc>
        <w:tc>
          <w:tcPr>
            <w:tcW w:w="6525" w:type="dxa"/>
            <w:vAlign w:val="center"/>
          </w:tcPr>
          <w:p w14:paraId="433DD998">
            <w:pPr>
              <w:ind w:firstLine="420"/>
              <w:rPr>
                <w:rFonts w:hint="eastAsia" w:ascii="仿宋_GB2312" w:eastAsia="仿宋_GB2312"/>
                <w:sz w:val="24"/>
                <w:szCs w:val="24"/>
              </w:rPr>
            </w:pPr>
            <w:r>
              <w:rPr>
                <w:rFonts w:hint="eastAsia" w:ascii="仿宋_GB2312" w:eastAsia="仿宋_GB2312"/>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13FE00A5">
            <w:pPr>
              <w:ind w:firstLine="420"/>
              <w:rPr>
                <w:rFonts w:hint="eastAsia" w:ascii="仿宋_GB2312" w:eastAsia="仿宋_GB2312"/>
                <w:sz w:val="24"/>
                <w:szCs w:val="24"/>
              </w:rPr>
            </w:pPr>
            <w:r>
              <w:rPr>
                <w:rFonts w:hint="eastAsia" w:ascii="仿宋_GB2312" w:eastAsia="仿宋_GB2312"/>
                <w:sz w:val="24"/>
                <w:szCs w:val="24"/>
              </w:rPr>
              <w:t>如法律法规或监管机构以后允许基金投资其他品种，基金管理人在履行适当程序后，可以将其纳入投资范围。</w:t>
            </w:r>
          </w:p>
          <w:p w14:paraId="7E40FB0B">
            <w:pPr>
              <w:ind w:firstLine="420"/>
              <w:rPr>
                <w:rFonts w:hint="eastAsia" w:ascii="仿宋_GB2312" w:eastAsia="仿宋_GB2312"/>
                <w:sz w:val="24"/>
                <w:szCs w:val="24"/>
              </w:rPr>
            </w:pPr>
            <w:r>
              <w:rPr>
                <w:rFonts w:hint="eastAsia" w:ascii="仿宋_GB2312" w:eastAsia="仿宋_GB2312"/>
                <w:sz w:val="24"/>
                <w:szCs w:val="24"/>
              </w:rPr>
              <w:t>基金的投资组合比例为：股票投资（含存托凭证）占基金资产的比例为60%-95%</w:t>
            </w:r>
            <w:r>
              <w:rPr>
                <w:rFonts w:hint="eastAsia" w:ascii="仿宋_GB2312" w:eastAsia="仿宋_GB2312"/>
                <w:sz w:val="24"/>
                <w:szCs w:val="24"/>
                <w:lang w:eastAsia="zh-CN"/>
              </w:rPr>
              <w:t>（</w:t>
            </w:r>
            <w:r>
              <w:rPr>
                <w:rFonts w:hint="eastAsia" w:ascii="仿宋_GB2312" w:eastAsia="仿宋_GB2312"/>
                <w:sz w:val="24"/>
                <w:szCs w:val="24"/>
              </w:rPr>
              <w:t>其中投资于港股通标的股票的比例占股票资产的0%-50%），投资于</w:t>
            </w:r>
            <w:r>
              <w:rPr>
                <w:rFonts w:hint="eastAsia" w:ascii="仿宋_GB2312" w:eastAsia="仿宋_GB2312"/>
                <w:sz w:val="24"/>
                <w:szCs w:val="24"/>
                <w:lang w:eastAsia="zh-CN"/>
              </w:rPr>
              <w:t>消费</w:t>
            </w:r>
            <w:r>
              <w:rPr>
                <w:rFonts w:hint="eastAsia" w:ascii="仿宋_GB2312" w:eastAsia="仿宋_GB2312"/>
                <w:sz w:val="24"/>
                <w:szCs w:val="24"/>
              </w:rPr>
              <w:t>主题相关股票（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2413A421">
            <w:pPr>
              <w:ind w:firstLine="420"/>
              <w:rPr>
                <w:rFonts w:ascii="仿宋_GB2312" w:eastAsia="仿宋_GB2312"/>
                <w:sz w:val="24"/>
                <w:szCs w:val="24"/>
              </w:rPr>
            </w:pPr>
            <w:r>
              <w:rPr>
                <w:rFonts w:hint="eastAsia" w:ascii="仿宋_GB2312" w:eastAsia="仿宋_GB2312"/>
                <w:sz w:val="24"/>
                <w:szCs w:val="24"/>
              </w:rPr>
              <w:t>如果法律法规或中国证监会变更投资品种的投资比例限制，基金管理人在履行适当程序后，可以调整上述投资品种的投资比例。</w:t>
            </w:r>
          </w:p>
        </w:tc>
      </w:tr>
      <w:tr w14:paraId="66A9480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2217D9DC">
            <w:pPr>
              <w:rPr>
                <w:rFonts w:ascii="仿宋_GB2312" w:eastAsia="仿宋_GB2312"/>
                <w:sz w:val="24"/>
                <w:szCs w:val="24"/>
              </w:rPr>
            </w:pPr>
            <w:r>
              <w:rPr>
                <w:rFonts w:hint="eastAsia" w:ascii="仿宋_GB2312" w:eastAsia="仿宋_GB2312"/>
                <w:sz w:val="24"/>
                <w:szCs w:val="24"/>
              </w:rPr>
              <w:t>主要投资策略</w:t>
            </w:r>
          </w:p>
        </w:tc>
        <w:tc>
          <w:tcPr>
            <w:tcW w:w="6525" w:type="dxa"/>
            <w:vAlign w:val="center"/>
          </w:tcPr>
          <w:p w14:paraId="0379D61F">
            <w:pPr>
              <w:ind w:firstLine="420"/>
              <w:rPr>
                <w:rFonts w:ascii="仿宋_GB2312" w:eastAsia="仿宋_GB2312"/>
                <w:sz w:val="24"/>
                <w:szCs w:val="24"/>
              </w:rPr>
            </w:pPr>
            <w:r>
              <w:rPr>
                <w:rFonts w:hint="eastAsia" w:ascii="仿宋_GB2312" w:eastAsia="仿宋_GB2312"/>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14:paraId="5F577037">
            <w:pPr>
              <w:ind w:firstLine="420"/>
              <w:rPr>
                <w:rFonts w:ascii="仿宋_GB2312" w:eastAsia="仿宋_GB2312"/>
                <w:sz w:val="24"/>
                <w:szCs w:val="24"/>
              </w:rPr>
            </w:pPr>
            <w:r>
              <w:rPr>
                <w:rFonts w:hint="eastAsia" w:ascii="仿宋_GB2312" w:eastAsia="仿宋_GB2312"/>
                <w:sz w:val="24"/>
                <w:szCs w:val="24"/>
              </w:rPr>
              <w:t>1、大类资产配置；2、股票投资策略；3、债券投资策略；4、资产支持证券投资策略；5、股指期货投资策略。</w:t>
            </w:r>
          </w:p>
        </w:tc>
      </w:tr>
      <w:tr w14:paraId="294D98C5">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12066FFC">
            <w:pPr>
              <w:rPr>
                <w:rFonts w:ascii="仿宋_GB2312" w:eastAsia="仿宋_GB2312"/>
                <w:sz w:val="24"/>
                <w:szCs w:val="24"/>
              </w:rPr>
            </w:pPr>
            <w:r>
              <w:rPr>
                <w:rFonts w:hint="eastAsia" w:ascii="仿宋_GB2312" w:eastAsia="仿宋_GB2312"/>
                <w:sz w:val="24"/>
                <w:szCs w:val="24"/>
              </w:rPr>
              <w:t>业绩比较基准</w:t>
            </w:r>
          </w:p>
        </w:tc>
        <w:tc>
          <w:tcPr>
            <w:tcW w:w="6525" w:type="dxa"/>
            <w:vAlign w:val="center"/>
          </w:tcPr>
          <w:p w14:paraId="6E88D6F4">
            <w:pPr>
              <w:ind w:firstLine="420"/>
              <w:jc w:val="left"/>
              <w:rPr>
                <w:rFonts w:ascii="仿宋_GB2312" w:eastAsia="仿宋_GB2312"/>
                <w:sz w:val="24"/>
                <w:szCs w:val="24"/>
              </w:rPr>
            </w:pPr>
            <w:r>
              <w:rPr>
                <w:rFonts w:hint="eastAsia" w:ascii="仿宋_GB2312" w:eastAsia="仿宋_GB2312"/>
                <w:sz w:val="24"/>
                <w:szCs w:val="24"/>
              </w:rPr>
              <w:t>中证内地消费主题指数收益率×60%+中证港股通消费主题指数（人民币）收益率×20%+中债-综合全价（总值）指数收益率×20%</w:t>
            </w:r>
          </w:p>
        </w:tc>
      </w:tr>
      <w:tr w14:paraId="2FBE726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44411BF1">
            <w:pPr>
              <w:rPr>
                <w:rFonts w:ascii="仿宋_GB2312" w:eastAsia="仿宋_GB2312"/>
                <w:sz w:val="24"/>
                <w:szCs w:val="24"/>
              </w:rPr>
            </w:pPr>
            <w:r>
              <w:rPr>
                <w:rFonts w:hint="eastAsia" w:ascii="仿宋_GB2312" w:eastAsia="仿宋_GB2312"/>
                <w:sz w:val="24"/>
                <w:szCs w:val="24"/>
              </w:rPr>
              <w:t>风险收益特征</w:t>
            </w:r>
          </w:p>
        </w:tc>
        <w:tc>
          <w:tcPr>
            <w:tcW w:w="6525" w:type="dxa"/>
            <w:vAlign w:val="center"/>
          </w:tcPr>
          <w:p w14:paraId="35836AB5">
            <w:pPr>
              <w:ind w:firstLine="420"/>
              <w:jc w:val="left"/>
              <w:rPr>
                <w:rFonts w:ascii="仿宋_GB2312" w:eastAsia="仿宋_GB2312"/>
                <w:sz w:val="24"/>
                <w:szCs w:val="24"/>
              </w:rPr>
            </w:pPr>
            <w:r>
              <w:rPr>
                <w:rFonts w:hint="eastAsia" w:ascii="仿宋_GB2312" w:eastAsia="仿宋_GB2312"/>
                <w:sz w:val="24"/>
                <w:szCs w:val="24"/>
              </w:rPr>
              <w:t>本基金是一只混合型基金，其预期风险和预期收益理论上高于债券型基金和货币市场基金，低于股票型基金。</w:t>
            </w:r>
          </w:p>
          <w:p w14:paraId="326B4486">
            <w:pPr>
              <w:ind w:firstLine="420"/>
              <w:jc w:val="left"/>
              <w:rPr>
                <w:rFonts w:ascii="仿宋_GB2312" w:eastAsia="仿宋_GB2312"/>
                <w:sz w:val="24"/>
                <w:szCs w:val="24"/>
              </w:rPr>
            </w:pPr>
            <w:r>
              <w:rPr>
                <w:rFonts w:hint="eastAsia" w:ascii="仿宋_GB2312" w:eastAsia="仿宋_GB2312"/>
                <w:sz w:val="24"/>
                <w:szCs w:val="24"/>
              </w:rPr>
              <w:t>本基金可投资港股通标的股票，会面临港股通机制下因投资环境、投资标的、市场制度以及交易规则等差异带来的特有风险。</w:t>
            </w:r>
          </w:p>
        </w:tc>
      </w:tr>
    </w:tbl>
    <w:p w14:paraId="5B539BB5">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w:t>
      </w:r>
      <w:r>
        <w:rPr>
          <w:rFonts w:hint="eastAsia" w:ascii="仿宋_GB2312" w:eastAsia="仿宋_GB2312"/>
          <w:sz w:val="24"/>
          <w:szCs w:val="24"/>
        </w:rPr>
        <w:t>详见《</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招募说明书》第九部分“基金的投资”。</w:t>
      </w:r>
    </w:p>
    <w:p w14:paraId="02F457DD">
      <w:pPr>
        <w:jc w:val="left"/>
        <w:rPr>
          <w:rFonts w:ascii="仿宋_GB2312" w:eastAsia="仿宋_GB2312"/>
          <w:b/>
          <w:sz w:val="24"/>
          <w:szCs w:val="24"/>
        </w:rPr>
      </w:pPr>
      <w:r>
        <w:rPr>
          <w:rFonts w:hint="eastAsia" w:ascii="仿宋_GB2312" w:eastAsia="仿宋_GB2312"/>
          <w:b/>
          <w:sz w:val="24"/>
          <w:szCs w:val="24"/>
        </w:rPr>
        <w:t>（二）投资组合资产配置图表/区域配置图表</w:t>
      </w:r>
    </w:p>
    <w:p w14:paraId="66D40E3F">
      <w:pPr>
        <w:jc w:val="left"/>
        <w:rPr>
          <w:rFonts w:ascii="仿宋_GB2312" w:eastAsia="仿宋_GB2312"/>
          <w:sz w:val="24"/>
          <w:szCs w:val="24"/>
        </w:rPr>
      </w:pPr>
      <w:r>
        <w:rPr>
          <w:rFonts w:hint="eastAsia" w:ascii="仿宋_GB2312" w:eastAsia="仿宋_GB2312"/>
          <w:sz w:val="24"/>
          <w:szCs w:val="24"/>
        </w:rPr>
        <w:t>无。</w:t>
      </w:r>
    </w:p>
    <w:p w14:paraId="13D73DA4">
      <w:pPr>
        <w:jc w:val="left"/>
        <w:rPr>
          <w:rFonts w:ascii="仿宋_GB2312" w:eastAsia="仿宋_GB2312"/>
          <w:b/>
          <w:sz w:val="24"/>
          <w:szCs w:val="24"/>
        </w:rPr>
      </w:pPr>
      <w:r>
        <w:rPr>
          <w:rFonts w:hint="eastAsia" w:ascii="仿宋_GB2312" w:eastAsia="仿宋_GB2312"/>
          <w:b/>
          <w:sz w:val="24"/>
          <w:szCs w:val="24"/>
        </w:rPr>
        <w:t>（三）自基金合同生效以来/最近十年（孰短）基金每年的净值增长率及与同期业绩比较基准的比较图</w:t>
      </w:r>
    </w:p>
    <w:p w14:paraId="53F5D243">
      <w:pPr>
        <w:jc w:val="left"/>
        <w:rPr>
          <w:rFonts w:ascii="仿宋_GB2312" w:eastAsia="仿宋_GB2312"/>
          <w:sz w:val="24"/>
          <w:szCs w:val="24"/>
        </w:rPr>
      </w:pPr>
      <w:r>
        <w:rPr>
          <w:rFonts w:hint="eastAsia" w:ascii="仿宋_GB2312" w:eastAsia="仿宋_GB2312"/>
          <w:sz w:val="24"/>
          <w:szCs w:val="24"/>
        </w:rPr>
        <w:t>无。</w:t>
      </w:r>
    </w:p>
    <w:p w14:paraId="0F981EAD">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三、投资本基金涉及的费用</w:t>
      </w:r>
    </w:p>
    <w:p w14:paraId="72AA84CB">
      <w:pPr>
        <w:jc w:val="left"/>
        <w:outlineLvl w:val="1"/>
        <w:rPr>
          <w:rFonts w:ascii="仿宋_GB2312" w:hAnsi="宋体" w:eastAsia="仿宋_GB2312" w:cs="宋体"/>
          <w:b/>
          <w:kern w:val="0"/>
          <w:sz w:val="24"/>
          <w:szCs w:val="24"/>
        </w:rPr>
      </w:pPr>
      <w:r>
        <w:rPr>
          <w:rFonts w:hint="eastAsia" w:ascii="仿宋_GB2312" w:hAnsi="宋体" w:eastAsia="仿宋_GB2312" w:cs="宋体"/>
          <w:b/>
          <w:kern w:val="0"/>
          <w:sz w:val="24"/>
          <w:szCs w:val="24"/>
        </w:rPr>
        <w:t>（一）基金销售相关费用</w:t>
      </w:r>
    </w:p>
    <w:p w14:paraId="0419EA4B">
      <w:pPr>
        <w:jc w:val="left"/>
        <w:rPr>
          <w:rFonts w:ascii="仿宋_GB2312" w:eastAsia="仿宋_GB2312"/>
          <w:sz w:val="24"/>
          <w:szCs w:val="24"/>
        </w:rPr>
      </w:pPr>
      <w:r>
        <w:rPr>
          <w:rFonts w:hint="eastAsia" w:ascii="仿宋_GB2312" w:eastAsia="仿宋_GB2312"/>
          <w:sz w:val="24"/>
          <w:szCs w:val="24"/>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34"/>
        <w:gridCol w:w="2827"/>
        <w:gridCol w:w="1752"/>
        <w:gridCol w:w="1995"/>
      </w:tblGrid>
      <w:tr w14:paraId="2ABE8F8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Align w:val="center"/>
          </w:tcPr>
          <w:p w14:paraId="4479FA9D">
            <w:pPr>
              <w:widowControl/>
              <w:jc w:val="left"/>
              <w:rPr>
                <w:rFonts w:ascii="仿宋_GB2312" w:eastAsia="仿宋_GB2312"/>
                <w:sz w:val="24"/>
                <w:szCs w:val="24"/>
              </w:rPr>
            </w:pPr>
            <w:r>
              <w:rPr>
                <w:rFonts w:hint="eastAsia" w:ascii="仿宋_GB2312" w:hAnsi="宋体" w:eastAsia="仿宋_GB2312" w:cs="宋体"/>
                <w:kern w:val="0"/>
                <w:sz w:val="24"/>
                <w:szCs w:val="24"/>
              </w:rPr>
              <w:t>费用类型</w:t>
            </w:r>
          </w:p>
        </w:tc>
        <w:tc>
          <w:tcPr>
            <w:tcW w:w="2409" w:type="dxa"/>
            <w:vAlign w:val="center"/>
          </w:tcPr>
          <w:p w14:paraId="57587EB7">
            <w:pPr>
              <w:rPr>
                <w:rFonts w:ascii="仿宋_GB2312" w:eastAsia="仿宋_GB2312"/>
                <w:sz w:val="24"/>
                <w:szCs w:val="24"/>
              </w:rPr>
            </w:pPr>
            <w:r>
              <w:rPr>
                <w:rFonts w:hint="eastAsia" w:ascii="仿宋_GB2312" w:eastAsia="仿宋_GB2312"/>
                <w:sz w:val="24"/>
                <w:szCs w:val="24"/>
              </w:rPr>
              <w:t>份额（S）或金额（M）/持有期限（N）</w:t>
            </w:r>
          </w:p>
        </w:tc>
        <w:tc>
          <w:tcPr>
            <w:tcW w:w="1843" w:type="dxa"/>
            <w:vAlign w:val="center"/>
          </w:tcPr>
          <w:p w14:paraId="125C8DC5">
            <w:pPr>
              <w:rPr>
                <w:rFonts w:ascii="仿宋_GB2312" w:eastAsia="仿宋_GB2312"/>
                <w:sz w:val="24"/>
                <w:szCs w:val="24"/>
              </w:rPr>
            </w:pPr>
            <w:r>
              <w:rPr>
                <w:rFonts w:hint="eastAsia" w:ascii="仿宋_GB2312" w:eastAsia="仿宋_GB2312"/>
                <w:sz w:val="24"/>
                <w:szCs w:val="24"/>
              </w:rPr>
              <w:t>收费方式/费率</w:t>
            </w:r>
          </w:p>
        </w:tc>
        <w:tc>
          <w:tcPr>
            <w:tcW w:w="2126" w:type="dxa"/>
            <w:vAlign w:val="center"/>
          </w:tcPr>
          <w:p w14:paraId="16A78C90">
            <w:pPr>
              <w:widowControl/>
              <w:jc w:val="left"/>
              <w:rPr>
                <w:rFonts w:ascii="仿宋_GB2312" w:eastAsia="仿宋_GB2312"/>
                <w:sz w:val="24"/>
                <w:szCs w:val="24"/>
              </w:rPr>
            </w:pPr>
            <w:r>
              <w:rPr>
                <w:rFonts w:hint="eastAsia" w:ascii="仿宋_GB2312" w:hAnsi="宋体" w:eastAsia="仿宋_GB2312" w:cs="宋体"/>
                <w:kern w:val="0"/>
                <w:sz w:val="24"/>
                <w:szCs w:val="24"/>
              </w:rPr>
              <w:t>备注</w:t>
            </w:r>
          </w:p>
        </w:tc>
      </w:tr>
      <w:tr w14:paraId="1D14D361">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restart"/>
            <w:vAlign w:val="center"/>
          </w:tcPr>
          <w:p w14:paraId="756789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赎回费</w:t>
            </w:r>
          </w:p>
        </w:tc>
        <w:tc>
          <w:tcPr>
            <w:tcW w:w="2409" w:type="dxa"/>
          </w:tcPr>
          <w:p w14:paraId="0CD95048">
            <w:pPr>
              <w:rPr>
                <w:rFonts w:ascii="仿宋_GB2312" w:eastAsia="仿宋_GB2312"/>
                <w:sz w:val="24"/>
                <w:szCs w:val="24"/>
              </w:rPr>
            </w:pPr>
            <w:r>
              <w:rPr>
                <w:rFonts w:hint="eastAsia" w:ascii="仿宋_GB2312" w:eastAsia="仿宋_GB2312"/>
                <w:sz w:val="24"/>
                <w:szCs w:val="24"/>
              </w:rPr>
              <w:t>N＜7天</w:t>
            </w:r>
          </w:p>
        </w:tc>
        <w:tc>
          <w:tcPr>
            <w:tcW w:w="1843" w:type="dxa"/>
            <w:vAlign w:val="center"/>
          </w:tcPr>
          <w:p w14:paraId="2584A188">
            <w:pPr>
              <w:rPr>
                <w:rFonts w:ascii="仿宋_GB2312" w:eastAsia="仿宋_GB2312"/>
                <w:sz w:val="24"/>
                <w:szCs w:val="24"/>
              </w:rPr>
            </w:pPr>
            <w:r>
              <w:rPr>
                <w:rFonts w:hint="eastAsia" w:ascii="仿宋_GB2312" w:eastAsia="仿宋_GB2312"/>
                <w:sz w:val="24"/>
                <w:szCs w:val="24"/>
              </w:rPr>
              <w:t>1.5%</w:t>
            </w:r>
          </w:p>
        </w:tc>
        <w:tc>
          <w:tcPr>
            <w:tcW w:w="1843" w:type="dxa"/>
            <w:vAlign w:val="center"/>
          </w:tcPr>
          <w:p w14:paraId="5A77C2EC">
            <w:pPr>
              <w:rPr>
                <w:rFonts w:ascii="仿宋_GB2312" w:eastAsia="仿宋_GB2312"/>
                <w:sz w:val="24"/>
                <w:szCs w:val="24"/>
              </w:rPr>
            </w:pPr>
          </w:p>
        </w:tc>
      </w:tr>
      <w:tr w14:paraId="6534371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14:paraId="0FFA79DB">
            <w:pPr>
              <w:widowControl/>
              <w:jc w:val="left"/>
              <w:rPr>
                <w:rFonts w:ascii="仿宋_GB2312" w:hAnsi="宋体" w:eastAsia="仿宋_GB2312" w:cs="宋体"/>
                <w:kern w:val="0"/>
                <w:sz w:val="24"/>
                <w:szCs w:val="24"/>
              </w:rPr>
            </w:pPr>
          </w:p>
        </w:tc>
        <w:tc>
          <w:tcPr>
            <w:tcW w:w="3000" w:type="dxa"/>
          </w:tcPr>
          <w:p w14:paraId="7B30967B">
            <w:pPr>
              <w:rPr>
                <w:rFonts w:ascii="仿宋_GB2312" w:eastAsia="仿宋_GB2312"/>
                <w:sz w:val="24"/>
                <w:szCs w:val="24"/>
              </w:rPr>
            </w:pPr>
            <w:r>
              <w:rPr>
                <w:rFonts w:hint="eastAsia" w:ascii="仿宋_GB2312" w:eastAsia="仿宋_GB2312"/>
                <w:sz w:val="24"/>
                <w:szCs w:val="24"/>
              </w:rPr>
              <w:t>7天≤N＜30天</w:t>
            </w:r>
          </w:p>
        </w:tc>
        <w:tc>
          <w:tcPr>
            <w:tcW w:w="1843" w:type="dxa"/>
            <w:vAlign w:val="center"/>
          </w:tcPr>
          <w:p w14:paraId="6BB377FF">
            <w:pPr>
              <w:rPr>
                <w:rFonts w:ascii="仿宋_GB2312" w:eastAsia="仿宋_GB2312"/>
                <w:sz w:val="24"/>
                <w:szCs w:val="24"/>
              </w:rPr>
            </w:pPr>
            <w:r>
              <w:rPr>
                <w:rFonts w:hint="eastAsia" w:ascii="仿宋_GB2312" w:eastAsia="仿宋_GB2312"/>
                <w:sz w:val="24"/>
                <w:szCs w:val="24"/>
                <w:lang w:val="en-US" w:eastAsia="zh-CN"/>
              </w:rPr>
              <w:t>1.0</w:t>
            </w:r>
            <w:r>
              <w:rPr>
                <w:rFonts w:hint="eastAsia" w:ascii="仿宋_GB2312" w:eastAsia="仿宋_GB2312"/>
                <w:sz w:val="24"/>
                <w:szCs w:val="24"/>
              </w:rPr>
              <w:t>%</w:t>
            </w:r>
          </w:p>
        </w:tc>
        <w:tc>
          <w:tcPr>
            <w:tcW w:w="1843" w:type="dxa"/>
            <w:vAlign w:val="center"/>
          </w:tcPr>
          <w:p w14:paraId="3D8F8452">
            <w:pPr>
              <w:rPr>
                <w:rFonts w:ascii="仿宋_GB2312" w:eastAsia="仿宋_GB2312"/>
                <w:sz w:val="24"/>
                <w:szCs w:val="24"/>
              </w:rPr>
            </w:pPr>
          </w:p>
        </w:tc>
      </w:tr>
      <w:tr w14:paraId="2B1E42D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14:paraId="6C4E3CAB">
            <w:pPr>
              <w:widowControl/>
              <w:jc w:val="left"/>
              <w:rPr>
                <w:rFonts w:ascii="仿宋_GB2312" w:hAnsi="宋体" w:eastAsia="仿宋_GB2312" w:cs="宋体"/>
                <w:kern w:val="0"/>
                <w:sz w:val="24"/>
                <w:szCs w:val="24"/>
              </w:rPr>
            </w:pPr>
          </w:p>
        </w:tc>
        <w:tc>
          <w:tcPr>
            <w:tcW w:w="3000" w:type="dxa"/>
          </w:tcPr>
          <w:p w14:paraId="2698FF01">
            <w:pPr>
              <w:rPr>
                <w:rFonts w:hint="eastAsia" w:ascii="仿宋_GB2312" w:eastAsia="仿宋_GB2312"/>
                <w:sz w:val="24"/>
                <w:szCs w:val="24"/>
              </w:rPr>
            </w:pPr>
            <w:r>
              <w:rPr>
                <w:rFonts w:hint="eastAsia" w:ascii="仿宋_GB2312" w:eastAsia="仿宋_GB2312"/>
                <w:sz w:val="24"/>
                <w:szCs w:val="24"/>
              </w:rPr>
              <w:t>30天≤N＜180天</w:t>
            </w:r>
          </w:p>
        </w:tc>
        <w:tc>
          <w:tcPr>
            <w:tcW w:w="1843" w:type="dxa"/>
            <w:vAlign w:val="center"/>
          </w:tcPr>
          <w:p w14:paraId="136EEC1D">
            <w:pPr>
              <w:rPr>
                <w:rFonts w:hint="default" w:ascii="仿宋_GB2312" w:eastAsia="仿宋_GB2312"/>
                <w:sz w:val="24"/>
                <w:szCs w:val="24"/>
                <w:lang w:val="en-US" w:eastAsia="zh-CN"/>
              </w:rPr>
            </w:pPr>
            <w:r>
              <w:rPr>
                <w:rFonts w:hint="eastAsia" w:ascii="仿宋_GB2312" w:eastAsia="仿宋_GB2312"/>
                <w:sz w:val="24"/>
                <w:szCs w:val="24"/>
                <w:lang w:val="en-US" w:eastAsia="zh-CN"/>
              </w:rPr>
              <w:t>0.5%</w:t>
            </w:r>
          </w:p>
        </w:tc>
        <w:tc>
          <w:tcPr>
            <w:tcW w:w="1843" w:type="dxa"/>
            <w:vAlign w:val="center"/>
          </w:tcPr>
          <w:p w14:paraId="0EBB2964">
            <w:pPr>
              <w:rPr>
                <w:rFonts w:ascii="仿宋_GB2312" w:eastAsia="仿宋_GB2312"/>
                <w:sz w:val="24"/>
                <w:szCs w:val="24"/>
              </w:rPr>
            </w:pPr>
          </w:p>
        </w:tc>
      </w:tr>
      <w:tr w14:paraId="6CF471C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14:paraId="06A25478">
            <w:pPr>
              <w:widowControl/>
              <w:jc w:val="left"/>
              <w:rPr>
                <w:rFonts w:ascii="仿宋_GB2312" w:hAnsi="宋体" w:eastAsia="仿宋_GB2312" w:cs="宋体"/>
                <w:kern w:val="0"/>
                <w:sz w:val="24"/>
                <w:szCs w:val="24"/>
              </w:rPr>
            </w:pPr>
          </w:p>
        </w:tc>
        <w:tc>
          <w:tcPr>
            <w:tcW w:w="3000" w:type="dxa"/>
          </w:tcPr>
          <w:p w14:paraId="3E985247">
            <w:pPr>
              <w:rPr>
                <w:rFonts w:ascii="仿宋_GB2312" w:eastAsia="仿宋_GB2312"/>
                <w:sz w:val="24"/>
                <w:szCs w:val="24"/>
              </w:rPr>
            </w:pPr>
            <w:r>
              <w:rPr>
                <w:rFonts w:hint="eastAsia" w:ascii="仿宋_GB2312" w:eastAsia="仿宋_GB2312"/>
                <w:sz w:val="24"/>
                <w:szCs w:val="24"/>
                <w:lang w:val="en-US" w:eastAsia="zh-CN"/>
              </w:rPr>
              <w:t>180</w:t>
            </w:r>
            <w:r>
              <w:rPr>
                <w:rFonts w:hint="eastAsia" w:ascii="仿宋_GB2312" w:eastAsia="仿宋_GB2312"/>
                <w:sz w:val="24"/>
                <w:szCs w:val="24"/>
              </w:rPr>
              <w:t>天≤N</w:t>
            </w:r>
          </w:p>
        </w:tc>
        <w:tc>
          <w:tcPr>
            <w:tcW w:w="1843" w:type="dxa"/>
            <w:vAlign w:val="center"/>
          </w:tcPr>
          <w:p w14:paraId="59EE150A">
            <w:pPr>
              <w:rPr>
                <w:rFonts w:ascii="仿宋_GB2312" w:eastAsia="仿宋_GB2312"/>
                <w:sz w:val="24"/>
                <w:szCs w:val="24"/>
              </w:rPr>
            </w:pPr>
            <w:r>
              <w:rPr>
                <w:rFonts w:hint="eastAsia" w:ascii="仿宋_GB2312" w:eastAsia="仿宋_GB2312"/>
                <w:sz w:val="24"/>
                <w:szCs w:val="24"/>
              </w:rPr>
              <w:t>0</w:t>
            </w:r>
          </w:p>
        </w:tc>
        <w:tc>
          <w:tcPr>
            <w:tcW w:w="1843" w:type="dxa"/>
            <w:vAlign w:val="center"/>
          </w:tcPr>
          <w:p w14:paraId="4806976C">
            <w:pPr>
              <w:rPr>
                <w:rFonts w:ascii="仿宋_GB2312" w:eastAsia="仿宋_GB2312"/>
                <w:sz w:val="24"/>
                <w:szCs w:val="24"/>
              </w:rPr>
            </w:pPr>
          </w:p>
        </w:tc>
      </w:tr>
    </w:tbl>
    <w:p w14:paraId="44F22BB1">
      <w:pPr>
        <w:rPr>
          <w:rFonts w:ascii="仿宋_GB2312" w:eastAsia="仿宋_GB2312"/>
          <w:sz w:val="24"/>
          <w:szCs w:val="24"/>
        </w:rPr>
      </w:pPr>
      <w:r>
        <w:rPr>
          <w:rFonts w:hint="eastAsia" w:ascii="仿宋_GB2312" w:eastAsia="仿宋_GB2312"/>
          <w:sz w:val="24"/>
          <w:szCs w:val="24"/>
        </w:rPr>
        <w:t>注：1、本基金对持续持有期少于7日的投资人收取1.5%的赎回费，请投资人予以关注。2、销售机构若有其他费率优惠请见基金管理人或其他销售机构的有关公告或通知。</w:t>
      </w:r>
    </w:p>
    <w:p w14:paraId="28C0E95D">
      <w:pPr>
        <w:jc w:val="left"/>
        <w:outlineLvl w:val="1"/>
        <w:rPr>
          <w:rFonts w:ascii="仿宋_GB2312" w:eastAsia="仿宋_GB2312"/>
          <w:b/>
          <w:sz w:val="24"/>
          <w:szCs w:val="24"/>
        </w:rPr>
      </w:pPr>
      <w:r>
        <w:rPr>
          <w:rFonts w:hint="eastAsia" w:ascii="仿宋_GB2312" w:eastAsia="仿宋_GB2312"/>
          <w:b/>
          <w:sz w:val="24"/>
          <w:szCs w:val="24"/>
        </w:rPr>
        <w:t>（二）基金运作相关费用</w:t>
      </w:r>
    </w:p>
    <w:p w14:paraId="4F961AEC">
      <w:pPr>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以下费用将从基金资产中扣除：</w:t>
      </w:r>
    </w:p>
    <w:tbl>
      <w:tblPr>
        <w:tblStyle w:val="7"/>
        <w:tblW w:w="9295" w:type="dxa"/>
        <w:jc w:val="center"/>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2756"/>
        <w:gridCol w:w="3246"/>
        <w:gridCol w:w="3293"/>
      </w:tblGrid>
      <w:tr w14:paraId="4C2E457C">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8" w:space="0"/>
              <w:left w:val="nil"/>
              <w:bottom w:val="single" w:color="auto" w:sz="6" w:space="0"/>
              <w:right w:val="nil"/>
              <w:tl2br w:val="nil"/>
              <w:tr2bl w:val="nil"/>
            </w:tcBorders>
            <w:noWrap w:val="0"/>
            <w:vAlign w:val="top"/>
          </w:tcPr>
          <w:p w14:paraId="2B367EF4">
            <w:pPr>
              <w:rPr>
                <w:rFonts w:hint="eastAsia" w:ascii="仿宋_GB2312" w:eastAsia="仿宋_GB2312"/>
                <w:b/>
                <w:kern w:val="0"/>
                <w:sz w:val="24"/>
                <w:szCs w:val="24"/>
              </w:rPr>
            </w:pPr>
            <w:r>
              <w:rPr>
                <w:rFonts w:hint="eastAsia" w:ascii="仿宋_GB2312" w:eastAsia="仿宋_GB2312"/>
                <w:b/>
                <w:kern w:val="0"/>
                <w:sz w:val="24"/>
                <w:szCs w:val="24"/>
              </w:rPr>
              <w:t>费用类别</w:t>
            </w:r>
          </w:p>
        </w:tc>
        <w:tc>
          <w:tcPr>
            <w:tcW w:w="3246" w:type="dxa"/>
            <w:tcBorders>
              <w:top w:val="single" w:color="auto" w:sz="8" w:space="0"/>
              <w:left w:val="nil"/>
              <w:bottom w:val="single" w:color="auto" w:sz="6" w:space="0"/>
              <w:right w:val="nil"/>
              <w:tl2br w:val="nil"/>
              <w:tr2bl w:val="nil"/>
            </w:tcBorders>
            <w:noWrap w:val="0"/>
            <w:vAlign w:val="center"/>
          </w:tcPr>
          <w:p w14:paraId="5F2439D9">
            <w:pPr>
              <w:rPr>
                <w:rFonts w:hint="eastAsia" w:ascii="仿宋_GB2312" w:eastAsia="仿宋_GB2312"/>
                <w:b/>
                <w:kern w:val="0"/>
                <w:sz w:val="24"/>
                <w:szCs w:val="24"/>
              </w:rPr>
            </w:pPr>
            <w:r>
              <w:rPr>
                <w:rFonts w:hint="eastAsia" w:ascii="仿宋_GB2312" w:hAnsi="宋体" w:eastAsia="仿宋_GB2312" w:cs="宋体"/>
                <w:b/>
                <w:kern w:val="0"/>
                <w:sz w:val="24"/>
                <w:szCs w:val="24"/>
              </w:rPr>
              <w:t>收费方式</w:t>
            </w:r>
            <w:r>
              <w:rPr>
                <w:rFonts w:hint="eastAsia" w:ascii="仿宋_GB2312" w:eastAsia="仿宋_GB2312" w:cs="FZFSJW--GB1-0"/>
                <w:b/>
                <w:kern w:val="0"/>
                <w:sz w:val="24"/>
                <w:szCs w:val="24"/>
              </w:rPr>
              <w:t>/</w:t>
            </w:r>
            <w:r>
              <w:rPr>
                <w:rFonts w:hint="eastAsia" w:ascii="仿宋_GB2312" w:hAnsi="宋体" w:eastAsia="仿宋_GB2312" w:cs="宋体"/>
                <w:b/>
                <w:kern w:val="0"/>
                <w:sz w:val="24"/>
                <w:szCs w:val="24"/>
              </w:rPr>
              <w:t>年费率或金额</w:t>
            </w:r>
          </w:p>
        </w:tc>
        <w:tc>
          <w:tcPr>
            <w:tcW w:w="3293" w:type="dxa"/>
            <w:tcBorders>
              <w:top w:val="single" w:color="auto" w:sz="8" w:space="0"/>
              <w:left w:val="nil"/>
              <w:bottom w:val="single" w:color="auto" w:sz="6" w:space="0"/>
              <w:right w:val="nil"/>
              <w:tl2br w:val="nil"/>
              <w:tr2bl w:val="nil"/>
            </w:tcBorders>
            <w:noWrap w:val="0"/>
            <w:vAlign w:val="center"/>
          </w:tcPr>
          <w:p w14:paraId="73504DF3">
            <w:pP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收取方</w:t>
            </w:r>
          </w:p>
        </w:tc>
      </w:tr>
      <w:tr w14:paraId="27D98A97">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16AFEA09">
            <w:pPr>
              <w:rPr>
                <w:rFonts w:hint="eastAsia" w:ascii="仿宋_GB2312" w:eastAsia="仿宋_GB2312"/>
                <w:kern w:val="0"/>
                <w:sz w:val="24"/>
                <w:szCs w:val="24"/>
              </w:rPr>
            </w:pPr>
            <w:r>
              <w:rPr>
                <w:rFonts w:hint="eastAsia" w:ascii="仿宋_GB2312" w:eastAsia="仿宋_GB2312"/>
                <w:kern w:val="0"/>
                <w:sz w:val="24"/>
                <w:szCs w:val="24"/>
              </w:rPr>
              <w:t>管理费</w:t>
            </w:r>
          </w:p>
        </w:tc>
        <w:tc>
          <w:tcPr>
            <w:tcW w:w="3246" w:type="dxa"/>
            <w:tcBorders>
              <w:top w:val="single" w:color="auto" w:sz="6" w:space="0"/>
              <w:left w:val="nil"/>
              <w:bottom w:val="single" w:color="auto" w:sz="6" w:space="0"/>
              <w:right w:val="nil"/>
              <w:tl2br w:val="nil"/>
              <w:tr2bl w:val="nil"/>
            </w:tcBorders>
            <w:noWrap w:val="0"/>
            <w:vAlign w:val="center"/>
          </w:tcPr>
          <w:p w14:paraId="0D70DF45">
            <w:pPr>
              <w:rPr>
                <w:rFonts w:hint="eastAsia" w:ascii="仿宋_GB2312" w:eastAsia="仿宋_GB2312"/>
                <w:kern w:val="0"/>
                <w:sz w:val="24"/>
                <w:szCs w:val="24"/>
              </w:rPr>
            </w:pPr>
            <w:r>
              <w:rPr>
                <w:rFonts w:hint="eastAsia" w:ascii="仿宋_GB2312" w:eastAsia="仿宋_GB2312"/>
                <w:kern w:val="0"/>
                <w:sz w:val="24"/>
                <w:szCs w:val="24"/>
              </w:rPr>
              <w:t>1.2%</w:t>
            </w:r>
          </w:p>
        </w:tc>
        <w:tc>
          <w:tcPr>
            <w:tcW w:w="3293" w:type="dxa"/>
            <w:tcBorders>
              <w:top w:val="single" w:color="auto" w:sz="6" w:space="0"/>
              <w:left w:val="nil"/>
              <w:bottom w:val="single" w:color="auto" w:sz="6" w:space="0"/>
              <w:right w:val="nil"/>
              <w:tl2br w:val="nil"/>
              <w:tr2bl w:val="nil"/>
            </w:tcBorders>
            <w:noWrap w:val="0"/>
            <w:vAlign w:val="center"/>
          </w:tcPr>
          <w:p w14:paraId="620203CE">
            <w:pPr>
              <w:rPr>
                <w:rFonts w:hint="eastAsia" w:ascii="仿宋_GB2312" w:eastAsia="仿宋_GB2312"/>
                <w:kern w:val="0"/>
                <w:sz w:val="24"/>
                <w:szCs w:val="24"/>
              </w:rPr>
            </w:pPr>
            <w:r>
              <w:rPr>
                <w:rFonts w:hint="eastAsia" w:ascii="仿宋_GB2312" w:eastAsia="仿宋_GB2312"/>
                <w:kern w:val="0"/>
                <w:sz w:val="24"/>
                <w:szCs w:val="24"/>
              </w:rPr>
              <w:t>基金管理人和销售机构</w:t>
            </w:r>
          </w:p>
        </w:tc>
      </w:tr>
      <w:tr w14:paraId="137C58A4">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02276189">
            <w:pPr>
              <w:rPr>
                <w:rFonts w:hint="eastAsia" w:ascii="仿宋_GB2312" w:eastAsia="仿宋_GB2312"/>
                <w:kern w:val="0"/>
                <w:sz w:val="24"/>
                <w:szCs w:val="24"/>
              </w:rPr>
            </w:pPr>
            <w:r>
              <w:rPr>
                <w:rFonts w:hint="eastAsia" w:ascii="仿宋_GB2312" w:eastAsia="仿宋_GB2312"/>
                <w:kern w:val="0"/>
                <w:sz w:val="24"/>
                <w:szCs w:val="24"/>
              </w:rPr>
              <w:t>托管费</w:t>
            </w:r>
          </w:p>
        </w:tc>
        <w:tc>
          <w:tcPr>
            <w:tcW w:w="3246" w:type="dxa"/>
            <w:tcBorders>
              <w:top w:val="single" w:color="auto" w:sz="6" w:space="0"/>
              <w:left w:val="nil"/>
              <w:bottom w:val="single" w:color="auto" w:sz="6" w:space="0"/>
              <w:right w:val="nil"/>
              <w:tl2br w:val="nil"/>
              <w:tr2bl w:val="nil"/>
            </w:tcBorders>
            <w:noWrap w:val="0"/>
            <w:vAlign w:val="center"/>
          </w:tcPr>
          <w:p w14:paraId="7CA95901">
            <w:pPr>
              <w:rPr>
                <w:rFonts w:hint="eastAsia" w:ascii="仿宋_GB2312" w:eastAsia="仿宋_GB2312"/>
                <w:kern w:val="0"/>
                <w:sz w:val="24"/>
                <w:szCs w:val="24"/>
              </w:rPr>
            </w:pPr>
            <w:r>
              <w:rPr>
                <w:rFonts w:hint="eastAsia" w:ascii="仿宋_GB2312" w:eastAsia="仿宋_GB2312"/>
                <w:kern w:val="0"/>
                <w:sz w:val="24"/>
                <w:szCs w:val="24"/>
              </w:rPr>
              <w:t>0.2%</w:t>
            </w:r>
          </w:p>
        </w:tc>
        <w:tc>
          <w:tcPr>
            <w:tcW w:w="3293" w:type="dxa"/>
            <w:tcBorders>
              <w:top w:val="single" w:color="auto" w:sz="6" w:space="0"/>
              <w:left w:val="nil"/>
              <w:bottom w:val="single" w:color="auto" w:sz="6" w:space="0"/>
              <w:right w:val="nil"/>
              <w:tl2br w:val="nil"/>
              <w:tr2bl w:val="nil"/>
            </w:tcBorders>
            <w:noWrap w:val="0"/>
            <w:vAlign w:val="center"/>
          </w:tcPr>
          <w:p w14:paraId="554076A5">
            <w:pPr>
              <w:rPr>
                <w:rFonts w:hint="eastAsia" w:ascii="仿宋_GB2312" w:eastAsia="仿宋_GB2312"/>
                <w:kern w:val="0"/>
                <w:sz w:val="24"/>
                <w:szCs w:val="24"/>
              </w:rPr>
            </w:pPr>
            <w:r>
              <w:rPr>
                <w:rFonts w:hint="eastAsia" w:ascii="仿宋_GB2312" w:eastAsia="仿宋_GB2312"/>
                <w:kern w:val="0"/>
                <w:sz w:val="24"/>
                <w:szCs w:val="24"/>
              </w:rPr>
              <w:t>基金托管人</w:t>
            </w:r>
          </w:p>
        </w:tc>
      </w:tr>
      <w:tr w14:paraId="6FBB85C8">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57828506">
            <w:pPr>
              <w:jc w:val="left"/>
              <w:rPr>
                <w:rFonts w:hint="eastAsia" w:ascii="仿宋_GB2312" w:eastAsia="仿宋_GB2312"/>
                <w:kern w:val="0"/>
                <w:sz w:val="24"/>
                <w:szCs w:val="24"/>
              </w:rPr>
            </w:pPr>
            <w:r>
              <w:rPr>
                <w:rFonts w:hint="eastAsia" w:ascii="仿宋_GB2312" w:eastAsia="仿宋_GB2312"/>
                <w:kern w:val="0"/>
                <w:sz w:val="24"/>
                <w:szCs w:val="24"/>
              </w:rPr>
              <w:t>销售服务费</w:t>
            </w:r>
          </w:p>
        </w:tc>
        <w:tc>
          <w:tcPr>
            <w:tcW w:w="3246" w:type="dxa"/>
            <w:tcBorders>
              <w:top w:val="single" w:color="auto" w:sz="6" w:space="0"/>
              <w:left w:val="nil"/>
              <w:bottom w:val="single" w:color="auto" w:sz="6" w:space="0"/>
              <w:right w:val="nil"/>
              <w:tl2br w:val="nil"/>
              <w:tr2bl w:val="nil"/>
            </w:tcBorders>
            <w:noWrap w:val="0"/>
            <w:vAlign w:val="center"/>
          </w:tcPr>
          <w:p w14:paraId="7F0B11E2">
            <w:pPr>
              <w:rPr>
                <w:rFonts w:hint="eastAsia" w:ascii="仿宋_GB2312" w:eastAsia="仿宋_GB2312"/>
                <w:kern w:val="0"/>
                <w:sz w:val="24"/>
                <w:szCs w:val="24"/>
              </w:rPr>
            </w:pPr>
            <w:r>
              <w:rPr>
                <w:rFonts w:hint="eastAsia" w:ascii="仿宋_GB2312" w:eastAsia="仿宋_GB2312"/>
                <w:kern w:val="0"/>
                <w:sz w:val="24"/>
                <w:szCs w:val="24"/>
              </w:rPr>
              <w:t>0.</w:t>
            </w:r>
            <w:r>
              <w:rPr>
                <w:rFonts w:hint="eastAsia" w:ascii="仿宋_GB2312" w:eastAsia="仿宋_GB2312"/>
                <w:kern w:val="0"/>
                <w:sz w:val="24"/>
                <w:szCs w:val="24"/>
                <w:lang w:val="en-US" w:eastAsia="zh-CN"/>
              </w:rPr>
              <w:t>4</w:t>
            </w: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5DA14314">
            <w:pPr>
              <w:rPr>
                <w:rFonts w:hint="eastAsia" w:ascii="仿宋_GB2312" w:eastAsia="仿宋_GB2312"/>
                <w:kern w:val="0"/>
                <w:sz w:val="24"/>
                <w:szCs w:val="24"/>
              </w:rPr>
            </w:pPr>
            <w:r>
              <w:rPr>
                <w:rFonts w:hint="eastAsia" w:ascii="仿宋_GB2312" w:eastAsia="仿宋_GB2312"/>
                <w:kern w:val="0"/>
                <w:sz w:val="24"/>
                <w:szCs w:val="24"/>
              </w:rPr>
              <w:t>销售机构</w:t>
            </w:r>
          </w:p>
        </w:tc>
      </w:tr>
      <w:tr w14:paraId="5116940D">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27818C39">
            <w:pPr>
              <w:jc w:val="left"/>
              <w:rPr>
                <w:rFonts w:hint="eastAsia" w:ascii="仿宋_GB2312" w:eastAsia="仿宋_GB2312"/>
                <w:kern w:val="0"/>
                <w:sz w:val="24"/>
                <w:szCs w:val="24"/>
              </w:rPr>
            </w:pPr>
            <w:r>
              <w:rPr>
                <w:rFonts w:hint="eastAsia" w:ascii="仿宋_GB2312" w:eastAsia="仿宋_GB2312"/>
                <w:kern w:val="0"/>
                <w:sz w:val="24"/>
                <w:szCs w:val="24"/>
              </w:rPr>
              <w:t>审计费用</w:t>
            </w:r>
          </w:p>
        </w:tc>
        <w:tc>
          <w:tcPr>
            <w:tcW w:w="3246" w:type="dxa"/>
            <w:tcBorders>
              <w:top w:val="single" w:color="auto" w:sz="6" w:space="0"/>
              <w:left w:val="nil"/>
              <w:bottom w:val="single" w:color="auto" w:sz="6" w:space="0"/>
              <w:right w:val="nil"/>
              <w:tl2br w:val="nil"/>
              <w:tr2bl w:val="nil"/>
            </w:tcBorders>
            <w:noWrap w:val="0"/>
            <w:vAlign w:val="center"/>
          </w:tcPr>
          <w:p w14:paraId="7C72D36B">
            <w:pPr>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301B4C3E">
            <w:pPr>
              <w:rPr>
                <w:rFonts w:hint="eastAsia" w:ascii="仿宋_GB2312" w:eastAsia="仿宋_GB2312"/>
                <w:kern w:val="0"/>
                <w:sz w:val="24"/>
                <w:szCs w:val="24"/>
              </w:rPr>
            </w:pPr>
            <w:r>
              <w:rPr>
                <w:rFonts w:hint="eastAsia" w:ascii="仿宋_GB2312" w:eastAsia="仿宋_GB2312"/>
                <w:kern w:val="0"/>
                <w:sz w:val="24"/>
                <w:szCs w:val="24"/>
              </w:rPr>
              <w:t>会计师事务所</w:t>
            </w:r>
          </w:p>
        </w:tc>
      </w:tr>
      <w:tr w14:paraId="512DD76D">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4E4519B6">
            <w:pPr>
              <w:jc w:val="left"/>
              <w:rPr>
                <w:rFonts w:hint="eastAsia" w:ascii="仿宋_GB2312" w:eastAsia="仿宋_GB2312"/>
                <w:kern w:val="0"/>
                <w:sz w:val="24"/>
                <w:szCs w:val="24"/>
              </w:rPr>
            </w:pPr>
            <w:r>
              <w:rPr>
                <w:rFonts w:hint="eastAsia" w:ascii="仿宋_GB2312" w:eastAsia="仿宋_GB2312"/>
                <w:kern w:val="0"/>
                <w:sz w:val="24"/>
                <w:szCs w:val="24"/>
              </w:rPr>
              <w:t>信息披露费</w:t>
            </w:r>
          </w:p>
        </w:tc>
        <w:tc>
          <w:tcPr>
            <w:tcW w:w="3246" w:type="dxa"/>
            <w:tcBorders>
              <w:top w:val="single" w:color="auto" w:sz="6" w:space="0"/>
              <w:left w:val="nil"/>
              <w:bottom w:val="single" w:color="auto" w:sz="6" w:space="0"/>
              <w:right w:val="nil"/>
              <w:tl2br w:val="nil"/>
              <w:tr2bl w:val="nil"/>
            </w:tcBorders>
            <w:noWrap w:val="0"/>
            <w:vAlign w:val="center"/>
          </w:tcPr>
          <w:p w14:paraId="67BBED6D">
            <w:pPr>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3575259D">
            <w:pPr>
              <w:rPr>
                <w:rFonts w:hint="eastAsia" w:ascii="仿宋_GB2312" w:eastAsia="仿宋_GB2312"/>
                <w:kern w:val="0"/>
                <w:sz w:val="24"/>
                <w:szCs w:val="24"/>
              </w:rPr>
            </w:pPr>
            <w:r>
              <w:rPr>
                <w:rFonts w:hint="eastAsia" w:ascii="仿宋_GB2312" w:eastAsia="仿宋_GB2312"/>
                <w:kern w:val="0"/>
                <w:sz w:val="24"/>
                <w:szCs w:val="24"/>
              </w:rPr>
              <w:t>规定披露报刊</w:t>
            </w:r>
          </w:p>
        </w:tc>
      </w:tr>
      <w:tr w14:paraId="3A24D533">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5461C0E5">
            <w:pPr>
              <w:jc w:val="left"/>
              <w:rPr>
                <w:rFonts w:hint="eastAsia" w:ascii="仿宋_GB2312" w:eastAsia="仿宋_GB2312"/>
                <w:kern w:val="0"/>
                <w:sz w:val="24"/>
                <w:szCs w:val="24"/>
              </w:rPr>
            </w:pPr>
            <w:r>
              <w:rPr>
                <w:rFonts w:hint="eastAsia" w:ascii="仿宋_GB2312" w:eastAsia="仿宋_GB2312"/>
                <w:kern w:val="0"/>
                <w:sz w:val="24"/>
                <w:szCs w:val="24"/>
              </w:rPr>
              <w:t>指数许可使用费</w:t>
            </w:r>
          </w:p>
        </w:tc>
        <w:tc>
          <w:tcPr>
            <w:tcW w:w="3246" w:type="dxa"/>
            <w:tcBorders>
              <w:top w:val="single" w:color="auto" w:sz="6" w:space="0"/>
              <w:left w:val="nil"/>
              <w:bottom w:val="single" w:color="auto" w:sz="6" w:space="0"/>
              <w:right w:val="nil"/>
              <w:tl2br w:val="nil"/>
              <w:tr2bl w:val="nil"/>
            </w:tcBorders>
            <w:noWrap w:val="0"/>
            <w:vAlign w:val="center"/>
          </w:tcPr>
          <w:p w14:paraId="77FAB477">
            <w:pPr>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37A70B02">
            <w:pPr>
              <w:rPr>
                <w:rFonts w:hint="eastAsia" w:ascii="仿宋_GB2312" w:eastAsia="仿宋_GB2312"/>
                <w:kern w:val="0"/>
                <w:sz w:val="24"/>
                <w:szCs w:val="24"/>
              </w:rPr>
            </w:pPr>
            <w:r>
              <w:rPr>
                <w:rFonts w:hint="eastAsia" w:ascii="仿宋_GB2312" w:eastAsia="仿宋_GB2312"/>
                <w:kern w:val="0"/>
                <w:sz w:val="24"/>
                <w:szCs w:val="24"/>
              </w:rPr>
              <w:t>指数编制公司</w:t>
            </w:r>
          </w:p>
        </w:tc>
      </w:tr>
      <w:tr w14:paraId="7487E308">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8" w:space="0"/>
              <w:right w:val="nil"/>
              <w:tl2br w:val="nil"/>
              <w:tr2bl w:val="nil"/>
            </w:tcBorders>
            <w:noWrap w:val="0"/>
            <w:vAlign w:val="top"/>
          </w:tcPr>
          <w:p w14:paraId="29886784">
            <w:pPr>
              <w:rPr>
                <w:rFonts w:hint="eastAsia" w:ascii="仿宋_GB2312" w:eastAsia="仿宋_GB2312"/>
                <w:kern w:val="0"/>
                <w:sz w:val="24"/>
                <w:szCs w:val="24"/>
              </w:rPr>
            </w:pPr>
            <w:r>
              <w:rPr>
                <w:rFonts w:hint="eastAsia" w:ascii="仿宋_GB2312" w:eastAsia="仿宋_GB2312"/>
                <w:kern w:val="0"/>
                <w:sz w:val="24"/>
                <w:szCs w:val="24"/>
              </w:rPr>
              <w:t>其他费用</w:t>
            </w:r>
          </w:p>
        </w:tc>
        <w:tc>
          <w:tcPr>
            <w:tcW w:w="3246" w:type="dxa"/>
            <w:tcBorders>
              <w:top w:val="single" w:color="auto" w:sz="6" w:space="0"/>
              <w:left w:val="nil"/>
              <w:bottom w:val="single" w:color="auto" w:sz="8" w:space="0"/>
              <w:right w:val="nil"/>
              <w:tl2br w:val="nil"/>
              <w:tr2bl w:val="nil"/>
            </w:tcBorders>
            <w:noWrap w:val="0"/>
            <w:vAlign w:val="center"/>
          </w:tcPr>
          <w:p w14:paraId="139555B2">
            <w:pPr>
              <w:rPr>
                <w:rFonts w:hint="eastAsia" w:ascii="仿宋_GB2312" w:eastAsia="仿宋_GB2312"/>
                <w:kern w:val="0"/>
                <w:sz w:val="24"/>
                <w:szCs w:val="24"/>
              </w:rPr>
            </w:pPr>
            <w:r>
              <w:rPr>
                <w:rFonts w:hint="eastAsia" w:ascii="仿宋_GB2312" w:eastAsia="仿宋_GB2312"/>
                <w:kern w:val="0"/>
                <w:sz w:val="24"/>
                <w:szCs w:val="24"/>
              </w:rPr>
              <w:t>详见本基金招募说明书“基金的费用与税收”部分</w:t>
            </w:r>
          </w:p>
        </w:tc>
        <w:tc>
          <w:tcPr>
            <w:tcW w:w="3293" w:type="dxa"/>
            <w:tcBorders>
              <w:top w:val="single" w:color="auto" w:sz="6" w:space="0"/>
              <w:left w:val="nil"/>
              <w:bottom w:val="single" w:color="auto" w:sz="8" w:space="0"/>
              <w:right w:val="nil"/>
              <w:tl2br w:val="nil"/>
              <w:tr2bl w:val="nil"/>
            </w:tcBorders>
            <w:noWrap w:val="0"/>
            <w:vAlign w:val="center"/>
          </w:tcPr>
          <w:p w14:paraId="41627607">
            <w:pPr>
              <w:rPr>
                <w:rFonts w:hint="eastAsia" w:ascii="仿宋_GB2312" w:eastAsia="仿宋_GB2312"/>
                <w:kern w:val="0"/>
                <w:sz w:val="24"/>
                <w:szCs w:val="24"/>
              </w:rPr>
            </w:pPr>
          </w:p>
        </w:tc>
      </w:tr>
    </w:tbl>
    <w:p w14:paraId="424FFBB5">
      <w:pPr>
        <w:jc w:val="both"/>
        <w:rPr>
          <w:rFonts w:ascii="仿宋_GB2312" w:eastAsia="仿宋_GB2312"/>
          <w:sz w:val="24"/>
          <w:szCs w:val="24"/>
        </w:rPr>
      </w:pPr>
      <w:r>
        <w:rPr>
          <w:rFonts w:hint="eastAsia" w:ascii="仿宋_GB2312" w:eastAsia="仿宋_GB2312"/>
          <w:sz w:val="24"/>
          <w:szCs w:val="24"/>
        </w:rPr>
        <w:t>注：1、通过直销机构认购/申购的C类基金份额，计提的销售服务费将在投资人赎回相应基金份额或基金合同终止时随赎回款或清算款一并返还给投资人；通过其他销售机构认购/申购的C类基金份额，持续持有超过一年后计提的销售服务费将在投资人赎回相应基金份额或基金合同终止时随赎回款或清算款一并返还给投资人。</w:t>
      </w:r>
      <w:r>
        <w:rPr>
          <w:rFonts w:hint="eastAsia" w:ascii="仿宋_GB2312" w:eastAsia="仿宋_GB2312"/>
          <w:sz w:val="24"/>
          <w:szCs w:val="24"/>
          <w:lang w:val="en-US" w:eastAsia="zh-CN"/>
        </w:rPr>
        <w:t>2、</w:t>
      </w:r>
      <w:r>
        <w:rPr>
          <w:rFonts w:hint="eastAsia" w:ascii="仿宋_GB2312" w:eastAsia="仿宋_GB2312"/>
          <w:sz w:val="24"/>
          <w:szCs w:val="24"/>
        </w:rPr>
        <w:t>本基金交易证券、基金等产生的费用和税负，按实际发生额从基金资产扣除。</w:t>
      </w:r>
    </w:p>
    <w:p w14:paraId="5FE8475C">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四、风险揭示与重要提示</w:t>
      </w:r>
    </w:p>
    <w:p w14:paraId="4A0593EF">
      <w:pPr>
        <w:jc w:val="left"/>
        <w:outlineLvl w:val="1"/>
        <w:rPr>
          <w:rFonts w:ascii="仿宋_GB2312" w:eastAsia="仿宋_GB2312"/>
          <w:b/>
          <w:sz w:val="24"/>
          <w:szCs w:val="24"/>
        </w:rPr>
      </w:pPr>
      <w:r>
        <w:rPr>
          <w:rFonts w:hint="eastAsia" w:ascii="仿宋_GB2312" w:eastAsia="仿宋_GB2312"/>
          <w:b/>
          <w:sz w:val="24"/>
          <w:szCs w:val="24"/>
        </w:rPr>
        <w:t>（一）风险揭示</w:t>
      </w:r>
    </w:p>
    <w:p w14:paraId="4A0E299F">
      <w:pPr>
        <w:ind w:firstLine="480" w:firstLineChars="200"/>
        <w:rPr>
          <w:rFonts w:ascii="仿宋_GB2312" w:eastAsia="仿宋_GB2312"/>
          <w:sz w:val="24"/>
          <w:szCs w:val="24"/>
        </w:rPr>
      </w:pPr>
      <w:r>
        <w:rPr>
          <w:rFonts w:hint="eastAsia" w:ascii="仿宋_GB2312" w:eastAsia="仿宋_GB2312"/>
          <w:sz w:val="24"/>
          <w:szCs w:val="24"/>
        </w:rPr>
        <w:t>本基金不提供任何保证。投资者可能损失投资本金。</w:t>
      </w:r>
    </w:p>
    <w:p w14:paraId="4251DA92">
      <w:pPr>
        <w:ind w:firstLine="480" w:firstLineChars="200"/>
        <w:rPr>
          <w:rFonts w:ascii="仿宋_GB2312" w:eastAsia="仿宋_GB2312"/>
          <w:sz w:val="24"/>
          <w:szCs w:val="24"/>
        </w:rPr>
      </w:pPr>
      <w:r>
        <w:rPr>
          <w:rFonts w:hint="eastAsia" w:ascii="仿宋_GB2312" w:eastAsia="仿宋_GB2312"/>
          <w:sz w:val="24"/>
          <w:szCs w:val="24"/>
        </w:rPr>
        <w:t>投资有风险，投资者购买基金时应认真阅读本基金的《招募说明书》等销售文件。</w:t>
      </w:r>
    </w:p>
    <w:p w14:paraId="57BBC1E9">
      <w:pPr>
        <w:ind w:firstLine="480" w:firstLineChars="200"/>
        <w:rPr>
          <w:rFonts w:ascii="仿宋_GB2312" w:eastAsia="仿宋_GB2312"/>
          <w:sz w:val="24"/>
          <w:szCs w:val="24"/>
        </w:rPr>
      </w:pPr>
      <w:r>
        <w:rPr>
          <w:rFonts w:hint="eastAsia" w:ascii="仿宋_GB2312" w:eastAsia="仿宋_GB2312"/>
          <w:sz w:val="24"/>
          <w:szCs w:val="24"/>
        </w:rPr>
        <w:t>基金份额持有人须了解并承受以下风险：</w:t>
      </w:r>
    </w:p>
    <w:p w14:paraId="3F1B5BCF">
      <w:pPr>
        <w:ind w:firstLine="480" w:firstLineChars="200"/>
        <w:rPr>
          <w:rFonts w:hint="eastAsia" w:ascii="仿宋_GB2312" w:eastAsia="仿宋_GB2312"/>
          <w:sz w:val="24"/>
          <w:szCs w:val="24"/>
        </w:rPr>
      </w:pPr>
      <w:r>
        <w:rPr>
          <w:rFonts w:hint="eastAsia" w:ascii="仿宋_GB2312" w:eastAsia="仿宋_GB2312"/>
          <w:sz w:val="24"/>
          <w:szCs w:val="24"/>
        </w:rPr>
        <w:t>1、市场风险</w:t>
      </w:r>
    </w:p>
    <w:p w14:paraId="712756AC">
      <w:pPr>
        <w:ind w:firstLine="480" w:firstLineChars="200"/>
        <w:rPr>
          <w:rFonts w:hint="eastAsia" w:ascii="仿宋_GB2312" w:eastAsia="仿宋_GB2312"/>
          <w:sz w:val="24"/>
          <w:szCs w:val="24"/>
        </w:rPr>
      </w:pPr>
      <w:r>
        <w:rPr>
          <w:rFonts w:hint="eastAsia" w:ascii="仿宋_GB2312" w:eastAsia="仿宋_GB2312"/>
          <w:sz w:val="24"/>
          <w:szCs w:val="24"/>
        </w:rPr>
        <w:t>（1）政策风险（2）经济周期风险（3）利率风险（4）上市公司经营风险（5）购买力风险</w:t>
      </w:r>
    </w:p>
    <w:p w14:paraId="7D6F552F">
      <w:pPr>
        <w:ind w:firstLine="480" w:firstLineChars="200"/>
        <w:rPr>
          <w:rFonts w:hint="eastAsia" w:ascii="仿宋_GB2312" w:eastAsia="仿宋_GB2312"/>
          <w:sz w:val="24"/>
          <w:szCs w:val="24"/>
        </w:rPr>
      </w:pPr>
      <w:r>
        <w:rPr>
          <w:rFonts w:hint="eastAsia" w:ascii="仿宋_GB2312" w:eastAsia="仿宋_GB2312"/>
          <w:sz w:val="24"/>
          <w:szCs w:val="24"/>
        </w:rPr>
        <w:t>2、管理风险</w:t>
      </w:r>
    </w:p>
    <w:p w14:paraId="43F721C4">
      <w:pPr>
        <w:ind w:firstLine="480" w:firstLineChars="200"/>
        <w:rPr>
          <w:rFonts w:hint="eastAsia" w:ascii="仿宋_GB2312" w:eastAsia="仿宋_GB2312"/>
          <w:sz w:val="24"/>
          <w:szCs w:val="24"/>
        </w:rPr>
      </w:pPr>
      <w:r>
        <w:rPr>
          <w:rFonts w:hint="eastAsia" w:ascii="仿宋_GB2312" w:eastAsia="仿宋_GB2312"/>
          <w:sz w:val="24"/>
          <w:szCs w:val="24"/>
        </w:rPr>
        <w:t>3、流动性风险</w:t>
      </w:r>
    </w:p>
    <w:p w14:paraId="0CA14ADE">
      <w:pPr>
        <w:ind w:firstLine="480" w:firstLineChars="200"/>
        <w:rPr>
          <w:rFonts w:hint="eastAsia" w:ascii="仿宋_GB2312" w:eastAsia="仿宋_GB2312"/>
          <w:sz w:val="24"/>
          <w:szCs w:val="24"/>
        </w:rPr>
      </w:pPr>
      <w:r>
        <w:rPr>
          <w:rFonts w:hint="eastAsia" w:ascii="仿宋_GB2312" w:eastAsia="仿宋_GB2312"/>
          <w:sz w:val="24"/>
          <w:szCs w:val="24"/>
        </w:rPr>
        <w:t>4、信用风险</w:t>
      </w:r>
    </w:p>
    <w:p w14:paraId="2C86A3E5">
      <w:pPr>
        <w:ind w:firstLine="480" w:firstLineChars="200"/>
        <w:rPr>
          <w:rFonts w:hint="eastAsia" w:ascii="仿宋_GB2312" w:eastAsia="仿宋_GB2312"/>
          <w:sz w:val="24"/>
          <w:szCs w:val="24"/>
        </w:rPr>
      </w:pPr>
      <w:r>
        <w:rPr>
          <w:rFonts w:hint="eastAsia" w:ascii="仿宋_GB2312" w:eastAsia="仿宋_GB2312"/>
          <w:sz w:val="24"/>
          <w:szCs w:val="24"/>
        </w:rPr>
        <w:t>5、本基金的特有风险</w:t>
      </w:r>
    </w:p>
    <w:p w14:paraId="03CC524E">
      <w:pPr>
        <w:ind w:firstLine="480" w:firstLineChars="200"/>
        <w:rPr>
          <w:rFonts w:hint="eastAsia" w:ascii="仿宋_GB2312" w:eastAsia="仿宋_GB2312"/>
          <w:sz w:val="24"/>
          <w:szCs w:val="24"/>
        </w:rPr>
      </w:pPr>
      <w:r>
        <w:rPr>
          <w:rFonts w:hint="eastAsia" w:ascii="仿宋_GB2312" w:eastAsia="仿宋_GB2312"/>
          <w:sz w:val="24"/>
          <w:szCs w:val="24"/>
        </w:rPr>
        <w:t>（1）本基金属于混合型基金，股票投资（含存托凭证）占基金资产的比例为60%-95%</w:t>
      </w:r>
      <w:r>
        <w:rPr>
          <w:rFonts w:hint="eastAsia" w:ascii="仿宋_GB2312" w:eastAsia="仿宋_GB2312"/>
          <w:sz w:val="24"/>
          <w:szCs w:val="24"/>
          <w:lang w:eastAsia="zh-CN"/>
        </w:rPr>
        <w:t>（</w:t>
      </w:r>
      <w:r>
        <w:rPr>
          <w:rFonts w:hint="eastAsia" w:ascii="仿宋_GB2312" w:eastAsia="仿宋_GB2312"/>
          <w:sz w:val="24"/>
          <w:szCs w:val="24"/>
        </w:rPr>
        <w:t>其中投资于港股通标的股票的比例占股票资产的0%-50%</w:t>
      </w:r>
      <w:r>
        <w:rPr>
          <w:rFonts w:hint="eastAsia" w:ascii="仿宋_GB2312" w:eastAsia="仿宋_GB2312"/>
          <w:sz w:val="24"/>
          <w:szCs w:val="24"/>
          <w:lang w:eastAsia="zh-CN"/>
        </w:rPr>
        <w:t>）</w:t>
      </w:r>
      <w:r>
        <w:rPr>
          <w:rFonts w:hint="eastAsia" w:ascii="仿宋_GB2312" w:eastAsia="仿宋_GB2312"/>
          <w:sz w:val="24"/>
          <w:szCs w:val="24"/>
        </w:rPr>
        <w:t>，投资于</w:t>
      </w:r>
      <w:r>
        <w:rPr>
          <w:rFonts w:hint="eastAsia" w:ascii="仿宋_GB2312" w:eastAsia="仿宋_GB2312"/>
          <w:sz w:val="24"/>
          <w:szCs w:val="24"/>
          <w:lang w:eastAsia="zh-CN"/>
        </w:rPr>
        <w:t>消费</w:t>
      </w:r>
      <w:r>
        <w:rPr>
          <w:rFonts w:hint="eastAsia" w:ascii="仿宋_GB2312" w:eastAsia="仿宋_GB2312"/>
          <w:sz w:val="24"/>
          <w:szCs w:val="24"/>
        </w:rPr>
        <w:t>主题相关股票（含存托凭证）的比例不低于非现金基金资产的80%。本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24A23C81">
      <w:pPr>
        <w:ind w:firstLine="480" w:firstLineChars="200"/>
        <w:rPr>
          <w:rFonts w:hint="eastAsia" w:ascii="仿宋_GB2312" w:eastAsia="仿宋_GB2312"/>
          <w:sz w:val="24"/>
          <w:szCs w:val="24"/>
        </w:rPr>
      </w:pPr>
      <w:r>
        <w:rPr>
          <w:rFonts w:hint="eastAsia" w:ascii="仿宋_GB2312" w:eastAsia="仿宋_GB2312"/>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4B2596BC">
      <w:pPr>
        <w:ind w:firstLine="480" w:firstLineChars="200"/>
        <w:rPr>
          <w:rFonts w:hint="eastAsia" w:ascii="仿宋_GB2312" w:eastAsia="仿宋_GB2312"/>
          <w:sz w:val="24"/>
          <w:szCs w:val="24"/>
        </w:rPr>
      </w:pPr>
      <w:r>
        <w:rPr>
          <w:rFonts w:hint="eastAsia" w:ascii="仿宋_GB2312" w:eastAsia="仿宋_GB2312"/>
          <w:sz w:val="24"/>
          <w:szCs w:val="24"/>
        </w:rPr>
        <w:t>（3）本基金可投资创业板股票，创业板个股上市后的前五个交易日不设价格涨跌幅限制，第六个交易日开始涨跌幅限制比例为20%。</w:t>
      </w:r>
    </w:p>
    <w:p w14:paraId="0DDB7799">
      <w:pPr>
        <w:ind w:firstLine="480" w:firstLineChars="200"/>
        <w:rPr>
          <w:rFonts w:hint="eastAsia" w:ascii="仿宋_GB2312" w:eastAsia="仿宋_GB2312"/>
          <w:sz w:val="24"/>
          <w:szCs w:val="24"/>
        </w:rPr>
      </w:pPr>
      <w:r>
        <w:rPr>
          <w:rFonts w:hint="eastAsia" w:ascii="仿宋_GB2312" w:eastAsia="仿宋_GB2312"/>
          <w:sz w:val="24"/>
          <w:szCs w:val="24"/>
        </w:rPr>
        <w:t>（4）投资股指期货的特定风险</w:t>
      </w:r>
    </w:p>
    <w:p w14:paraId="0F06535C">
      <w:pPr>
        <w:ind w:firstLine="480" w:firstLineChars="200"/>
        <w:rPr>
          <w:rFonts w:hint="eastAsia" w:ascii="仿宋_GB2312" w:eastAsia="仿宋_GB2312"/>
          <w:sz w:val="24"/>
          <w:szCs w:val="24"/>
        </w:rPr>
      </w:pPr>
      <w:r>
        <w:rPr>
          <w:rFonts w:hint="eastAsia" w:ascii="仿宋_GB2312" w:eastAsia="仿宋_GB2312"/>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5DA6B34E">
      <w:pPr>
        <w:ind w:firstLine="480" w:firstLineChars="200"/>
        <w:rPr>
          <w:rFonts w:hint="eastAsia" w:ascii="仿宋_GB2312" w:eastAsia="仿宋_GB2312"/>
          <w:sz w:val="24"/>
          <w:szCs w:val="24"/>
        </w:rPr>
      </w:pPr>
      <w:r>
        <w:rPr>
          <w:rFonts w:hint="eastAsia" w:ascii="仿宋_GB2312" w:eastAsia="仿宋_GB2312"/>
          <w:sz w:val="24"/>
          <w:szCs w:val="24"/>
        </w:rPr>
        <w:t>此外，由于衍生品通常具有杠杆效应，价格波动比标的工具更为剧烈，并且其定价相当复杂，不适当的估值也有可能使基金资产面临损失风险。</w:t>
      </w:r>
    </w:p>
    <w:p w14:paraId="7454B49F">
      <w:pPr>
        <w:ind w:firstLine="480" w:firstLineChars="200"/>
        <w:rPr>
          <w:rFonts w:hint="eastAsia" w:ascii="仿宋_GB2312" w:eastAsia="仿宋_GB2312"/>
          <w:sz w:val="24"/>
          <w:szCs w:val="24"/>
        </w:rPr>
      </w:pPr>
      <w:r>
        <w:rPr>
          <w:rFonts w:hint="eastAsia" w:ascii="仿宋_GB2312" w:eastAsia="仿宋_GB2312"/>
          <w:sz w:val="24"/>
          <w:szCs w:val="24"/>
        </w:rPr>
        <w:t>（5）投资资产支持证券的特定风险</w:t>
      </w:r>
    </w:p>
    <w:p w14:paraId="2A6AD7EF">
      <w:pPr>
        <w:ind w:firstLine="480" w:firstLineChars="200"/>
        <w:rPr>
          <w:rFonts w:hint="eastAsia" w:ascii="仿宋_GB2312" w:eastAsia="仿宋_GB2312"/>
          <w:sz w:val="24"/>
          <w:szCs w:val="24"/>
        </w:rPr>
      </w:pPr>
      <w:r>
        <w:rPr>
          <w:rFonts w:hint="eastAsia" w:ascii="仿宋_GB2312" w:eastAsia="仿宋_GB2312"/>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1AB8B832">
      <w:pPr>
        <w:ind w:firstLine="480" w:firstLineChars="200"/>
        <w:rPr>
          <w:rFonts w:hint="eastAsia" w:ascii="仿宋_GB2312" w:eastAsia="仿宋_GB2312"/>
          <w:sz w:val="24"/>
          <w:szCs w:val="24"/>
        </w:rPr>
      </w:pPr>
      <w:r>
        <w:rPr>
          <w:rFonts w:hint="eastAsia" w:ascii="仿宋_GB2312" w:eastAsia="仿宋_GB2312"/>
          <w:sz w:val="24"/>
          <w:szCs w:val="24"/>
        </w:rPr>
        <w:t>（6）投资流通受限证券的特定风险</w:t>
      </w:r>
    </w:p>
    <w:p w14:paraId="2C9B934E">
      <w:pPr>
        <w:ind w:firstLine="480" w:firstLineChars="200"/>
        <w:rPr>
          <w:rFonts w:hint="eastAsia" w:ascii="仿宋_GB2312" w:eastAsia="仿宋_GB2312"/>
          <w:sz w:val="24"/>
          <w:szCs w:val="24"/>
        </w:rPr>
      </w:pPr>
      <w:r>
        <w:rPr>
          <w:rFonts w:hint="eastAsia" w:ascii="仿宋_GB2312" w:eastAsia="仿宋_GB2312"/>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D0FE57D">
      <w:pPr>
        <w:ind w:firstLine="480" w:firstLineChars="200"/>
        <w:rPr>
          <w:rFonts w:hint="eastAsia" w:ascii="仿宋_GB2312" w:eastAsia="仿宋_GB2312"/>
          <w:sz w:val="24"/>
          <w:szCs w:val="24"/>
        </w:rPr>
      </w:pPr>
      <w:r>
        <w:rPr>
          <w:rFonts w:hint="eastAsia" w:ascii="仿宋_GB2312" w:eastAsia="仿宋_GB2312"/>
          <w:sz w:val="24"/>
          <w:szCs w:val="24"/>
        </w:rPr>
        <w:t>（7）投资港股通标的股票的特定风险</w:t>
      </w:r>
    </w:p>
    <w:p w14:paraId="01EA1C9A">
      <w:pPr>
        <w:ind w:firstLine="480" w:firstLineChars="200"/>
        <w:rPr>
          <w:rFonts w:hint="eastAsia" w:ascii="仿宋_GB2312" w:eastAsia="仿宋_GB2312"/>
          <w:sz w:val="24"/>
          <w:szCs w:val="24"/>
        </w:rPr>
      </w:pPr>
      <w:r>
        <w:rPr>
          <w:rFonts w:hint="eastAsia" w:ascii="仿宋_GB2312" w:eastAsia="仿宋_GB2312"/>
          <w:sz w:val="24"/>
          <w:szCs w:val="24"/>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14:paraId="61A4FB2A">
      <w:pPr>
        <w:ind w:firstLine="480" w:firstLineChars="200"/>
        <w:rPr>
          <w:rFonts w:hint="eastAsia" w:ascii="仿宋_GB2312" w:eastAsia="仿宋_GB2312"/>
          <w:sz w:val="24"/>
          <w:szCs w:val="24"/>
        </w:rPr>
      </w:pPr>
      <w:r>
        <w:rPr>
          <w:rFonts w:hint="eastAsia" w:ascii="仿宋_GB2312" w:eastAsia="仿宋_GB2312"/>
          <w:sz w:val="24"/>
          <w:szCs w:val="24"/>
        </w:rPr>
        <w:t>（8）投资存托凭证的特定风险</w:t>
      </w:r>
    </w:p>
    <w:p w14:paraId="11C0BB84">
      <w:pPr>
        <w:ind w:firstLine="480" w:firstLineChars="200"/>
        <w:rPr>
          <w:rFonts w:hint="eastAsia" w:ascii="仿宋_GB2312" w:eastAsia="仿宋_GB2312"/>
          <w:sz w:val="24"/>
          <w:szCs w:val="24"/>
        </w:rPr>
      </w:pPr>
      <w:r>
        <w:rPr>
          <w:rFonts w:hint="eastAsia" w:ascii="仿宋_GB2312" w:eastAsia="仿宋_GB2312"/>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3221C85B">
      <w:pPr>
        <w:ind w:firstLine="480" w:firstLineChars="200"/>
        <w:rPr>
          <w:rFonts w:hint="eastAsia" w:ascii="仿宋_GB2312" w:eastAsia="仿宋_GB2312"/>
          <w:sz w:val="24"/>
          <w:szCs w:val="24"/>
        </w:rPr>
      </w:pPr>
      <w:r>
        <w:rPr>
          <w:rFonts w:hint="eastAsia" w:ascii="仿宋_GB2312" w:eastAsia="仿宋_GB2312"/>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E1BBC68">
      <w:pPr>
        <w:ind w:firstLine="480" w:firstLineChars="200"/>
        <w:rPr>
          <w:rFonts w:hint="eastAsia" w:ascii="仿宋_GB2312" w:eastAsia="仿宋_GB2312"/>
          <w:sz w:val="24"/>
          <w:szCs w:val="24"/>
        </w:rPr>
      </w:pPr>
      <w:r>
        <w:rPr>
          <w:rFonts w:hint="eastAsia" w:ascii="仿宋_GB2312" w:eastAsia="仿宋_GB2312"/>
          <w:sz w:val="24"/>
          <w:szCs w:val="24"/>
        </w:rPr>
        <w:t>本基金可根据投资策略需要或市场环境的变化，选择将部分基金资产投资于存托凭证或选择不将基金资产投资于存托凭证，基金资产并非必然投资存托凭证。</w:t>
      </w:r>
    </w:p>
    <w:p w14:paraId="1BCB8078">
      <w:pPr>
        <w:ind w:firstLine="480" w:firstLineChars="200"/>
        <w:rPr>
          <w:rFonts w:hint="eastAsia" w:ascii="仿宋_GB2312" w:eastAsia="仿宋_GB2312"/>
          <w:sz w:val="24"/>
          <w:szCs w:val="24"/>
        </w:rPr>
      </w:pPr>
      <w:r>
        <w:rPr>
          <w:rFonts w:hint="eastAsia" w:ascii="仿宋_GB2312" w:eastAsia="仿宋_GB2312"/>
          <w:sz w:val="24"/>
          <w:szCs w:val="24"/>
        </w:rPr>
        <w:t>（9）投资科创板股票的特定风险</w:t>
      </w:r>
    </w:p>
    <w:p w14:paraId="46F3042E">
      <w:pPr>
        <w:ind w:firstLine="480" w:firstLineChars="200"/>
        <w:rPr>
          <w:rFonts w:hint="eastAsia" w:ascii="仿宋_GB2312" w:eastAsia="仿宋_GB2312"/>
          <w:sz w:val="24"/>
          <w:szCs w:val="24"/>
          <w:lang w:eastAsia="zh-CN"/>
        </w:rPr>
      </w:pPr>
      <w:r>
        <w:rPr>
          <w:rFonts w:hint="eastAsia" w:ascii="仿宋_GB2312" w:eastAsia="仿宋_GB2312"/>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r>
        <w:rPr>
          <w:rFonts w:hint="eastAsia" w:ascii="仿宋_GB2312" w:eastAsia="仿宋_GB2312"/>
          <w:sz w:val="24"/>
          <w:szCs w:val="24"/>
          <w:lang w:eastAsia="zh-CN"/>
        </w:rPr>
        <w:t>。</w:t>
      </w:r>
    </w:p>
    <w:p w14:paraId="0AE6AD27">
      <w:pPr>
        <w:ind w:firstLine="420"/>
        <w:outlineLvl w:val="2"/>
        <w:rPr>
          <w:rFonts w:hint="eastAsia" w:ascii="仿宋_GB2312" w:eastAsia="仿宋_GB2312"/>
          <w:sz w:val="24"/>
          <w:szCs w:val="24"/>
        </w:rPr>
      </w:pPr>
      <w:r>
        <w:rPr>
          <w:rFonts w:hint="eastAsia" w:ascii="仿宋_GB2312" w:eastAsia="仿宋_GB2312"/>
          <w:sz w:val="24"/>
          <w:szCs w:val="24"/>
          <w:lang w:val="en-US" w:eastAsia="zh-CN"/>
        </w:rPr>
        <w:t>（10）投资主题</w:t>
      </w:r>
      <w:r>
        <w:rPr>
          <w:rFonts w:hint="eastAsia" w:ascii="仿宋_GB2312" w:eastAsia="仿宋_GB2312"/>
          <w:sz w:val="24"/>
          <w:szCs w:val="24"/>
        </w:rPr>
        <w:t>集中风险</w:t>
      </w:r>
    </w:p>
    <w:p w14:paraId="6BC8EC55">
      <w:pPr>
        <w:ind w:firstLine="420"/>
        <w:outlineLvl w:val="2"/>
        <w:rPr>
          <w:rFonts w:hint="eastAsia" w:ascii="仿宋_GB2312" w:eastAsia="仿宋_GB2312"/>
          <w:sz w:val="24"/>
          <w:szCs w:val="24"/>
        </w:rPr>
      </w:pPr>
      <w:r>
        <w:rPr>
          <w:rFonts w:hint="eastAsia" w:ascii="仿宋_GB2312" w:eastAsia="仿宋_GB2312"/>
          <w:sz w:val="24"/>
          <w:szCs w:val="24"/>
        </w:rPr>
        <w:t>本基金主要投资于</w:t>
      </w:r>
      <w:r>
        <w:rPr>
          <w:rFonts w:hint="eastAsia" w:ascii="仿宋_GB2312" w:eastAsia="仿宋_GB2312"/>
          <w:sz w:val="24"/>
          <w:szCs w:val="24"/>
          <w:lang w:eastAsia="zh-CN"/>
        </w:rPr>
        <w:t>消费</w:t>
      </w:r>
      <w:r>
        <w:rPr>
          <w:rFonts w:hint="eastAsia" w:ascii="仿宋_GB2312" w:eastAsia="仿宋_GB2312"/>
          <w:sz w:val="24"/>
          <w:szCs w:val="24"/>
        </w:rPr>
        <w:t>主题相关上市公司，投资标的</w:t>
      </w:r>
      <w:r>
        <w:rPr>
          <w:rFonts w:hint="eastAsia" w:ascii="仿宋_GB2312" w:eastAsia="仿宋_GB2312"/>
          <w:sz w:val="24"/>
          <w:szCs w:val="24"/>
          <w:lang w:val="en-US" w:eastAsia="zh-CN"/>
        </w:rPr>
        <w:t>相对</w:t>
      </w:r>
      <w:r>
        <w:rPr>
          <w:rFonts w:hint="eastAsia" w:ascii="仿宋_GB2312" w:eastAsia="仿宋_GB2312"/>
          <w:sz w:val="24"/>
          <w:szCs w:val="24"/>
        </w:rPr>
        <w:t>集中有可能会给本基金带来风险。</w:t>
      </w:r>
    </w:p>
    <w:p w14:paraId="4AEA2809">
      <w:pPr>
        <w:ind w:firstLine="420"/>
        <w:outlineLvl w:val="2"/>
        <w:rPr>
          <w:rFonts w:hint="eastAsia"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lang w:val="en-US" w:eastAsia="zh-CN"/>
        </w:rPr>
        <w:t>11</w:t>
      </w:r>
      <w:r>
        <w:rPr>
          <w:rFonts w:hint="eastAsia" w:ascii="仿宋_GB2312" w:eastAsia="仿宋_GB2312"/>
          <w:sz w:val="24"/>
          <w:szCs w:val="24"/>
          <w:lang w:eastAsia="zh-CN"/>
        </w:rPr>
        <w:t>）</w:t>
      </w:r>
      <w:r>
        <w:rPr>
          <w:rFonts w:hint="eastAsia" w:ascii="仿宋_GB2312" w:eastAsia="仿宋_GB2312"/>
          <w:sz w:val="24"/>
          <w:szCs w:val="24"/>
        </w:rPr>
        <w:t>基金合同自动终止风险</w:t>
      </w:r>
    </w:p>
    <w:p w14:paraId="5B0B0201">
      <w:pPr>
        <w:ind w:firstLine="420" w:firstLineChars="0"/>
        <w:outlineLvl w:val="2"/>
        <w:rPr>
          <w:rFonts w:hint="eastAsia" w:ascii="仿宋_GB2312" w:eastAsia="仿宋_GB2312"/>
          <w:sz w:val="24"/>
          <w:szCs w:val="24"/>
          <w:lang w:eastAsia="zh-CN"/>
        </w:rPr>
      </w:pPr>
      <w:r>
        <w:rPr>
          <w:rFonts w:hint="eastAsia" w:ascii="仿宋_GB2312" w:eastAsia="仿宋_GB2312"/>
          <w:sz w:val="24"/>
          <w:szCs w:val="24"/>
        </w:rPr>
        <w:t>本基金为发起式基金，《基金合同》生效之日起三年后的对应日，若基金资产净值低于2亿元，基金合同自动终止，且不得通过召开基金份额持有人大会的方式延续《基金合同》期限。因此，投资人可能面临基金合同自动终止的不确定性风险。</w:t>
      </w:r>
    </w:p>
    <w:p w14:paraId="437A0C37">
      <w:pPr>
        <w:ind w:firstLine="480" w:firstLineChars="200"/>
        <w:rPr>
          <w:rFonts w:hint="eastAsia" w:ascii="仿宋_GB2312" w:eastAsia="仿宋_GB2312"/>
          <w:sz w:val="24"/>
          <w:szCs w:val="24"/>
        </w:rPr>
      </w:pPr>
      <w:r>
        <w:rPr>
          <w:rFonts w:hint="eastAsia" w:ascii="仿宋_GB2312" w:eastAsia="仿宋_GB2312"/>
          <w:sz w:val="24"/>
          <w:szCs w:val="24"/>
        </w:rPr>
        <w:t>6、本基金法律文件风险收益特征表述与销售机构基金风险评价可能不一致的风险</w:t>
      </w:r>
    </w:p>
    <w:p w14:paraId="2D191DDE">
      <w:pPr>
        <w:ind w:firstLine="480" w:firstLineChars="200"/>
        <w:rPr>
          <w:rFonts w:hint="eastAsia" w:ascii="仿宋_GB2312" w:eastAsia="仿宋_GB2312"/>
          <w:sz w:val="24"/>
          <w:szCs w:val="24"/>
        </w:rPr>
      </w:pPr>
      <w:r>
        <w:rPr>
          <w:rFonts w:hint="eastAsia" w:ascii="仿宋_GB2312" w:eastAsia="仿宋_GB2312"/>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04E079A8">
      <w:pPr>
        <w:ind w:firstLine="480" w:firstLineChars="200"/>
        <w:outlineLvl w:val="9"/>
        <w:rPr>
          <w:rFonts w:ascii="仿宋_GB2312" w:eastAsia="仿宋_GB2312"/>
          <w:sz w:val="24"/>
          <w:szCs w:val="24"/>
        </w:rPr>
      </w:pPr>
      <w:r>
        <w:rPr>
          <w:rFonts w:hint="eastAsia" w:ascii="仿宋_GB2312" w:eastAsia="仿宋_GB2312"/>
          <w:sz w:val="24"/>
          <w:szCs w:val="24"/>
        </w:rPr>
        <w:t>7、其他风险</w:t>
      </w:r>
    </w:p>
    <w:p w14:paraId="3F92C316">
      <w:pPr>
        <w:outlineLvl w:val="1"/>
        <w:rPr>
          <w:rFonts w:ascii="仿宋_GB2312" w:eastAsia="仿宋_GB2312"/>
          <w:b/>
          <w:sz w:val="24"/>
          <w:szCs w:val="24"/>
        </w:rPr>
      </w:pPr>
      <w:r>
        <w:rPr>
          <w:rFonts w:hint="eastAsia" w:ascii="仿宋_GB2312" w:eastAsia="仿宋_GB2312"/>
          <w:b/>
          <w:sz w:val="24"/>
          <w:szCs w:val="24"/>
        </w:rPr>
        <w:t>（二）重要提示</w:t>
      </w:r>
    </w:p>
    <w:p w14:paraId="72EA5D3B">
      <w:pPr>
        <w:ind w:firstLine="420"/>
        <w:rPr>
          <w:rFonts w:ascii="仿宋_GB2312" w:eastAsia="仿宋_GB2312"/>
          <w:sz w:val="24"/>
          <w:szCs w:val="24"/>
        </w:rPr>
      </w:pPr>
      <w:r>
        <w:rPr>
          <w:rFonts w:hint="eastAsia" w:ascii="仿宋_GB2312" w:eastAsia="仿宋_GB2312"/>
          <w:sz w:val="24"/>
          <w:szCs w:val="24"/>
        </w:rPr>
        <w:t>中国证监会对本基金募集的核准或注册，并不表明其对本基金的价值和收益作出实质性判断或保证，也不表明投资于本基金没有风险。</w:t>
      </w:r>
    </w:p>
    <w:p w14:paraId="16BE9274">
      <w:pPr>
        <w:ind w:firstLine="420"/>
        <w:rPr>
          <w:rFonts w:ascii="仿宋_GB2312" w:eastAsia="仿宋_GB2312"/>
          <w:sz w:val="24"/>
          <w:szCs w:val="24"/>
        </w:rPr>
      </w:pPr>
      <w:r>
        <w:rPr>
          <w:rFonts w:hint="eastAsia" w:ascii="仿宋_GB2312" w:eastAsia="仿宋_GB2312"/>
          <w:sz w:val="24"/>
          <w:szCs w:val="24"/>
        </w:rPr>
        <w:t>基金管理人依照恪尽职守、诚实信用、谨慎勤勉的原则管理和运用基金财产，但不保证基金一定盈利，也不保证最低收益。</w:t>
      </w:r>
    </w:p>
    <w:p w14:paraId="32AC3435">
      <w:pPr>
        <w:ind w:firstLine="420"/>
        <w:rPr>
          <w:rFonts w:ascii="仿宋_GB2312" w:eastAsia="仿宋_GB2312"/>
          <w:sz w:val="24"/>
          <w:szCs w:val="24"/>
        </w:rPr>
      </w:pPr>
      <w:r>
        <w:rPr>
          <w:rFonts w:hint="eastAsia" w:ascii="仿宋_GB2312" w:eastAsia="仿宋_GB2312"/>
          <w:sz w:val="24"/>
          <w:szCs w:val="24"/>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469FD70D">
      <w:pPr>
        <w:ind w:firstLine="420"/>
        <w:rPr>
          <w:rFonts w:ascii="仿宋_GB2312" w:eastAsia="仿宋_GB2312"/>
          <w:sz w:val="24"/>
          <w:szCs w:val="24"/>
        </w:rPr>
      </w:pPr>
      <w:r>
        <w:rPr>
          <w:rFonts w:hint="eastAsia" w:ascii="仿宋_GB2312" w:eastAsia="仿宋_GB2312"/>
          <w:sz w:val="24"/>
          <w:szCs w:val="24"/>
        </w:rPr>
        <w:t>销售机构的风险等级评价与基金法律文件中风险收益特征的表述可能存在不同，投资人在购买本基金时需按照销售机构的要求完成风险承受能力与产品风险之间的匹配检验。</w:t>
      </w:r>
    </w:p>
    <w:p w14:paraId="409F260F">
      <w:pPr>
        <w:ind w:firstLine="420"/>
        <w:rPr>
          <w:rFonts w:ascii="仿宋_GB2312" w:eastAsia="仿宋_GB2312"/>
          <w:b/>
          <w:sz w:val="24"/>
          <w:szCs w:val="24"/>
        </w:rPr>
      </w:pPr>
      <w:r>
        <w:rPr>
          <w:rFonts w:hint="eastAsia" w:ascii="仿宋_GB2312" w:eastAsia="仿宋_GB2312"/>
          <w:b/>
          <w:szCs w:val="21"/>
        </w:rPr>
        <w:t>▲▲</w:t>
      </w:r>
      <w:r>
        <w:rPr>
          <w:rFonts w:hint="eastAsia" w:ascii="仿宋_GB2312" w:eastAsia="仿宋_GB2312"/>
          <w:b/>
          <w:sz w:val="24"/>
          <w:szCs w:val="24"/>
        </w:rPr>
        <w:t>因基金合同而产生的或与基金合同有关的一切争议，如经友好协商未能解决的，任何一方均有权将争议提交</w:t>
      </w:r>
      <w:r>
        <w:rPr>
          <w:rFonts w:hint="default" w:ascii="仿宋_GB2312" w:eastAsia="仿宋_GB2312"/>
          <w:b/>
          <w:sz w:val="24"/>
          <w:szCs w:val="24"/>
          <w:lang w:val="en-US"/>
        </w:rPr>
        <w:t>中国</w:t>
      </w:r>
      <w:r>
        <w:rPr>
          <w:rFonts w:hint="eastAsia" w:ascii="仿宋_GB2312" w:eastAsia="仿宋_GB2312"/>
          <w:b/>
          <w:sz w:val="24"/>
          <w:szCs w:val="24"/>
        </w:rPr>
        <w:t>国际经济贸易仲裁委员会，按照</w:t>
      </w:r>
      <w:r>
        <w:rPr>
          <w:rFonts w:hint="default" w:ascii="仿宋_GB2312" w:eastAsia="仿宋_GB2312"/>
          <w:b/>
          <w:sz w:val="24"/>
          <w:szCs w:val="24"/>
          <w:lang w:val="en-US"/>
        </w:rPr>
        <w:t>中国</w:t>
      </w:r>
      <w:r>
        <w:rPr>
          <w:rFonts w:hint="eastAsia" w:ascii="仿宋_GB2312" w:eastAsia="仿宋_GB2312"/>
          <w:b/>
          <w:sz w:val="24"/>
          <w:szCs w:val="24"/>
        </w:rPr>
        <w:t>国际经济贸易仲裁委员会届时有效的仲裁规则进行仲裁。仲裁地点为</w:t>
      </w:r>
      <w:r>
        <w:rPr>
          <w:rFonts w:hint="default" w:ascii="仿宋_GB2312" w:eastAsia="仿宋_GB2312"/>
          <w:b/>
          <w:sz w:val="24"/>
          <w:szCs w:val="24"/>
          <w:lang w:val="en-US" w:eastAsia="zh-CN"/>
        </w:rPr>
        <w:t>北京</w:t>
      </w:r>
      <w:r>
        <w:rPr>
          <w:rFonts w:hint="eastAsia" w:ascii="仿宋_GB2312" w:eastAsia="仿宋_GB2312"/>
          <w:b/>
          <w:sz w:val="24"/>
          <w:szCs w:val="24"/>
        </w:rPr>
        <w:t>市。</w:t>
      </w:r>
    </w:p>
    <w:p w14:paraId="07D06FAF">
      <w:pPr>
        <w:ind w:firstLine="420"/>
        <w:jc w:val="left"/>
        <w:rPr>
          <w:rFonts w:ascii="仿宋_GB2312" w:eastAsia="仿宋_GB2312"/>
          <w:sz w:val="24"/>
          <w:szCs w:val="24"/>
        </w:rPr>
      </w:pPr>
      <w:r>
        <w:rPr>
          <w:rFonts w:hint="eastAsia" w:ascii="仿宋_GB2312" w:eastAsia="仿宋_GB2312"/>
          <w:sz w:val="24"/>
          <w:szCs w:val="24"/>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038D086">
      <w:pPr>
        <w:jc w:val="left"/>
        <w:outlineLvl w:val="0"/>
        <w:rPr>
          <w:rFonts w:ascii="仿宋_GB2312" w:eastAsia="仿宋_GB2312"/>
          <w:b/>
          <w:sz w:val="24"/>
          <w:szCs w:val="24"/>
        </w:rPr>
      </w:pPr>
      <w:r>
        <w:rPr>
          <w:rFonts w:hint="eastAsia" w:ascii="仿宋_GB2312" w:eastAsia="仿宋_GB2312"/>
          <w:b/>
          <w:sz w:val="24"/>
          <w:szCs w:val="24"/>
        </w:rPr>
        <w:t>五、其他资料查询方式</w:t>
      </w:r>
    </w:p>
    <w:p w14:paraId="5C9A3DA3">
      <w:pPr>
        <w:ind w:firstLine="420"/>
        <w:jc w:val="left"/>
        <w:rPr>
          <w:rFonts w:ascii="仿宋_GB2312" w:eastAsia="仿宋_GB2312"/>
          <w:sz w:val="24"/>
          <w:szCs w:val="24"/>
        </w:rPr>
      </w:pPr>
      <w:r>
        <w:rPr>
          <w:rFonts w:hint="eastAsia" w:ascii="仿宋_GB2312" w:eastAsia="仿宋_GB2312"/>
          <w:sz w:val="24"/>
          <w:szCs w:val="24"/>
        </w:rPr>
        <w:t>以下资料详见交银施罗德基金官方网站[www.fund001.com][客服电话：400-700-5000]</w:t>
      </w:r>
    </w:p>
    <w:p w14:paraId="538FBB18">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基金合同》、</w:t>
      </w:r>
    </w:p>
    <w:p w14:paraId="3011969A">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托管协议》、</w:t>
      </w:r>
    </w:p>
    <w:p w14:paraId="52C5EF94">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招募说明书》</w:t>
      </w:r>
    </w:p>
    <w:p w14:paraId="2049F847">
      <w:pPr>
        <w:ind w:firstLine="420"/>
        <w:jc w:val="left"/>
        <w:rPr>
          <w:rFonts w:ascii="仿宋_GB2312" w:eastAsia="仿宋_GB2312"/>
          <w:sz w:val="24"/>
          <w:szCs w:val="24"/>
        </w:rPr>
      </w:pPr>
      <w:r>
        <w:rPr>
          <w:rFonts w:hint="eastAsia" w:ascii="仿宋_GB2312" w:eastAsia="仿宋_GB2312"/>
          <w:sz w:val="24"/>
          <w:szCs w:val="24"/>
        </w:rPr>
        <w:t>●定期报告，包括基金季度报告、中期报告和年度报告</w:t>
      </w:r>
    </w:p>
    <w:p w14:paraId="3C673074">
      <w:pPr>
        <w:ind w:firstLine="420"/>
        <w:jc w:val="left"/>
        <w:rPr>
          <w:rFonts w:ascii="仿宋_GB2312" w:eastAsia="仿宋_GB2312"/>
          <w:sz w:val="24"/>
          <w:szCs w:val="24"/>
        </w:rPr>
      </w:pPr>
      <w:r>
        <w:rPr>
          <w:rFonts w:hint="eastAsia" w:ascii="仿宋_GB2312" w:eastAsia="仿宋_GB2312"/>
          <w:sz w:val="24"/>
          <w:szCs w:val="24"/>
        </w:rPr>
        <w:t>●基金份额净值</w:t>
      </w:r>
    </w:p>
    <w:p w14:paraId="666AB2E8">
      <w:pPr>
        <w:ind w:firstLine="420"/>
        <w:jc w:val="left"/>
        <w:rPr>
          <w:rFonts w:ascii="仿宋_GB2312" w:eastAsia="仿宋_GB2312"/>
          <w:sz w:val="24"/>
          <w:szCs w:val="24"/>
        </w:rPr>
      </w:pPr>
      <w:r>
        <w:rPr>
          <w:rFonts w:hint="eastAsia" w:ascii="仿宋_GB2312" w:eastAsia="仿宋_GB2312"/>
          <w:sz w:val="24"/>
          <w:szCs w:val="24"/>
        </w:rPr>
        <w:t>●基金销售机构及联系方式</w:t>
      </w:r>
    </w:p>
    <w:p w14:paraId="7197CD3C">
      <w:pPr>
        <w:ind w:firstLine="420"/>
        <w:jc w:val="left"/>
        <w:rPr>
          <w:rFonts w:ascii="仿宋_GB2312" w:eastAsia="仿宋_GB2312"/>
          <w:sz w:val="24"/>
          <w:szCs w:val="24"/>
        </w:rPr>
      </w:pPr>
      <w:r>
        <w:rPr>
          <w:rFonts w:hint="eastAsia" w:ascii="仿宋_GB2312" w:eastAsia="仿宋_GB2312"/>
          <w:sz w:val="24"/>
          <w:szCs w:val="24"/>
        </w:rPr>
        <w:t>●其他重要资料</w:t>
      </w:r>
    </w:p>
    <w:p w14:paraId="6294FCAB">
      <w:pPr>
        <w:jc w:val="left"/>
        <w:outlineLvl w:val="0"/>
        <w:rPr>
          <w:rFonts w:ascii="仿宋_GB2312" w:eastAsia="仿宋_GB2312"/>
          <w:b/>
          <w:sz w:val="24"/>
          <w:szCs w:val="24"/>
        </w:rPr>
      </w:pPr>
      <w:r>
        <w:rPr>
          <w:rFonts w:hint="eastAsia" w:ascii="仿宋_GB2312" w:eastAsia="仿宋_GB2312"/>
          <w:b/>
          <w:sz w:val="24"/>
          <w:szCs w:val="24"/>
        </w:rPr>
        <w:t>六、其他情况说明</w:t>
      </w:r>
    </w:p>
    <w:p w14:paraId="2ED7C893">
      <w:pPr>
        <w:ind w:firstLine="420"/>
        <w:jc w:val="left"/>
        <w:rPr>
          <w:rFonts w:ascii="仿宋_GB2312" w:eastAsia="仿宋_GB2312"/>
          <w:sz w:val="24"/>
          <w:szCs w:val="24"/>
        </w:rPr>
      </w:pPr>
      <w:r>
        <w:rPr>
          <w:rFonts w:hint="eastAsia" w:ascii="仿宋_GB2312" w:eastAsia="仿宋_GB2312"/>
          <w:sz w:val="24"/>
          <w:szCs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A90"/>
    <w:rsid w:val="00033E25"/>
    <w:rsid w:val="00044A75"/>
    <w:rsid w:val="00054711"/>
    <w:rsid w:val="00066221"/>
    <w:rsid w:val="000703A7"/>
    <w:rsid w:val="0008792D"/>
    <w:rsid w:val="00094816"/>
    <w:rsid w:val="000A05D4"/>
    <w:rsid w:val="00105937"/>
    <w:rsid w:val="00131F08"/>
    <w:rsid w:val="00161705"/>
    <w:rsid w:val="0019752C"/>
    <w:rsid w:val="001E402A"/>
    <w:rsid w:val="00202C47"/>
    <w:rsid w:val="00250FF5"/>
    <w:rsid w:val="00287210"/>
    <w:rsid w:val="0029201A"/>
    <w:rsid w:val="002E7217"/>
    <w:rsid w:val="002F5DBC"/>
    <w:rsid w:val="0030630A"/>
    <w:rsid w:val="00326D44"/>
    <w:rsid w:val="00335FE8"/>
    <w:rsid w:val="003535E1"/>
    <w:rsid w:val="00357B4C"/>
    <w:rsid w:val="00374BDE"/>
    <w:rsid w:val="00393720"/>
    <w:rsid w:val="003A7685"/>
    <w:rsid w:val="003D0FEE"/>
    <w:rsid w:val="003E1547"/>
    <w:rsid w:val="003E1D46"/>
    <w:rsid w:val="003E751E"/>
    <w:rsid w:val="003F689E"/>
    <w:rsid w:val="00400C3A"/>
    <w:rsid w:val="00401C56"/>
    <w:rsid w:val="0044472F"/>
    <w:rsid w:val="00447692"/>
    <w:rsid w:val="00473527"/>
    <w:rsid w:val="0047654B"/>
    <w:rsid w:val="004829BA"/>
    <w:rsid w:val="0048467A"/>
    <w:rsid w:val="004A275D"/>
    <w:rsid w:val="004E7AB7"/>
    <w:rsid w:val="0058198E"/>
    <w:rsid w:val="00586A8B"/>
    <w:rsid w:val="005937A3"/>
    <w:rsid w:val="005E408E"/>
    <w:rsid w:val="006240B9"/>
    <w:rsid w:val="0064116B"/>
    <w:rsid w:val="00661AC3"/>
    <w:rsid w:val="00667B4E"/>
    <w:rsid w:val="006A53E7"/>
    <w:rsid w:val="006A738D"/>
    <w:rsid w:val="006D2237"/>
    <w:rsid w:val="00762DC1"/>
    <w:rsid w:val="00771DBE"/>
    <w:rsid w:val="00782CED"/>
    <w:rsid w:val="007911FE"/>
    <w:rsid w:val="007A64C5"/>
    <w:rsid w:val="007C7FC6"/>
    <w:rsid w:val="007E001B"/>
    <w:rsid w:val="007E6C2D"/>
    <w:rsid w:val="007F3F24"/>
    <w:rsid w:val="008333FD"/>
    <w:rsid w:val="00846362"/>
    <w:rsid w:val="00846EFA"/>
    <w:rsid w:val="0084744E"/>
    <w:rsid w:val="00851181"/>
    <w:rsid w:val="00856750"/>
    <w:rsid w:val="00880454"/>
    <w:rsid w:val="00890214"/>
    <w:rsid w:val="00893C5E"/>
    <w:rsid w:val="008A6FA6"/>
    <w:rsid w:val="008B008A"/>
    <w:rsid w:val="008D0395"/>
    <w:rsid w:val="008D3FEA"/>
    <w:rsid w:val="00902522"/>
    <w:rsid w:val="0090269C"/>
    <w:rsid w:val="009212BF"/>
    <w:rsid w:val="0092148D"/>
    <w:rsid w:val="009471FF"/>
    <w:rsid w:val="009728DC"/>
    <w:rsid w:val="00976527"/>
    <w:rsid w:val="00985932"/>
    <w:rsid w:val="009A4369"/>
    <w:rsid w:val="009B7D3E"/>
    <w:rsid w:val="009C0C41"/>
    <w:rsid w:val="009F4EAE"/>
    <w:rsid w:val="00A8364D"/>
    <w:rsid w:val="00AB59CB"/>
    <w:rsid w:val="00AF7A1E"/>
    <w:rsid w:val="00B41589"/>
    <w:rsid w:val="00B7293A"/>
    <w:rsid w:val="00B84864"/>
    <w:rsid w:val="00BB4F14"/>
    <w:rsid w:val="00BD150A"/>
    <w:rsid w:val="00C0525C"/>
    <w:rsid w:val="00C91E45"/>
    <w:rsid w:val="00CB7CF1"/>
    <w:rsid w:val="00CD7637"/>
    <w:rsid w:val="00CF365F"/>
    <w:rsid w:val="00D00E24"/>
    <w:rsid w:val="00D04A15"/>
    <w:rsid w:val="00D373CC"/>
    <w:rsid w:val="00D57035"/>
    <w:rsid w:val="00DB319C"/>
    <w:rsid w:val="00DC5D1A"/>
    <w:rsid w:val="00E041A0"/>
    <w:rsid w:val="00E17B59"/>
    <w:rsid w:val="00E35BBE"/>
    <w:rsid w:val="00E51B6D"/>
    <w:rsid w:val="00E6567D"/>
    <w:rsid w:val="00E939AB"/>
    <w:rsid w:val="00EC12DB"/>
    <w:rsid w:val="00EC1322"/>
    <w:rsid w:val="00F0110A"/>
    <w:rsid w:val="00F5534A"/>
    <w:rsid w:val="00F75715"/>
    <w:rsid w:val="00F811C4"/>
    <w:rsid w:val="00F84F2B"/>
    <w:rsid w:val="00F96463"/>
    <w:rsid w:val="00FA7DEE"/>
    <w:rsid w:val="00FC2918"/>
    <w:rsid w:val="046C0251"/>
    <w:rsid w:val="04970B4C"/>
    <w:rsid w:val="08C24E6F"/>
    <w:rsid w:val="0A78796E"/>
    <w:rsid w:val="0A883CAB"/>
    <w:rsid w:val="0AEE4A00"/>
    <w:rsid w:val="0BD75657"/>
    <w:rsid w:val="0C716DE6"/>
    <w:rsid w:val="0CE55A51"/>
    <w:rsid w:val="10337ADF"/>
    <w:rsid w:val="122B28EA"/>
    <w:rsid w:val="19755CE2"/>
    <w:rsid w:val="1C797D56"/>
    <w:rsid w:val="1D727135"/>
    <w:rsid w:val="1DC062DA"/>
    <w:rsid w:val="22E37B13"/>
    <w:rsid w:val="25155FD7"/>
    <w:rsid w:val="261B675F"/>
    <w:rsid w:val="297C5DDA"/>
    <w:rsid w:val="2EC62314"/>
    <w:rsid w:val="369E19C7"/>
    <w:rsid w:val="37CF6FA7"/>
    <w:rsid w:val="3ABF075A"/>
    <w:rsid w:val="3AD53F46"/>
    <w:rsid w:val="3B9C2E9D"/>
    <w:rsid w:val="3E497F62"/>
    <w:rsid w:val="3E690C8C"/>
    <w:rsid w:val="490F112A"/>
    <w:rsid w:val="49D93591"/>
    <w:rsid w:val="4B7A67D6"/>
    <w:rsid w:val="4FC5542E"/>
    <w:rsid w:val="53C853FF"/>
    <w:rsid w:val="54176E62"/>
    <w:rsid w:val="5B107F75"/>
    <w:rsid w:val="5B6125BD"/>
    <w:rsid w:val="5FE73F39"/>
    <w:rsid w:val="63660456"/>
    <w:rsid w:val="63DF72BF"/>
    <w:rsid w:val="65D72AFE"/>
    <w:rsid w:val="66BA6AB5"/>
    <w:rsid w:val="67005CDA"/>
    <w:rsid w:val="68DB75F9"/>
    <w:rsid w:val="6C9906AB"/>
    <w:rsid w:val="720835BA"/>
    <w:rsid w:val="763C5788"/>
    <w:rsid w:val="7A543C21"/>
    <w:rsid w:val="7E357812"/>
    <w:rsid w:val="7F7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5396</Words>
  <Characters>5594</Characters>
  <Lines>63</Lines>
  <Paragraphs>17</Paragraphs>
  <TotalTime>4</TotalTime>
  <ScaleCrop>false</ScaleCrop>
  <LinksUpToDate>false</LinksUpToDate>
  <CharactersWithSpaces>5594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2020-08-25T09:35:00Z</dcterms:created>
  <dc:creator>Cc</dc:creator>
  <cp:lastModifiedBy>zhangjing1</cp:lastModifiedBy>
  <dcterms:modified xsi:type="dcterms:W3CDTF">2026-07-17T02:29:07Z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F3806A54816141F1BE3752EDE4701670_13</vt:lpwstr>
  </property>
</Properties>
</file>