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911452">
      <w:pPr>
        <w:spacing w:line="360" w:lineRule="auto"/>
        <w:rPr>
          <w:sz w:val="32"/>
        </w:rPr>
      </w:pPr>
    </w:p>
    <w:p w14:paraId="4DFD09FF">
      <w:pPr>
        <w:spacing w:line="360" w:lineRule="auto"/>
        <w:rPr>
          <w:sz w:val="32"/>
        </w:rPr>
      </w:pPr>
    </w:p>
    <w:p w14:paraId="6F9D95B6">
      <w:pPr>
        <w:spacing w:line="360" w:lineRule="auto"/>
        <w:rPr>
          <w:sz w:val="32"/>
        </w:rPr>
      </w:pPr>
    </w:p>
    <w:p w14:paraId="283C3699">
      <w:pPr>
        <w:spacing w:line="360" w:lineRule="auto"/>
        <w:jc w:val="center"/>
        <w:rPr>
          <w:b/>
          <w:sz w:val="32"/>
        </w:rPr>
      </w:pPr>
    </w:p>
    <w:p w14:paraId="6586B219">
      <w:pPr>
        <w:spacing w:line="360" w:lineRule="auto"/>
        <w:rPr>
          <w:b/>
          <w:sz w:val="44"/>
        </w:rPr>
      </w:pPr>
    </w:p>
    <w:p w14:paraId="4EA68E1F">
      <w:pPr>
        <w:adjustRightInd w:val="0"/>
        <w:snapToGrid w:val="0"/>
        <w:spacing w:line="360" w:lineRule="auto"/>
        <w:jc w:val="center"/>
        <w:rPr>
          <w:sz w:val="22"/>
        </w:rPr>
      </w:pPr>
      <w:r>
        <w:rPr>
          <w:rFonts w:hint="eastAsia" w:hAnsi="宋体"/>
          <w:b/>
          <w:sz w:val="40"/>
        </w:rPr>
        <w:t>交银施罗德惠享多资产六个月持有期混合型基金中基金（FOF）招募</w:t>
      </w:r>
      <w:r>
        <w:rPr>
          <w:rFonts w:hAnsi="宋体"/>
          <w:b/>
          <w:sz w:val="40"/>
        </w:rPr>
        <w:t>说明书</w:t>
      </w:r>
    </w:p>
    <w:p w14:paraId="32EC3579">
      <w:pPr>
        <w:adjustRightInd w:val="0"/>
        <w:snapToGrid w:val="0"/>
        <w:spacing w:line="360" w:lineRule="auto"/>
        <w:jc w:val="center"/>
        <w:rPr>
          <w:sz w:val="24"/>
        </w:rPr>
      </w:pPr>
    </w:p>
    <w:p w14:paraId="407B9BF7">
      <w:pPr>
        <w:spacing w:line="360" w:lineRule="auto"/>
        <w:rPr>
          <w:b/>
          <w:sz w:val="28"/>
        </w:rPr>
      </w:pPr>
    </w:p>
    <w:p w14:paraId="3B233BC7">
      <w:pPr>
        <w:spacing w:line="360" w:lineRule="auto"/>
        <w:rPr>
          <w:b/>
          <w:sz w:val="28"/>
        </w:rPr>
      </w:pPr>
    </w:p>
    <w:p w14:paraId="1D74D8A1">
      <w:pPr>
        <w:spacing w:line="360" w:lineRule="auto"/>
        <w:rPr>
          <w:b/>
          <w:sz w:val="28"/>
        </w:rPr>
      </w:pPr>
    </w:p>
    <w:p w14:paraId="360091E8">
      <w:pPr>
        <w:spacing w:line="360" w:lineRule="auto"/>
        <w:rPr>
          <w:b/>
          <w:sz w:val="28"/>
        </w:rPr>
      </w:pPr>
    </w:p>
    <w:p w14:paraId="202551D5">
      <w:pPr>
        <w:spacing w:line="360" w:lineRule="auto"/>
        <w:ind w:left="1978" w:leftChars="942"/>
        <w:rPr>
          <w:b/>
          <w:sz w:val="28"/>
        </w:rPr>
      </w:pPr>
      <w:r>
        <w:rPr>
          <w:rFonts w:hAnsi="宋体"/>
          <w:b/>
          <w:sz w:val="28"/>
        </w:rPr>
        <w:t>基金管理人：交银施罗德基金管理有限公司</w:t>
      </w:r>
    </w:p>
    <w:p w14:paraId="670F894C">
      <w:pPr>
        <w:spacing w:line="360" w:lineRule="auto"/>
        <w:ind w:left="1978" w:leftChars="942"/>
        <w:rPr>
          <w:b/>
          <w:sz w:val="28"/>
        </w:rPr>
      </w:pPr>
      <w:r>
        <w:rPr>
          <w:rFonts w:hAnsi="宋体"/>
          <w:b/>
          <w:sz w:val="28"/>
        </w:rPr>
        <w:t>基金托管人：</w:t>
      </w:r>
      <w:r>
        <w:rPr>
          <w:rFonts w:hint="eastAsia" w:hAnsi="宋体"/>
          <w:b/>
          <w:sz w:val="28"/>
        </w:rPr>
        <w:t>招商银行股份有限公司</w:t>
      </w:r>
    </w:p>
    <w:p w14:paraId="1A43F14D">
      <w:pPr>
        <w:widowControl/>
        <w:spacing w:line="360" w:lineRule="auto"/>
        <w:ind w:firstLine="420" w:firstLineChars="200"/>
        <w:rPr>
          <w:rFonts w:hint="eastAsia" w:ascii="宋体" w:hAnsi="宋体"/>
          <w:kern w:val="0"/>
        </w:rPr>
      </w:pPr>
    </w:p>
    <w:p w14:paraId="004459BD">
      <w:pPr>
        <w:widowControl/>
        <w:spacing w:line="360" w:lineRule="auto"/>
        <w:ind w:firstLine="420" w:firstLineChars="200"/>
        <w:rPr>
          <w:rFonts w:hint="eastAsia" w:ascii="宋体" w:hAnsi="宋体"/>
          <w:kern w:val="0"/>
        </w:rPr>
      </w:pPr>
    </w:p>
    <w:p w14:paraId="0C9ABBF7">
      <w:pPr>
        <w:widowControl/>
        <w:spacing w:line="360" w:lineRule="auto"/>
        <w:ind w:firstLine="420" w:firstLineChars="200"/>
        <w:rPr>
          <w:rFonts w:hint="eastAsia" w:ascii="宋体" w:hAnsi="宋体"/>
          <w:kern w:val="0"/>
        </w:rPr>
      </w:pPr>
    </w:p>
    <w:p w14:paraId="6502988C">
      <w:pPr>
        <w:jc w:val="center"/>
        <w:rPr>
          <w:rFonts w:hint="eastAsia" w:hAnsi="宋体"/>
          <w:b/>
          <w:sz w:val="28"/>
        </w:rPr>
      </w:pPr>
      <w:r>
        <w:rPr>
          <w:rFonts w:hint="eastAsia" w:ascii="宋体"/>
          <w:b/>
          <w:bCs/>
          <w:sz w:val="30"/>
        </w:rPr>
        <w:t>二零二六年</w:t>
      </w:r>
      <w:r>
        <w:rPr>
          <w:rFonts w:hint="eastAsia" w:ascii="宋体"/>
          <w:b/>
          <w:bCs/>
          <w:sz w:val="30"/>
          <w:lang w:val="en-US" w:eastAsia="zh-CN"/>
        </w:rPr>
        <w:t>七</w:t>
      </w:r>
      <w:r>
        <w:rPr>
          <w:rFonts w:hint="eastAsia" w:ascii="宋体"/>
          <w:b/>
          <w:bCs/>
          <w:sz w:val="30"/>
        </w:rPr>
        <w:t>月</w:t>
      </w:r>
    </w:p>
    <w:p w14:paraId="67AF2C61">
      <w:pPr>
        <w:widowControl/>
        <w:spacing w:line="360" w:lineRule="auto"/>
        <w:jc w:val="center"/>
        <w:rPr>
          <w:rFonts w:hint="eastAsia" w:hAnsi="宋体"/>
          <w:kern w:val="0"/>
        </w:rPr>
      </w:pPr>
    </w:p>
    <w:p w14:paraId="4315608A">
      <w:pPr>
        <w:widowControl/>
        <w:spacing w:line="360" w:lineRule="auto"/>
        <w:jc w:val="center"/>
        <w:rPr>
          <w:rFonts w:hint="eastAsia" w:hAnsi="宋体"/>
          <w:kern w:val="0"/>
        </w:rPr>
      </w:pPr>
    </w:p>
    <w:p w14:paraId="2C4D98E4">
      <w:pPr>
        <w:widowControl/>
        <w:spacing w:line="360" w:lineRule="auto"/>
        <w:jc w:val="center"/>
        <w:rPr>
          <w:rFonts w:hint="eastAsia" w:ascii="宋体" w:hAnsi="宋体"/>
          <w:b/>
          <w:kern w:val="0"/>
          <w:sz w:val="30"/>
        </w:rPr>
        <w:sectPr>
          <w:headerReference r:id="rId3" w:type="default"/>
          <w:footerReference r:id="rId4" w:type="default"/>
          <w:pgSz w:w="12240" w:h="15840"/>
          <w:pgMar w:top="1440" w:right="1800" w:bottom="1440" w:left="1800" w:header="720" w:footer="720" w:gutter="0"/>
          <w:cols w:space="720" w:num="1"/>
          <w:titlePg/>
          <w:docGrid w:type="lines" w:linePitch="286" w:charSpace="0"/>
        </w:sectPr>
      </w:pPr>
    </w:p>
    <w:p w14:paraId="6D941579">
      <w:pPr>
        <w:widowControl/>
        <w:spacing w:line="360" w:lineRule="auto"/>
        <w:jc w:val="center"/>
        <w:rPr>
          <w:rFonts w:hint="eastAsia" w:ascii="宋体" w:hAnsi="宋体"/>
          <w:b/>
          <w:kern w:val="0"/>
          <w:sz w:val="30"/>
        </w:rPr>
      </w:pPr>
      <w:r>
        <w:rPr>
          <w:rFonts w:hint="eastAsia" w:ascii="宋体" w:hAnsi="宋体"/>
          <w:b/>
          <w:kern w:val="0"/>
          <w:sz w:val="30"/>
        </w:rPr>
        <w:t>【</w:t>
      </w:r>
      <w:r>
        <w:rPr>
          <w:rFonts w:ascii="宋体" w:hAnsi="宋体"/>
          <w:b/>
          <w:kern w:val="0"/>
          <w:sz w:val="30"/>
        </w:rPr>
        <w:t>重要提示】</w:t>
      </w:r>
    </w:p>
    <w:p w14:paraId="5C5BB859">
      <w:pPr>
        <w:widowControl/>
        <w:adjustRightInd w:val="0"/>
        <w:snapToGrid w:val="0"/>
        <w:spacing w:line="360" w:lineRule="auto"/>
        <w:ind w:firstLine="480" w:firstLineChars="200"/>
        <w:rPr>
          <w:kern w:val="0"/>
          <w:sz w:val="24"/>
        </w:rPr>
      </w:pPr>
      <w:r>
        <w:rPr>
          <w:rFonts w:hint="eastAsia"/>
          <w:kern w:val="0"/>
          <w:sz w:val="24"/>
        </w:rPr>
        <w:t>交银施罗德惠享多资产六个月持有期混合型基金中基金（FOF）</w:t>
      </w:r>
      <w:r>
        <w:rPr>
          <w:kern w:val="0"/>
          <w:sz w:val="24"/>
        </w:rPr>
        <w:t>（以下简称</w:t>
      </w:r>
      <w:r>
        <w:rPr>
          <w:rFonts w:ascii="宋体" w:hAnsi="宋体"/>
          <w:kern w:val="0"/>
          <w:sz w:val="24"/>
        </w:rPr>
        <w:t>“本基金”</w:t>
      </w:r>
      <w:r>
        <w:rPr>
          <w:rFonts w:hAnsi="宋体"/>
          <w:kern w:val="0"/>
          <w:sz w:val="24"/>
        </w:rPr>
        <w:t>）经</w:t>
      </w:r>
      <w:r>
        <w:rPr>
          <w:kern w:val="0"/>
          <w:sz w:val="24"/>
        </w:rPr>
        <w:t>202</w:t>
      </w:r>
      <w:r>
        <w:rPr>
          <w:rFonts w:hint="eastAsia"/>
          <w:kern w:val="0"/>
          <w:sz w:val="24"/>
          <w:lang w:val="en-US" w:eastAsia="zh-CN"/>
        </w:rPr>
        <w:t>6</w:t>
      </w:r>
      <w:r>
        <w:rPr>
          <w:rFonts w:hAnsi="宋体"/>
          <w:kern w:val="0"/>
          <w:sz w:val="24"/>
        </w:rPr>
        <w:t>年</w:t>
      </w:r>
      <w:r>
        <w:rPr>
          <w:rFonts w:hint="eastAsia" w:hAnsi="宋体"/>
          <w:kern w:val="0"/>
          <w:sz w:val="24"/>
          <w:lang w:val="en-US" w:eastAsia="zh-CN"/>
        </w:rPr>
        <w:t>5</w:t>
      </w:r>
      <w:r>
        <w:rPr>
          <w:rFonts w:hAnsi="宋体"/>
          <w:kern w:val="0"/>
          <w:sz w:val="24"/>
        </w:rPr>
        <w:t>月</w:t>
      </w:r>
      <w:r>
        <w:rPr>
          <w:rFonts w:hint="eastAsia" w:hAnsi="宋体"/>
          <w:kern w:val="0"/>
          <w:sz w:val="24"/>
          <w:lang w:val="en-US" w:eastAsia="zh-CN"/>
        </w:rPr>
        <w:t>28</w:t>
      </w:r>
      <w:r>
        <w:rPr>
          <w:rFonts w:hAnsi="宋体"/>
          <w:kern w:val="0"/>
          <w:sz w:val="24"/>
        </w:rPr>
        <w:t>日中国证券监督管理委员会（以下简称</w:t>
      </w:r>
      <w:r>
        <w:rPr>
          <w:rFonts w:ascii="宋体" w:hAnsi="宋体"/>
          <w:kern w:val="0"/>
          <w:sz w:val="24"/>
        </w:rPr>
        <w:t>“中国证监会”</w:t>
      </w:r>
      <w:r>
        <w:rPr>
          <w:rFonts w:hAnsi="宋体"/>
          <w:kern w:val="0"/>
          <w:sz w:val="24"/>
        </w:rPr>
        <w:t>）证监许可【</w:t>
      </w:r>
      <w:r>
        <w:rPr>
          <w:kern w:val="0"/>
          <w:sz w:val="24"/>
        </w:rPr>
        <w:t>202</w:t>
      </w:r>
      <w:r>
        <w:rPr>
          <w:rFonts w:hint="eastAsia"/>
          <w:kern w:val="0"/>
          <w:sz w:val="24"/>
          <w:lang w:val="en-US" w:eastAsia="zh-CN"/>
        </w:rPr>
        <w:t>6</w:t>
      </w:r>
      <w:r>
        <w:rPr>
          <w:rFonts w:hAnsi="宋体"/>
          <w:kern w:val="0"/>
          <w:sz w:val="24"/>
        </w:rPr>
        <w:t>】</w:t>
      </w:r>
      <w:r>
        <w:rPr>
          <w:rFonts w:hint="eastAsia" w:hAnsi="宋体"/>
          <w:kern w:val="0"/>
          <w:sz w:val="24"/>
          <w:lang w:val="en-US" w:eastAsia="zh-CN"/>
        </w:rPr>
        <w:t>1299</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14:paraId="1ED7048B">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6A4C7C4F">
      <w:pPr>
        <w:widowControl/>
        <w:adjustRightInd w:val="0"/>
        <w:snapToGrid w:val="0"/>
        <w:spacing w:line="360" w:lineRule="auto"/>
        <w:ind w:firstLine="480" w:firstLineChars="200"/>
        <w:rPr>
          <w:kern w:val="0"/>
          <w:sz w:val="24"/>
        </w:rPr>
      </w:pPr>
      <w:r>
        <w:rPr>
          <w:kern w:val="0"/>
          <w:sz w:val="24"/>
        </w:rPr>
        <w:t>基金管理人依照恪尽职守、诚实信用、</w:t>
      </w:r>
      <w:r>
        <w:rPr>
          <w:rFonts w:hint="eastAsia"/>
          <w:kern w:val="0"/>
          <w:sz w:val="24"/>
        </w:rPr>
        <w:t>谨慎</w:t>
      </w:r>
      <w:r>
        <w:rPr>
          <w:kern w:val="0"/>
          <w:sz w:val="24"/>
        </w:rPr>
        <w:t>勤勉的原则管理和运用基金财产，但不保证投资本基金一定盈利，也不保证基金份额持有人的最低收益；因基金价格可升可跌，亦不保证基金份额持有人能全数取回其原本投资。</w:t>
      </w:r>
    </w:p>
    <w:p w14:paraId="3C9C3F93">
      <w:pPr>
        <w:widowControl/>
        <w:adjustRightInd w:val="0"/>
        <w:snapToGrid w:val="0"/>
        <w:spacing w:line="360" w:lineRule="auto"/>
        <w:ind w:firstLine="480" w:firstLineChars="200"/>
        <w:rPr>
          <w:kern w:val="0"/>
          <w:sz w:val="24"/>
        </w:rPr>
      </w:pPr>
      <w:r>
        <w:rPr>
          <w:rFonts w:hint="eastAsia"/>
          <w:kern w:val="0"/>
          <w:sz w:val="24"/>
        </w:rPr>
        <w:t>本基金投资于证券市场，投资人在投资本基金前，需全面认识本基金产品的风险收益特征和产品特性，充分考虑自身的风险承受能力，理性判断市场，对投资本基金的意愿、时机、数量等投资行为作出独立决策。投资人根据所持有基金份额享受基金的收益，但同时也需承担相应的投资风险。本基金为基金中基金，由于本基金主要投资于经中国证监会依法核准或注册的公开募集证券投资基金的基金份额，投资本基金可能遇到的风险包括：因受到经济因素、政治因素、投资心理和交易制度等各种因素的影响而引起的市场风险；基金管理人在基金管理运作过程中产生的基金管理风险；流动性风险</w:t>
      </w:r>
      <w:r>
        <w:rPr>
          <w:rFonts w:hint="eastAsia" w:ascii="宋体" w:hAnsi="宋体"/>
          <w:kern w:val="0"/>
          <w:sz w:val="24"/>
        </w:rPr>
        <w:t>（包括实施</w:t>
      </w:r>
      <w:r>
        <w:rPr>
          <w:rFonts w:ascii="宋体" w:hAnsi="宋体"/>
          <w:kern w:val="0"/>
          <w:sz w:val="24"/>
        </w:rPr>
        <w:t>侧袋机制时的特定风险）</w:t>
      </w:r>
      <w:r>
        <w:rPr>
          <w:rFonts w:hint="eastAsia"/>
          <w:kern w:val="0"/>
          <w:sz w:val="24"/>
        </w:rPr>
        <w:t>；信用风险；本基金的特有风险；</w:t>
      </w:r>
      <w:r>
        <w:rPr>
          <w:rFonts w:hint="eastAsia" w:ascii="宋体" w:hAnsi="宋体"/>
          <w:kern w:val="0"/>
          <w:sz w:val="24"/>
        </w:rPr>
        <w:t>本基金法律文件风险收益特征表述与销售机构基金风险评价可能不一致的风险；</w:t>
      </w:r>
      <w:r>
        <w:rPr>
          <w:rFonts w:hint="eastAsia"/>
          <w:kern w:val="0"/>
          <w:sz w:val="24"/>
        </w:rPr>
        <w:t>投资本基金的其他风险等等。本基金为混合型基金中基金，其预期风险与预期收益</w:t>
      </w:r>
      <w:r>
        <w:rPr>
          <w:rFonts w:hint="eastAsia"/>
          <w:bCs/>
          <w:sz w:val="24"/>
        </w:rPr>
        <w:t>理论上</w:t>
      </w:r>
      <w:r>
        <w:rPr>
          <w:rFonts w:hint="eastAsia"/>
          <w:kern w:val="0"/>
          <w:sz w:val="24"/>
        </w:rPr>
        <w:t>高于债券型基金、债券型基金中基金、货币市场基金和货币型基金中基金，低于股票型基金和股票型基金中基金。</w:t>
      </w:r>
    </w:p>
    <w:p w14:paraId="004AAF59">
      <w:pPr>
        <w:widowControl/>
        <w:adjustRightInd w:val="0"/>
        <w:snapToGrid w:val="0"/>
        <w:spacing w:line="360" w:lineRule="auto"/>
        <w:ind w:firstLine="480" w:firstLineChars="200"/>
        <w:rPr>
          <w:kern w:val="0"/>
          <w:sz w:val="24"/>
        </w:rPr>
      </w:pPr>
      <w:r>
        <w:rPr>
          <w:rFonts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B8A2121">
      <w:pPr>
        <w:widowControl/>
        <w:adjustRightInd w:val="0"/>
        <w:snapToGrid w:val="0"/>
        <w:spacing w:line="360" w:lineRule="auto"/>
        <w:ind w:firstLine="480" w:firstLineChars="200"/>
        <w:rPr>
          <w:kern w:val="0"/>
          <w:sz w:val="24"/>
        </w:rPr>
      </w:pPr>
      <w:r>
        <w:rPr>
          <w:rFonts w:hint="eastAsia"/>
          <w:kern w:val="0"/>
          <w:sz w:val="24"/>
        </w:rPr>
        <w:t>本基金可投资内地与香港股票市场交易互联互通机制允许买卖的规定范围内的香港联合交易所有限公司（以下简称“香港联合交易所”）上市的股票（以下简称“港股通股票”）及交易型开放式基金（以下简称“港股通ETF”）的，会面临港股通机制下因投资环境、投资标的、市场制度以及交易规则等差异带来的特有风险，包括</w:t>
      </w:r>
      <w:r>
        <w:rPr>
          <w:rFonts w:hint="eastAsia"/>
          <w:bCs/>
          <w:kern w:val="0"/>
          <w:sz w:val="24"/>
        </w:rPr>
        <w:t>但不限于</w:t>
      </w:r>
      <w:r>
        <w:rPr>
          <w:rFonts w:hint="eastAsia"/>
          <w:kern w:val="0"/>
          <w:sz w:val="24"/>
        </w:rPr>
        <w:t>港股市场股价波动较大的风险（港股市场实行T+0回转交易，且对个股不设涨跌幅限制，港股</w:t>
      </w:r>
      <w:r>
        <w:rPr>
          <w:rFonts w:hint="eastAsia" w:hAnsi="宋体"/>
          <w:kern w:val="0"/>
          <w:sz w:val="24"/>
          <w:szCs w:val="24"/>
        </w:rPr>
        <w:t>通股票</w:t>
      </w:r>
      <w:r>
        <w:rPr>
          <w:rFonts w:hint="eastAsia"/>
          <w:kern w:val="0"/>
          <w:sz w:val="24"/>
        </w:rPr>
        <w:t>及港股通ETF价格可能表现出比A股更为剧烈的股价波动）、汇率风险（汇率波动可能对基金的投资收益造成损失）、港股通机制下交易日不连贯可能带来的风险（在内地开市香港休市的情形下，港股通不能正常交易，港股</w:t>
      </w:r>
      <w:r>
        <w:rPr>
          <w:rFonts w:hint="eastAsia" w:hAnsi="宋体"/>
          <w:kern w:val="0"/>
          <w:sz w:val="24"/>
          <w:szCs w:val="24"/>
        </w:rPr>
        <w:t>通股票</w:t>
      </w:r>
      <w:r>
        <w:rPr>
          <w:rFonts w:hint="eastAsia"/>
          <w:kern w:val="0"/>
          <w:sz w:val="24"/>
        </w:rPr>
        <w:t>及港股通ETF不能及时卖出，可能带来一定的流动性风险）等。具体风险请查阅本基金招募说明书“风险揭示”章节的具体内容。</w:t>
      </w:r>
    </w:p>
    <w:p w14:paraId="4834608D">
      <w:pPr>
        <w:widowControl/>
        <w:adjustRightInd w:val="0"/>
        <w:snapToGrid w:val="0"/>
        <w:spacing w:line="360" w:lineRule="auto"/>
        <w:ind w:firstLine="480" w:firstLineChars="200"/>
        <w:rPr>
          <w:kern w:val="0"/>
          <w:sz w:val="24"/>
        </w:rPr>
      </w:pPr>
      <w:r>
        <w:rPr>
          <w:rFonts w:hint="eastAsia"/>
          <w:kern w:val="0"/>
          <w:sz w:val="24"/>
        </w:rPr>
        <w:t>本基金可根据投资策略需要或不同配置地市场环境的变化，选择将部分基金资产投资于港股</w:t>
      </w:r>
      <w:r>
        <w:rPr>
          <w:rFonts w:hint="eastAsia" w:hAnsi="宋体"/>
          <w:kern w:val="0"/>
          <w:sz w:val="24"/>
          <w:szCs w:val="24"/>
        </w:rPr>
        <w:t>通股票</w:t>
      </w:r>
      <w:r>
        <w:rPr>
          <w:rFonts w:hint="eastAsia"/>
          <w:kern w:val="0"/>
          <w:sz w:val="24"/>
        </w:rPr>
        <w:t>及港股通ETF或选择不将基金资产投资于港股</w:t>
      </w:r>
      <w:r>
        <w:rPr>
          <w:rFonts w:hint="eastAsia" w:hAnsi="宋体"/>
          <w:kern w:val="0"/>
          <w:sz w:val="24"/>
          <w:szCs w:val="24"/>
        </w:rPr>
        <w:t>通股票</w:t>
      </w:r>
      <w:r>
        <w:rPr>
          <w:rFonts w:hint="eastAsia"/>
          <w:kern w:val="0"/>
          <w:sz w:val="24"/>
        </w:rPr>
        <w:t>及港股通ETF，基金资产并非必然投资港股</w:t>
      </w:r>
      <w:r>
        <w:rPr>
          <w:rFonts w:hint="eastAsia" w:hAnsi="宋体"/>
          <w:kern w:val="0"/>
          <w:sz w:val="24"/>
          <w:szCs w:val="24"/>
        </w:rPr>
        <w:t>通股票</w:t>
      </w:r>
      <w:r>
        <w:rPr>
          <w:rFonts w:hint="eastAsia"/>
          <w:kern w:val="0"/>
          <w:sz w:val="24"/>
        </w:rPr>
        <w:t>及港股通ETF。</w:t>
      </w:r>
    </w:p>
    <w:p w14:paraId="78D4A357">
      <w:pPr>
        <w:widowControl/>
        <w:adjustRightInd w:val="0"/>
        <w:snapToGrid w:val="0"/>
        <w:spacing w:line="360" w:lineRule="auto"/>
        <w:ind w:firstLine="480" w:firstLineChars="200"/>
        <w:rPr>
          <w:kern w:val="0"/>
          <w:sz w:val="24"/>
        </w:rPr>
      </w:pPr>
      <w:r>
        <w:rPr>
          <w:rFonts w:hint="eastAsia"/>
          <w:kern w:val="0"/>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0CB347BB">
      <w:pPr>
        <w:widowControl/>
        <w:adjustRightInd w:val="0"/>
        <w:snapToGrid w:val="0"/>
        <w:spacing w:line="360" w:lineRule="auto"/>
        <w:ind w:firstLine="480" w:firstLineChars="200"/>
        <w:rPr>
          <w:kern w:val="0"/>
          <w:sz w:val="24"/>
        </w:rPr>
      </w:pPr>
      <w:r>
        <w:rPr>
          <w:rFonts w:hint="eastAsia"/>
          <w:kern w:val="0"/>
          <w:sz w:val="24"/>
        </w:rPr>
        <w:t>本基金可根据投资策略需要或市场环境的变化，选择将部分基金资产投资于科创板股票或选择不将基金资产投资于科创板股票，基金资产并非必然投资于科创板股票。</w:t>
      </w:r>
    </w:p>
    <w:p w14:paraId="7C94C47D">
      <w:pPr>
        <w:widowControl/>
        <w:adjustRightInd w:val="0"/>
        <w:snapToGrid w:val="0"/>
        <w:spacing w:line="360" w:lineRule="auto"/>
        <w:ind w:firstLine="480" w:firstLineChars="200"/>
        <w:rPr>
          <w:kern w:val="0"/>
          <w:sz w:val="24"/>
        </w:rPr>
      </w:pPr>
      <w:bookmarkStart w:id="0" w:name="OLE_LINK2"/>
      <w:bookmarkStart w:id="1" w:name="OLE_LINK1"/>
      <w:r>
        <w:rPr>
          <w:rFonts w:hint="eastAsia"/>
          <w:kern w:val="0"/>
          <w:sz w:val="24"/>
        </w:rPr>
        <w:t>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因此，对于基金份额持有人而言，存在投资本基金后六个月内无法赎回的风险。</w:t>
      </w:r>
    </w:p>
    <w:bookmarkEnd w:id="0"/>
    <w:bookmarkEnd w:id="1"/>
    <w:p w14:paraId="37F4E585">
      <w:pPr>
        <w:widowControl/>
        <w:adjustRightInd w:val="0"/>
        <w:snapToGrid w:val="0"/>
        <w:spacing w:line="360" w:lineRule="auto"/>
        <w:ind w:firstLine="480" w:firstLineChars="200"/>
        <w:rPr>
          <w:kern w:val="0"/>
          <w:sz w:val="24"/>
        </w:rPr>
      </w:pPr>
      <w:r>
        <w:rPr>
          <w:rFonts w:hint="eastAsia"/>
          <w:kern w:val="0"/>
          <w:sz w:val="24"/>
        </w:rPr>
        <w:t>若基金份额持有人多次申购本基金导致持有多笔不同期限的本基金基金份额时，基金份额持有人在赎回时需特别关注申请赎回的基金份额数量，若申请赎回的基金份额超过了该基金份额持有人持续持有超过六个月的基金份额数量，则基金份额持有人的赎回申请将全部被予以拒绝。基金份额持有人需承担赎回申请失败的风险。</w:t>
      </w:r>
    </w:p>
    <w:p w14:paraId="7B78AC27">
      <w:pPr>
        <w:widowControl/>
        <w:adjustRightInd w:val="0"/>
        <w:snapToGrid w:val="0"/>
        <w:spacing w:line="360" w:lineRule="auto"/>
        <w:ind w:firstLine="480" w:firstLineChars="20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本基金可根据投资策略需要或市场环境的变化，选择将部分基金资产投资于存托凭证或选择不将基金资产投资于存托凭证，基金资产并非必然投资存托凭证。</w:t>
      </w:r>
    </w:p>
    <w:p w14:paraId="54BAF5AF">
      <w:pPr>
        <w:widowControl/>
        <w:adjustRightInd w:val="0"/>
        <w:snapToGrid w:val="0"/>
        <w:spacing w:line="360" w:lineRule="auto"/>
        <w:ind w:firstLine="480" w:firstLineChars="200"/>
        <w:rPr>
          <w:kern w:val="0"/>
          <w:sz w:val="24"/>
        </w:rPr>
      </w:pPr>
      <w:r>
        <w:rPr>
          <w:rFonts w:hint="eastAsia"/>
          <w:kern w:val="0"/>
          <w:sz w:val="24"/>
        </w:rPr>
        <w:t>本基金可投资公开募集不动产投资信托基金，可能面临以下风险：基金价格波动风险、不动产项目运营风险、基金份额交易价格折溢价风险、流动性风险、政策调整风险、市场风险、利益冲突风险、估值风险和终止上市风险等。</w:t>
      </w:r>
    </w:p>
    <w:p w14:paraId="7FF871D7">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bCs/>
          <w:sz w:val="24"/>
        </w:rPr>
        <w:t>、基金产品资料概要</w:t>
      </w:r>
      <w:r>
        <w:rPr>
          <w:kern w:val="0"/>
          <w:sz w:val="24"/>
        </w:rPr>
        <w:t>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380429C3">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14:paraId="2A85E5C8">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1F10145">
      <w:pPr>
        <w:widowControl/>
        <w:adjustRightInd w:val="0"/>
        <w:snapToGrid w:val="0"/>
        <w:spacing w:line="360" w:lineRule="auto"/>
        <w:jc w:val="center"/>
        <w:rPr>
          <w:rFonts w:ascii="宋体" w:hAnsi="宋体"/>
          <w:kern w:val="0"/>
          <w:sz w:val="30"/>
        </w:rPr>
        <w:sectPr>
          <w:footerReference r:id="rId6" w:type="first"/>
          <w:footerReference r:id="rId5" w:type="default"/>
          <w:pgSz w:w="12240" w:h="15840"/>
          <w:pgMar w:top="1440" w:right="1800" w:bottom="1440" w:left="1800" w:header="720" w:footer="720" w:gutter="0"/>
          <w:pgNumType w:fmt="decimal" w:start="1"/>
          <w:cols w:space="720" w:num="1"/>
          <w:titlePg/>
          <w:docGrid w:type="lines" w:linePitch="286" w:charSpace="0"/>
        </w:sectPr>
      </w:pPr>
    </w:p>
    <w:p w14:paraId="1DDF265C">
      <w:pPr>
        <w:widowControl/>
        <w:adjustRightInd w:val="0"/>
        <w:snapToGrid w:val="0"/>
        <w:spacing w:line="360" w:lineRule="auto"/>
        <w:jc w:val="center"/>
        <w:rPr>
          <w:sz w:val="24"/>
          <w:szCs w:val="18"/>
        </w:rPr>
      </w:pPr>
      <w:r>
        <w:rPr>
          <w:rFonts w:ascii="宋体" w:hAnsi="宋体"/>
          <w:b/>
          <w:kern w:val="0"/>
          <w:sz w:val="30"/>
        </w:rPr>
        <w:t>目  录</w:t>
      </w:r>
    </w:p>
    <w:p w14:paraId="5A9C30A0">
      <w:pPr>
        <w:pStyle w:val="22"/>
        <w:adjustRightInd w:val="0"/>
        <w:snapToGrid w:val="0"/>
        <w:rPr>
          <w:rFonts w:asciiTheme="minorHAnsi" w:hAnsiTheme="minorHAnsi" w:eastAsiaTheme="minorEastAsia" w:cstheme="minorBidi"/>
          <w:szCs w:val="24"/>
        </w:rPr>
      </w:pPr>
      <w:bookmarkStart w:id="2"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"_Toc56690581" </w:instrText>
      </w:r>
      <w:r>
        <w:fldChar w:fldCharType="separate"/>
      </w:r>
      <w:r>
        <w:rPr>
          <w:rStyle w:val="31"/>
          <w:rFonts w:hint="eastAsia" w:ascii="宋体"/>
          <w:kern w:val="0"/>
          <w:szCs w:val="24"/>
        </w:rPr>
        <w:t>一、绪言</w:t>
      </w:r>
      <w:r>
        <w:rPr>
          <w:szCs w:val="24"/>
        </w:rPr>
        <w:tab/>
      </w:r>
      <w:r>
        <w:rPr>
          <w:szCs w:val="24"/>
        </w:rPr>
        <w:fldChar w:fldCharType="begin"/>
      </w:r>
      <w:r>
        <w:rPr>
          <w:szCs w:val="24"/>
        </w:rPr>
        <w:instrText xml:space="preserve"> PAGEREF _Toc56690581 \h </w:instrText>
      </w:r>
      <w:r>
        <w:rPr>
          <w:szCs w:val="24"/>
        </w:rPr>
        <w:fldChar w:fldCharType="separate"/>
      </w:r>
      <w:r>
        <w:rPr>
          <w:szCs w:val="24"/>
        </w:rPr>
        <w:t>1</w:t>
      </w:r>
      <w:r>
        <w:rPr>
          <w:szCs w:val="24"/>
        </w:rPr>
        <w:fldChar w:fldCharType="end"/>
      </w:r>
      <w:r>
        <w:rPr>
          <w:szCs w:val="24"/>
        </w:rPr>
        <w:fldChar w:fldCharType="end"/>
      </w:r>
    </w:p>
    <w:p w14:paraId="0C284651">
      <w:pPr>
        <w:pStyle w:val="22"/>
        <w:adjustRightInd w:val="0"/>
        <w:snapToGrid w:val="0"/>
        <w:rPr>
          <w:rFonts w:asciiTheme="minorHAnsi" w:hAnsiTheme="minorHAnsi" w:eastAsiaTheme="minorEastAsia" w:cstheme="minorBidi"/>
          <w:szCs w:val="24"/>
        </w:rPr>
      </w:pPr>
      <w:r>
        <w:fldChar w:fldCharType="begin"/>
      </w:r>
      <w:r>
        <w:instrText xml:space="preserve"> HYPERLINK \l "_Toc56690582" </w:instrText>
      </w:r>
      <w:r>
        <w:fldChar w:fldCharType="separate"/>
      </w:r>
      <w:r>
        <w:rPr>
          <w:rStyle w:val="31"/>
          <w:rFonts w:hint="eastAsia" w:ascii="宋体"/>
          <w:kern w:val="0"/>
          <w:szCs w:val="24"/>
        </w:rPr>
        <w:t>二、释义</w:t>
      </w:r>
      <w:r>
        <w:rPr>
          <w:szCs w:val="24"/>
        </w:rPr>
        <w:tab/>
      </w:r>
      <w:r>
        <w:rPr>
          <w:szCs w:val="24"/>
        </w:rPr>
        <w:fldChar w:fldCharType="begin"/>
      </w:r>
      <w:r>
        <w:rPr>
          <w:szCs w:val="24"/>
        </w:rPr>
        <w:instrText xml:space="preserve"> PAGEREF _Toc56690582 \h </w:instrText>
      </w:r>
      <w:r>
        <w:rPr>
          <w:szCs w:val="24"/>
        </w:rPr>
        <w:fldChar w:fldCharType="separate"/>
      </w:r>
      <w:r>
        <w:rPr>
          <w:szCs w:val="24"/>
        </w:rPr>
        <w:t>2</w:t>
      </w:r>
      <w:r>
        <w:rPr>
          <w:szCs w:val="24"/>
        </w:rPr>
        <w:fldChar w:fldCharType="end"/>
      </w:r>
      <w:r>
        <w:rPr>
          <w:szCs w:val="24"/>
        </w:rPr>
        <w:fldChar w:fldCharType="end"/>
      </w:r>
    </w:p>
    <w:p w14:paraId="77371E57">
      <w:pPr>
        <w:pStyle w:val="22"/>
        <w:adjustRightInd w:val="0"/>
        <w:snapToGrid w:val="0"/>
        <w:rPr>
          <w:rFonts w:asciiTheme="minorHAnsi" w:hAnsiTheme="minorHAnsi" w:eastAsiaTheme="minorEastAsia" w:cstheme="minorBidi"/>
          <w:szCs w:val="24"/>
        </w:rPr>
      </w:pPr>
      <w:r>
        <w:fldChar w:fldCharType="begin"/>
      </w:r>
      <w:r>
        <w:instrText xml:space="preserve"> HYPERLINK \l "_Toc56690583" </w:instrText>
      </w:r>
      <w:r>
        <w:fldChar w:fldCharType="separate"/>
      </w:r>
      <w:r>
        <w:rPr>
          <w:rStyle w:val="31"/>
          <w:rFonts w:hint="eastAsia" w:ascii="宋体"/>
          <w:kern w:val="0"/>
          <w:szCs w:val="24"/>
        </w:rPr>
        <w:t>三、基金管理人</w:t>
      </w:r>
      <w:r>
        <w:rPr>
          <w:szCs w:val="24"/>
        </w:rPr>
        <w:tab/>
      </w:r>
      <w:r>
        <w:rPr>
          <w:szCs w:val="24"/>
        </w:rPr>
        <w:fldChar w:fldCharType="begin"/>
      </w:r>
      <w:r>
        <w:rPr>
          <w:szCs w:val="24"/>
        </w:rPr>
        <w:instrText xml:space="preserve"> PAGEREF _Toc56690583 \h </w:instrText>
      </w:r>
      <w:r>
        <w:rPr>
          <w:szCs w:val="24"/>
        </w:rPr>
        <w:fldChar w:fldCharType="separate"/>
      </w:r>
      <w:r>
        <w:rPr>
          <w:szCs w:val="24"/>
        </w:rPr>
        <w:t>7</w:t>
      </w:r>
      <w:r>
        <w:rPr>
          <w:szCs w:val="24"/>
        </w:rPr>
        <w:fldChar w:fldCharType="end"/>
      </w:r>
      <w:r>
        <w:rPr>
          <w:szCs w:val="24"/>
        </w:rPr>
        <w:fldChar w:fldCharType="end"/>
      </w:r>
    </w:p>
    <w:p w14:paraId="068D030F">
      <w:pPr>
        <w:pStyle w:val="22"/>
        <w:adjustRightInd w:val="0"/>
        <w:snapToGrid w:val="0"/>
        <w:rPr>
          <w:rFonts w:asciiTheme="minorHAnsi" w:hAnsiTheme="minorHAnsi" w:eastAsiaTheme="minorEastAsia" w:cstheme="minorBidi"/>
          <w:szCs w:val="24"/>
        </w:rPr>
      </w:pPr>
      <w:r>
        <w:fldChar w:fldCharType="begin"/>
      </w:r>
      <w:r>
        <w:instrText xml:space="preserve"> HYPERLINK \l "_Toc56690584" </w:instrText>
      </w:r>
      <w:r>
        <w:fldChar w:fldCharType="separate"/>
      </w:r>
      <w:r>
        <w:rPr>
          <w:rStyle w:val="31"/>
          <w:rFonts w:hint="eastAsia" w:ascii="宋体"/>
          <w:kern w:val="0"/>
          <w:szCs w:val="24"/>
        </w:rPr>
        <w:t>四、基金托管人</w:t>
      </w:r>
      <w:r>
        <w:rPr>
          <w:szCs w:val="24"/>
        </w:rPr>
        <w:tab/>
      </w:r>
      <w:r>
        <w:rPr>
          <w:szCs w:val="24"/>
        </w:rPr>
        <w:fldChar w:fldCharType="begin"/>
      </w:r>
      <w:r>
        <w:rPr>
          <w:szCs w:val="24"/>
        </w:rPr>
        <w:instrText xml:space="preserve"> PAGEREF _Toc56690584 \h </w:instrText>
      </w:r>
      <w:r>
        <w:rPr>
          <w:szCs w:val="24"/>
        </w:rPr>
        <w:fldChar w:fldCharType="separate"/>
      </w:r>
      <w:r>
        <w:rPr>
          <w:szCs w:val="24"/>
        </w:rPr>
        <w:t>15</w:t>
      </w:r>
      <w:r>
        <w:rPr>
          <w:szCs w:val="24"/>
        </w:rPr>
        <w:fldChar w:fldCharType="end"/>
      </w:r>
      <w:r>
        <w:rPr>
          <w:szCs w:val="24"/>
        </w:rPr>
        <w:fldChar w:fldCharType="end"/>
      </w:r>
    </w:p>
    <w:p w14:paraId="52FAE93E">
      <w:pPr>
        <w:pStyle w:val="22"/>
        <w:adjustRightInd w:val="0"/>
        <w:snapToGrid w:val="0"/>
        <w:rPr>
          <w:rFonts w:asciiTheme="minorHAnsi" w:hAnsiTheme="minorHAnsi" w:eastAsiaTheme="minorEastAsia" w:cstheme="minorBidi"/>
          <w:szCs w:val="24"/>
        </w:rPr>
      </w:pPr>
      <w:r>
        <w:fldChar w:fldCharType="begin"/>
      </w:r>
      <w:r>
        <w:instrText xml:space="preserve"> HYPERLINK \l "_Toc56690585" </w:instrText>
      </w:r>
      <w:r>
        <w:fldChar w:fldCharType="separate"/>
      </w:r>
      <w:r>
        <w:rPr>
          <w:rStyle w:val="31"/>
          <w:rFonts w:hint="eastAsia" w:ascii="宋体"/>
          <w:kern w:val="0"/>
          <w:szCs w:val="24"/>
        </w:rPr>
        <w:t>五、相关服务机构</w:t>
      </w:r>
      <w:r>
        <w:rPr>
          <w:szCs w:val="24"/>
        </w:rPr>
        <w:tab/>
      </w:r>
      <w:r>
        <w:rPr>
          <w:szCs w:val="24"/>
        </w:rPr>
        <w:fldChar w:fldCharType="begin"/>
      </w:r>
      <w:r>
        <w:rPr>
          <w:szCs w:val="24"/>
        </w:rPr>
        <w:instrText xml:space="preserve"> PAGEREF _Toc56690585 \h </w:instrText>
      </w:r>
      <w:r>
        <w:rPr>
          <w:szCs w:val="24"/>
        </w:rPr>
        <w:fldChar w:fldCharType="separate"/>
      </w:r>
      <w:r>
        <w:rPr>
          <w:szCs w:val="24"/>
        </w:rPr>
        <w:t>23</w:t>
      </w:r>
      <w:r>
        <w:rPr>
          <w:szCs w:val="24"/>
        </w:rPr>
        <w:fldChar w:fldCharType="end"/>
      </w:r>
      <w:r>
        <w:rPr>
          <w:szCs w:val="24"/>
        </w:rPr>
        <w:fldChar w:fldCharType="end"/>
      </w:r>
    </w:p>
    <w:p w14:paraId="07625712">
      <w:pPr>
        <w:pStyle w:val="22"/>
        <w:adjustRightInd w:val="0"/>
        <w:snapToGrid w:val="0"/>
        <w:rPr>
          <w:rFonts w:asciiTheme="minorHAnsi" w:hAnsiTheme="minorHAnsi" w:eastAsiaTheme="minorEastAsia" w:cstheme="minorBidi"/>
          <w:szCs w:val="24"/>
        </w:rPr>
      </w:pPr>
      <w:r>
        <w:fldChar w:fldCharType="begin"/>
      </w:r>
      <w:r>
        <w:instrText xml:space="preserve"> HYPERLINK \l "_Toc56690586" </w:instrText>
      </w:r>
      <w:r>
        <w:fldChar w:fldCharType="separate"/>
      </w:r>
      <w:r>
        <w:rPr>
          <w:rStyle w:val="31"/>
          <w:rFonts w:hint="eastAsia" w:ascii="宋体"/>
          <w:kern w:val="0"/>
          <w:szCs w:val="24"/>
        </w:rPr>
        <w:t>六、基金的募集</w:t>
      </w:r>
      <w:r>
        <w:rPr>
          <w:szCs w:val="24"/>
        </w:rPr>
        <w:tab/>
      </w:r>
      <w:r>
        <w:rPr>
          <w:szCs w:val="24"/>
        </w:rPr>
        <w:fldChar w:fldCharType="begin"/>
      </w:r>
      <w:r>
        <w:rPr>
          <w:szCs w:val="24"/>
        </w:rPr>
        <w:instrText xml:space="preserve"> PAGEREF _Toc56690586 \h </w:instrText>
      </w:r>
      <w:r>
        <w:rPr>
          <w:szCs w:val="24"/>
        </w:rPr>
        <w:fldChar w:fldCharType="separate"/>
      </w:r>
      <w:r>
        <w:rPr>
          <w:szCs w:val="24"/>
        </w:rPr>
        <w:t>25</w:t>
      </w:r>
      <w:r>
        <w:rPr>
          <w:szCs w:val="24"/>
        </w:rPr>
        <w:fldChar w:fldCharType="end"/>
      </w:r>
      <w:r>
        <w:rPr>
          <w:szCs w:val="24"/>
        </w:rPr>
        <w:fldChar w:fldCharType="end"/>
      </w:r>
    </w:p>
    <w:p w14:paraId="4EC193F1">
      <w:pPr>
        <w:pStyle w:val="22"/>
        <w:adjustRightInd w:val="0"/>
        <w:snapToGrid w:val="0"/>
        <w:rPr>
          <w:rFonts w:asciiTheme="minorHAnsi" w:hAnsiTheme="minorHAnsi" w:eastAsiaTheme="minorEastAsia" w:cstheme="minorBidi"/>
          <w:szCs w:val="24"/>
        </w:rPr>
      </w:pPr>
      <w:r>
        <w:fldChar w:fldCharType="begin"/>
      </w:r>
      <w:r>
        <w:instrText xml:space="preserve"> HYPERLINK \l "_Toc56690587" </w:instrText>
      </w:r>
      <w:r>
        <w:fldChar w:fldCharType="separate"/>
      </w:r>
      <w:r>
        <w:rPr>
          <w:rStyle w:val="31"/>
          <w:rFonts w:hint="eastAsia" w:ascii="宋体"/>
          <w:kern w:val="0"/>
          <w:szCs w:val="24"/>
        </w:rPr>
        <w:t>七、基金合同的生效</w:t>
      </w:r>
      <w:r>
        <w:rPr>
          <w:szCs w:val="24"/>
        </w:rPr>
        <w:tab/>
      </w:r>
      <w:r>
        <w:rPr>
          <w:szCs w:val="24"/>
        </w:rPr>
        <w:fldChar w:fldCharType="begin"/>
      </w:r>
      <w:r>
        <w:rPr>
          <w:szCs w:val="24"/>
        </w:rPr>
        <w:instrText xml:space="preserve"> PAGEREF _Toc56690587 \h </w:instrText>
      </w:r>
      <w:r>
        <w:rPr>
          <w:szCs w:val="24"/>
        </w:rPr>
        <w:fldChar w:fldCharType="separate"/>
      </w:r>
      <w:r>
        <w:rPr>
          <w:szCs w:val="24"/>
        </w:rPr>
        <w:t>30</w:t>
      </w:r>
      <w:r>
        <w:rPr>
          <w:szCs w:val="24"/>
        </w:rPr>
        <w:fldChar w:fldCharType="end"/>
      </w:r>
      <w:r>
        <w:rPr>
          <w:szCs w:val="24"/>
        </w:rPr>
        <w:fldChar w:fldCharType="end"/>
      </w:r>
    </w:p>
    <w:p w14:paraId="62E2CD0C">
      <w:pPr>
        <w:pStyle w:val="22"/>
        <w:adjustRightInd w:val="0"/>
        <w:snapToGrid w:val="0"/>
        <w:rPr>
          <w:rFonts w:asciiTheme="minorHAnsi" w:hAnsiTheme="minorHAnsi" w:eastAsiaTheme="minorEastAsia" w:cstheme="minorBidi"/>
          <w:szCs w:val="24"/>
        </w:rPr>
      </w:pPr>
      <w:r>
        <w:fldChar w:fldCharType="begin"/>
      </w:r>
      <w:r>
        <w:instrText xml:space="preserve"> HYPERLINK \l "_Toc56690588" </w:instrText>
      </w:r>
      <w:r>
        <w:fldChar w:fldCharType="separate"/>
      </w:r>
      <w:r>
        <w:rPr>
          <w:rStyle w:val="31"/>
          <w:rFonts w:hint="eastAsia" w:ascii="宋体"/>
          <w:kern w:val="0"/>
          <w:szCs w:val="24"/>
        </w:rPr>
        <w:t>八、基金份额的申购与赎回</w:t>
      </w:r>
      <w:r>
        <w:rPr>
          <w:szCs w:val="24"/>
        </w:rPr>
        <w:tab/>
      </w:r>
      <w:r>
        <w:rPr>
          <w:szCs w:val="24"/>
        </w:rPr>
        <w:fldChar w:fldCharType="begin"/>
      </w:r>
      <w:r>
        <w:rPr>
          <w:szCs w:val="24"/>
        </w:rPr>
        <w:instrText xml:space="preserve"> PAGEREF _Toc56690588 \h </w:instrText>
      </w:r>
      <w:r>
        <w:rPr>
          <w:szCs w:val="24"/>
        </w:rPr>
        <w:fldChar w:fldCharType="separate"/>
      </w:r>
      <w:r>
        <w:rPr>
          <w:szCs w:val="24"/>
        </w:rPr>
        <w:t>31</w:t>
      </w:r>
      <w:r>
        <w:rPr>
          <w:szCs w:val="24"/>
        </w:rPr>
        <w:fldChar w:fldCharType="end"/>
      </w:r>
      <w:r>
        <w:rPr>
          <w:szCs w:val="24"/>
        </w:rPr>
        <w:fldChar w:fldCharType="end"/>
      </w:r>
    </w:p>
    <w:p w14:paraId="05E21DD0">
      <w:pPr>
        <w:pStyle w:val="22"/>
        <w:adjustRightInd w:val="0"/>
        <w:snapToGrid w:val="0"/>
        <w:rPr>
          <w:rFonts w:asciiTheme="minorHAnsi" w:hAnsiTheme="minorHAnsi" w:eastAsiaTheme="minorEastAsia" w:cstheme="minorBidi"/>
          <w:szCs w:val="24"/>
        </w:rPr>
      </w:pPr>
      <w:r>
        <w:fldChar w:fldCharType="begin"/>
      </w:r>
      <w:r>
        <w:instrText xml:space="preserve"> HYPERLINK \l "_Toc56690589" </w:instrText>
      </w:r>
      <w:r>
        <w:fldChar w:fldCharType="separate"/>
      </w:r>
      <w:r>
        <w:rPr>
          <w:rStyle w:val="31"/>
          <w:rFonts w:hint="eastAsia" w:ascii="宋体"/>
          <w:kern w:val="0"/>
          <w:szCs w:val="24"/>
        </w:rPr>
        <w:t>九、基金的投资</w:t>
      </w:r>
      <w:r>
        <w:rPr>
          <w:szCs w:val="24"/>
        </w:rPr>
        <w:tab/>
      </w:r>
      <w:r>
        <w:rPr>
          <w:szCs w:val="24"/>
        </w:rPr>
        <w:fldChar w:fldCharType="begin"/>
      </w:r>
      <w:r>
        <w:rPr>
          <w:szCs w:val="24"/>
        </w:rPr>
        <w:instrText xml:space="preserve"> PAGEREF _Toc56690589 \h </w:instrText>
      </w:r>
      <w:r>
        <w:rPr>
          <w:szCs w:val="24"/>
        </w:rPr>
        <w:fldChar w:fldCharType="separate"/>
      </w:r>
      <w:r>
        <w:rPr>
          <w:szCs w:val="24"/>
        </w:rPr>
        <w:t>44</w:t>
      </w:r>
      <w:r>
        <w:rPr>
          <w:szCs w:val="24"/>
        </w:rPr>
        <w:fldChar w:fldCharType="end"/>
      </w:r>
      <w:r>
        <w:rPr>
          <w:szCs w:val="24"/>
        </w:rPr>
        <w:fldChar w:fldCharType="end"/>
      </w:r>
    </w:p>
    <w:p w14:paraId="7AB6CFBD">
      <w:pPr>
        <w:pStyle w:val="22"/>
        <w:adjustRightInd w:val="0"/>
        <w:snapToGrid w:val="0"/>
        <w:rPr>
          <w:rFonts w:asciiTheme="minorHAnsi" w:hAnsiTheme="minorHAnsi" w:eastAsiaTheme="minorEastAsia" w:cstheme="minorBidi"/>
          <w:szCs w:val="24"/>
        </w:rPr>
      </w:pPr>
      <w:r>
        <w:fldChar w:fldCharType="begin"/>
      </w:r>
      <w:r>
        <w:instrText xml:space="preserve"> HYPERLINK \l "_Toc56690590" </w:instrText>
      </w:r>
      <w:r>
        <w:fldChar w:fldCharType="separate"/>
      </w:r>
      <w:r>
        <w:rPr>
          <w:rStyle w:val="31"/>
          <w:rFonts w:hint="eastAsia" w:ascii="宋体"/>
          <w:kern w:val="0"/>
          <w:szCs w:val="24"/>
        </w:rPr>
        <w:t>十、基金的财产</w:t>
      </w:r>
      <w:r>
        <w:rPr>
          <w:szCs w:val="24"/>
        </w:rPr>
        <w:tab/>
      </w:r>
      <w:r>
        <w:rPr>
          <w:szCs w:val="24"/>
        </w:rPr>
        <w:fldChar w:fldCharType="begin"/>
      </w:r>
      <w:r>
        <w:rPr>
          <w:szCs w:val="24"/>
        </w:rPr>
        <w:instrText xml:space="preserve"> PAGEREF _Toc56690590 \h </w:instrText>
      </w:r>
      <w:r>
        <w:rPr>
          <w:szCs w:val="24"/>
        </w:rPr>
        <w:fldChar w:fldCharType="separate"/>
      </w:r>
      <w:r>
        <w:rPr>
          <w:szCs w:val="24"/>
        </w:rPr>
        <w:t>54</w:t>
      </w:r>
      <w:r>
        <w:rPr>
          <w:szCs w:val="24"/>
        </w:rPr>
        <w:fldChar w:fldCharType="end"/>
      </w:r>
      <w:r>
        <w:rPr>
          <w:szCs w:val="24"/>
        </w:rPr>
        <w:fldChar w:fldCharType="end"/>
      </w:r>
    </w:p>
    <w:p w14:paraId="06813660">
      <w:pPr>
        <w:pStyle w:val="22"/>
        <w:adjustRightInd w:val="0"/>
        <w:snapToGrid w:val="0"/>
        <w:rPr>
          <w:rFonts w:asciiTheme="minorHAnsi" w:hAnsiTheme="minorHAnsi" w:eastAsiaTheme="minorEastAsia" w:cstheme="minorBidi"/>
          <w:szCs w:val="24"/>
        </w:rPr>
      </w:pPr>
      <w:r>
        <w:fldChar w:fldCharType="begin"/>
      </w:r>
      <w:r>
        <w:instrText xml:space="preserve"> HYPERLINK \l "_Toc56690591" </w:instrText>
      </w:r>
      <w:r>
        <w:fldChar w:fldCharType="separate"/>
      </w:r>
      <w:r>
        <w:rPr>
          <w:rStyle w:val="31"/>
          <w:rFonts w:hint="eastAsia" w:ascii="宋体"/>
          <w:kern w:val="0"/>
          <w:szCs w:val="24"/>
        </w:rPr>
        <w:t>十一、基金资产的估值</w:t>
      </w:r>
      <w:r>
        <w:rPr>
          <w:szCs w:val="24"/>
        </w:rPr>
        <w:tab/>
      </w:r>
      <w:r>
        <w:rPr>
          <w:szCs w:val="24"/>
        </w:rPr>
        <w:fldChar w:fldCharType="begin"/>
      </w:r>
      <w:r>
        <w:rPr>
          <w:szCs w:val="24"/>
        </w:rPr>
        <w:instrText xml:space="preserve"> PAGEREF _Toc56690591 \h </w:instrText>
      </w:r>
      <w:r>
        <w:rPr>
          <w:szCs w:val="24"/>
        </w:rPr>
        <w:fldChar w:fldCharType="separate"/>
      </w:r>
      <w:r>
        <w:rPr>
          <w:szCs w:val="24"/>
        </w:rPr>
        <w:t>55</w:t>
      </w:r>
      <w:r>
        <w:rPr>
          <w:szCs w:val="24"/>
        </w:rPr>
        <w:fldChar w:fldCharType="end"/>
      </w:r>
      <w:r>
        <w:rPr>
          <w:szCs w:val="24"/>
        </w:rPr>
        <w:fldChar w:fldCharType="end"/>
      </w:r>
    </w:p>
    <w:p w14:paraId="477D7FAC">
      <w:pPr>
        <w:pStyle w:val="22"/>
        <w:adjustRightInd w:val="0"/>
        <w:snapToGrid w:val="0"/>
        <w:rPr>
          <w:rFonts w:asciiTheme="minorHAnsi" w:hAnsiTheme="minorHAnsi" w:eastAsiaTheme="minorEastAsia" w:cstheme="minorBidi"/>
          <w:szCs w:val="24"/>
        </w:rPr>
      </w:pPr>
      <w:r>
        <w:fldChar w:fldCharType="begin"/>
      </w:r>
      <w:r>
        <w:instrText xml:space="preserve"> HYPERLINK \l "_Toc56690592" </w:instrText>
      </w:r>
      <w:r>
        <w:fldChar w:fldCharType="separate"/>
      </w:r>
      <w:r>
        <w:rPr>
          <w:rStyle w:val="31"/>
          <w:rFonts w:hint="eastAsia" w:ascii="宋体"/>
          <w:kern w:val="0"/>
          <w:szCs w:val="24"/>
        </w:rPr>
        <w:t>十二、基金收益与分配</w:t>
      </w:r>
      <w:r>
        <w:rPr>
          <w:szCs w:val="24"/>
        </w:rPr>
        <w:tab/>
      </w:r>
      <w:r>
        <w:rPr>
          <w:szCs w:val="24"/>
        </w:rPr>
        <w:fldChar w:fldCharType="begin"/>
      </w:r>
      <w:r>
        <w:rPr>
          <w:szCs w:val="24"/>
        </w:rPr>
        <w:instrText xml:space="preserve"> PAGEREF _Toc56690592 \h </w:instrText>
      </w:r>
      <w:r>
        <w:rPr>
          <w:szCs w:val="24"/>
        </w:rPr>
        <w:fldChar w:fldCharType="separate"/>
      </w:r>
      <w:r>
        <w:rPr>
          <w:szCs w:val="24"/>
        </w:rPr>
        <w:t>63</w:t>
      </w:r>
      <w:r>
        <w:rPr>
          <w:szCs w:val="24"/>
        </w:rPr>
        <w:fldChar w:fldCharType="end"/>
      </w:r>
      <w:r>
        <w:rPr>
          <w:szCs w:val="24"/>
        </w:rPr>
        <w:fldChar w:fldCharType="end"/>
      </w:r>
    </w:p>
    <w:p w14:paraId="2D88DB5F">
      <w:pPr>
        <w:pStyle w:val="22"/>
        <w:adjustRightInd w:val="0"/>
        <w:snapToGrid w:val="0"/>
        <w:rPr>
          <w:rFonts w:asciiTheme="minorHAnsi" w:hAnsiTheme="minorHAnsi" w:eastAsiaTheme="minorEastAsia" w:cstheme="minorBidi"/>
          <w:szCs w:val="24"/>
        </w:rPr>
      </w:pPr>
      <w:r>
        <w:fldChar w:fldCharType="begin"/>
      </w:r>
      <w:r>
        <w:instrText xml:space="preserve"> HYPERLINK \l "_Toc56690593" </w:instrText>
      </w:r>
      <w:r>
        <w:fldChar w:fldCharType="separate"/>
      </w:r>
      <w:r>
        <w:rPr>
          <w:rStyle w:val="31"/>
          <w:rFonts w:hint="eastAsia" w:ascii="宋体"/>
          <w:kern w:val="0"/>
          <w:szCs w:val="24"/>
        </w:rPr>
        <w:t>十三、基金的费用与税收</w:t>
      </w:r>
      <w:r>
        <w:rPr>
          <w:szCs w:val="24"/>
        </w:rPr>
        <w:tab/>
      </w:r>
      <w:r>
        <w:rPr>
          <w:szCs w:val="24"/>
        </w:rPr>
        <w:fldChar w:fldCharType="begin"/>
      </w:r>
      <w:r>
        <w:rPr>
          <w:szCs w:val="24"/>
        </w:rPr>
        <w:instrText xml:space="preserve"> PAGEREF _Toc56690593 \h </w:instrText>
      </w:r>
      <w:r>
        <w:rPr>
          <w:szCs w:val="24"/>
        </w:rPr>
        <w:fldChar w:fldCharType="separate"/>
      </w:r>
      <w:r>
        <w:rPr>
          <w:szCs w:val="24"/>
        </w:rPr>
        <w:t>65</w:t>
      </w:r>
      <w:r>
        <w:rPr>
          <w:szCs w:val="24"/>
        </w:rPr>
        <w:fldChar w:fldCharType="end"/>
      </w:r>
      <w:r>
        <w:rPr>
          <w:szCs w:val="24"/>
        </w:rPr>
        <w:fldChar w:fldCharType="end"/>
      </w:r>
    </w:p>
    <w:p w14:paraId="53D9EA8C">
      <w:pPr>
        <w:pStyle w:val="22"/>
        <w:adjustRightInd w:val="0"/>
        <w:snapToGrid w:val="0"/>
        <w:rPr>
          <w:rFonts w:asciiTheme="minorHAnsi" w:hAnsiTheme="minorHAnsi" w:eastAsiaTheme="minorEastAsia" w:cstheme="minorBidi"/>
          <w:szCs w:val="24"/>
        </w:rPr>
      </w:pPr>
      <w:r>
        <w:fldChar w:fldCharType="begin"/>
      </w:r>
      <w:r>
        <w:instrText xml:space="preserve"> HYPERLINK \l "_Toc56690594" </w:instrText>
      </w:r>
      <w:r>
        <w:fldChar w:fldCharType="separate"/>
      </w:r>
      <w:r>
        <w:rPr>
          <w:rStyle w:val="31"/>
          <w:rFonts w:hint="eastAsia" w:ascii="宋体"/>
          <w:kern w:val="0"/>
          <w:szCs w:val="24"/>
        </w:rPr>
        <w:t>十四、基金的会计与审计</w:t>
      </w:r>
      <w:r>
        <w:rPr>
          <w:szCs w:val="24"/>
        </w:rPr>
        <w:tab/>
      </w:r>
      <w:r>
        <w:rPr>
          <w:szCs w:val="24"/>
        </w:rPr>
        <w:fldChar w:fldCharType="begin"/>
      </w:r>
      <w:r>
        <w:rPr>
          <w:szCs w:val="24"/>
        </w:rPr>
        <w:instrText xml:space="preserve"> PAGEREF _Toc56690594 \h </w:instrText>
      </w:r>
      <w:r>
        <w:rPr>
          <w:szCs w:val="24"/>
        </w:rPr>
        <w:fldChar w:fldCharType="separate"/>
      </w:r>
      <w:r>
        <w:rPr>
          <w:szCs w:val="24"/>
        </w:rPr>
        <w:t>68</w:t>
      </w:r>
      <w:r>
        <w:rPr>
          <w:szCs w:val="24"/>
        </w:rPr>
        <w:fldChar w:fldCharType="end"/>
      </w:r>
      <w:r>
        <w:rPr>
          <w:szCs w:val="24"/>
        </w:rPr>
        <w:fldChar w:fldCharType="end"/>
      </w:r>
    </w:p>
    <w:p w14:paraId="313699F3">
      <w:pPr>
        <w:pStyle w:val="22"/>
        <w:adjustRightInd w:val="0"/>
        <w:snapToGrid w:val="0"/>
        <w:rPr>
          <w:rFonts w:asciiTheme="minorHAnsi" w:hAnsiTheme="minorHAnsi" w:eastAsiaTheme="minorEastAsia" w:cstheme="minorBidi"/>
          <w:szCs w:val="24"/>
        </w:rPr>
      </w:pPr>
      <w:r>
        <w:fldChar w:fldCharType="begin"/>
      </w:r>
      <w:r>
        <w:instrText xml:space="preserve"> HYPERLINK \l "_Toc56690595" </w:instrText>
      </w:r>
      <w:r>
        <w:fldChar w:fldCharType="separate"/>
      </w:r>
      <w:r>
        <w:rPr>
          <w:rStyle w:val="31"/>
          <w:rFonts w:hint="eastAsia" w:ascii="宋体"/>
          <w:kern w:val="0"/>
          <w:szCs w:val="24"/>
        </w:rPr>
        <w:t>十五、基金的信息披露</w:t>
      </w:r>
      <w:r>
        <w:rPr>
          <w:szCs w:val="24"/>
        </w:rPr>
        <w:tab/>
      </w:r>
      <w:r>
        <w:rPr>
          <w:szCs w:val="24"/>
        </w:rPr>
        <w:fldChar w:fldCharType="begin"/>
      </w:r>
      <w:r>
        <w:rPr>
          <w:szCs w:val="24"/>
        </w:rPr>
        <w:instrText xml:space="preserve"> PAGEREF _Toc56690595 \h </w:instrText>
      </w:r>
      <w:r>
        <w:rPr>
          <w:szCs w:val="24"/>
        </w:rPr>
        <w:fldChar w:fldCharType="separate"/>
      </w:r>
      <w:r>
        <w:rPr>
          <w:szCs w:val="24"/>
        </w:rPr>
        <w:t>69</w:t>
      </w:r>
      <w:r>
        <w:rPr>
          <w:szCs w:val="24"/>
        </w:rPr>
        <w:fldChar w:fldCharType="end"/>
      </w:r>
      <w:r>
        <w:rPr>
          <w:szCs w:val="24"/>
        </w:rPr>
        <w:fldChar w:fldCharType="end"/>
      </w:r>
    </w:p>
    <w:p w14:paraId="09F6D355">
      <w:pPr>
        <w:pStyle w:val="22"/>
        <w:adjustRightInd w:val="0"/>
        <w:snapToGrid w:val="0"/>
        <w:rPr>
          <w:rFonts w:asciiTheme="minorHAnsi" w:hAnsiTheme="minorHAnsi" w:eastAsiaTheme="minorEastAsia" w:cstheme="minorBidi"/>
          <w:szCs w:val="24"/>
        </w:rPr>
      </w:pPr>
      <w:r>
        <w:fldChar w:fldCharType="begin"/>
      </w:r>
      <w:r>
        <w:instrText xml:space="preserve"> HYPERLINK \l "_Toc56690596" </w:instrText>
      </w:r>
      <w:r>
        <w:fldChar w:fldCharType="separate"/>
      </w:r>
      <w:r>
        <w:rPr>
          <w:rStyle w:val="31"/>
          <w:rFonts w:hint="eastAsia" w:ascii="宋体"/>
          <w:kern w:val="0"/>
          <w:szCs w:val="24"/>
        </w:rPr>
        <w:t>十六、侧袋机制</w:t>
      </w:r>
      <w:r>
        <w:rPr>
          <w:szCs w:val="24"/>
        </w:rPr>
        <w:tab/>
      </w:r>
      <w:r>
        <w:rPr>
          <w:szCs w:val="24"/>
        </w:rPr>
        <w:fldChar w:fldCharType="begin"/>
      </w:r>
      <w:r>
        <w:rPr>
          <w:szCs w:val="24"/>
        </w:rPr>
        <w:instrText xml:space="preserve"> PAGEREF _Toc56690596 \h </w:instrText>
      </w:r>
      <w:r>
        <w:rPr>
          <w:szCs w:val="24"/>
        </w:rPr>
        <w:fldChar w:fldCharType="separate"/>
      </w:r>
      <w:r>
        <w:rPr>
          <w:szCs w:val="24"/>
        </w:rPr>
        <w:t>76</w:t>
      </w:r>
      <w:r>
        <w:rPr>
          <w:szCs w:val="24"/>
        </w:rPr>
        <w:fldChar w:fldCharType="end"/>
      </w:r>
      <w:r>
        <w:rPr>
          <w:szCs w:val="24"/>
        </w:rPr>
        <w:fldChar w:fldCharType="end"/>
      </w:r>
    </w:p>
    <w:p w14:paraId="7AF97831">
      <w:pPr>
        <w:pStyle w:val="22"/>
        <w:adjustRightInd w:val="0"/>
        <w:snapToGrid w:val="0"/>
        <w:rPr>
          <w:rFonts w:asciiTheme="minorHAnsi" w:hAnsiTheme="minorHAnsi" w:eastAsiaTheme="minorEastAsia" w:cstheme="minorBidi"/>
          <w:szCs w:val="24"/>
        </w:rPr>
      </w:pPr>
      <w:r>
        <w:fldChar w:fldCharType="begin"/>
      </w:r>
      <w:r>
        <w:instrText xml:space="preserve"> HYPERLINK \l "_Toc56690597" </w:instrText>
      </w:r>
      <w:r>
        <w:fldChar w:fldCharType="separate"/>
      </w:r>
      <w:r>
        <w:rPr>
          <w:rStyle w:val="31"/>
          <w:rFonts w:hint="eastAsia" w:ascii="宋体"/>
          <w:kern w:val="0"/>
          <w:szCs w:val="24"/>
        </w:rPr>
        <w:t>十七、风险揭示</w:t>
      </w:r>
      <w:r>
        <w:rPr>
          <w:szCs w:val="24"/>
        </w:rPr>
        <w:tab/>
      </w:r>
      <w:r>
        <w:rPr>
          <w:szCs w:val="24"/>
        </w:rPr>
        <w:fldChar w:fldCharType="begin"/>
      </w:r>
      <w:r>
        <w:rPr>
          <w:szCs w:val="24"/>
        </w:rPr>
        <w:instrText xml:space="preserve"> PAGEREF _Toc56690597 \h </w:instrText>
      </w:r>
      <w:r>
        <w:rPr>
          <w:szCs w:val="24"/>
        </w:rPr>
        <w:fldChar w:fldCharType="separate"/>
      </w:r>
      <w:r>
        <w:rPr>
          <w:szCs w:val="24"/>
        </w:rPr>
        <w:t>79</w:t>
      </w:r>
      <w:r>
        <w:rPr>
          <w:szCs w:val="24"/>
        </w:rPr>
        <w:fldChar w:fldCharType="end"/>
      </w:r>
      <w:r>
        <w:rPr>
          <w:szCs w:val="24"/>
        </w:rPr>
        <w:fldChar w:fldCharType="end"/>
      </w:r>
    </w:p>
    <w:p w14:paraId="5480BC20">
      <w:pPr>
        <w:pStyle w:val="22"/>
        <w:adjustRightInd w:val="0"/>
        <w:snapToGrid w:val="0"/>
        <w:rPr>
          <w:rFonts w:asciiTheme="minorHAnsi" w:hAnsiTheme="minorHAnsi" w:eastAsiaTheme="minorEastAsia" w:cstheme="minorBidi"/>
          <w:szCs w:val="24"/>
        </w:rPr>
      </w:pPr>
      <w:r>
        <w:fldChar w:fldCharType="begin"/>
      </w:r>
      <w:r>
        <w:instrText xml:space="preserve"> HYPERLINK \l "_Toc56690598" </w:instrText>
      </w:r>
      <w:r>
        <w:fldChar w:fldCharType="separate"/>
      </w:r>
      <w:r>
        <w:rPr>
          <w:rStyle w:val="31"/>
          <w:rFonts w:hint="eastAsia"/>
          <w:kern w:val="0"/>
          <w:szCs w:val="24"/>
        </w:rPr>
        <w:t>十七、基金合同的变更、终止与基金财产的清算</w:t>
      </w:r>
      <w:r>
        <w:rPr>
          <w:szCs w:val="24"/>
        </w:rPr>
        <w:tab/>
      </w:r>
      <w:r>
        <w:rPr>
          <w:szCs w:val="24"/>
        </w:rPr>
        <w:fldChar w:fldCharType="begin"/>
      </w:r>
      <w:r>
        <w:rPr>
          <w:szCs w:val="24"/>
        </w:rPr>
        <w:instrText xml:space="preserve"> PAGEREF _Toc56690598 \h </w:instrText>
      </w:r>
      <w:r>
        <w:rPr>
          <w:szCs w:val="24"/>
        </w:rPr>
        <w:fldChar w:fldCharType="separate"/>
      </w:r>
      <w:r>
        <w:rPr>
          <w:szCs w:val="24"/>
        </w:rPr>
        <w:t>98</w:t>
      </w:r>
      <w:r>
        <w:rPr>
          <w:szCs w:val="24"/>
        </w:rPr>
        <w:fldChar w:fldCharType="end"/>
      </w:r>
      <w:r>
        <w:rPr>
          <w:szCs w:val="24"/>
        </w:rPr>
        <w:fldChar w:fldCharType="end"/>
      </w:r>
    </w:p>
    <w:p w14:paraId="3FE8A517">
      <w:pPr>
        <w:pStyle w:val="22"/>
        <w:adjustRightInd w:val="0"/>
        <w:snapToGrid w:val="0"/>
        <w:rPr>
          <w:rFonts w:asciiTheme="minorHAnsi" w:hAnsiTheme="minorHAnsi" w:eastAsiaTheme="minorEastAsia" w:cstheme="minorBidi"/>
          <w:szCs w:val="24"/>
        </w:rPr>
      </w:pPr>
      <w:r>
        <w:fldChar w:fldCharType="begin"/>
      </w:r>
      <w:r>
        <w:instrText xml:space="preserve"> HYPERLINK \l "_Toc56690599" </w:instrText>
      </w:r>
      <w:r>
        <w:fldChar w:fldCharType="separate"/>
      </w:r>
      <w:r>
        <w:rPr>
          <w:rStyle w:val="31"/>
          <w:rFonts w:hint="eastAsia" w:ascii="宋体"/>
          <w:kern w:val="0"/>
          <w:szCs w:val="24"/>
        </w:rPr>
        <w:t>十八、基金合同内容摘要</w:t>
      </w:r>
      <w:r>
        <w:rPr>
          <w:szCs w:val="24"/>
        </w:rPr>
        <w:tab/>
      </w:r>
      <w:r>
        <w:rPr>
          <w:szCs w:val="24"/>
        </w:rPr>
        <w:fldChar w:fldCharType="begin"/>
      </w:r>
      <w:r>
        <w:rPr>
          <w:szCs w:val="24"/>
        </w:rPr>
        <w:instrText xml:space="preserve"> PAGEREF _Toc56690599 \h </w:instrText>
      </w:r>
      <w:r>
        <w:rPr>
          <w:szCs w:val="24"/>
        </w:rPr>
        <w:fldChar w:fldCharType="separate"/>
      </w:r>
      <w:r>
        <w:rPr>
          <w:szCs w:val="24"/>
        </w:rPr>
        <w:t>100</w:t>
      </w:r>
      <w:r>
        <w:rPr>
          <w:szCs w:val="24"/>
        </w:rPr>
        <w:fldChar w:fldCharType="end"/>
      </w:r>
      <w:r>
        <w:rPr>
          <w:szCs w:val="24"/>
        </w:rPr>
        <w:fldChar w:fldCharType="end"/>
      </w:r>
    </w:p>
    <w:p w14:paraId="426113CE">
      <w:pPr>
        <w:pStyle w:val="22"/>
        <w:adjustRightInd w:val="0"/>
        <w:snapToGrid w:val="0"/>
        <w:rPr>
          <w:rFonts w:asciiTheme="minorHAnsi" w:hAnsiTheme="minorHAnsi" w:eastAsiaTheme="minorEastAsia" w:cstheme="minorBidi"/>
          <w:szCs w:val="24"/>
        </w:rPr>
      </w:pPr>
      <w:r>
        <w:fldChar w:fldCharType="begin"/>
      </w:r>
      <w:r>
        <w:instrText xml:space="preserve"> HYPERLINK \l "_Toc56690600" </w:instrText>
      </w:r>
      <w:r>
        <w:fldChar w:fldCharType="separate"/>
      </w:r>
      <w:r>
        <w:rPr>
          <w:rStyle w:val="31"/>
          <w:rFonts w:hint="eastAsia" w:ascii="宋体"/>
          <w:kern w:val="0"/>
          <w:szCs w:val="24"/>
        </w:rPr>
        <w:t>十九、托管协议的内容摘要</w:t>
      </w:r>
      <w:r>
        <w:rPr>
          <w:szCs w:val="24"/>
        </w:rPr>
        <w:tab/>
      </w:r>
      <w:r>
        <w:rPr>
          <w:szCs w:val="24"/>
        </w:rPr>
        <w:fldChar w:fldCharType="begin"/>
      </w:r>
      <w:r>
        <w:rPr>
          <w:szCs w:val="24"/>
        </w:rPr>
        <w:instrText xml:space="preserve"> PAGEREF _Toc56690600 \h </w:instrText>
      </w:r>
      <w:r>
        <w:rPr>
          <w:szCs w:val="24"/>
        </w:rPr>
        <w:fldChar w:fldCharType="separate"/>
      </w:r>
      <w:r>
        <w:rPr>
          <w:szCs w:val="24"/>
        </w:rPr>
        <w:t>118</w:t>
      </w:r>
      <w:r>
        <w:rPr>
          <w:szCs w:val="24"/>
        </w:rPr>
        <w:fldChar w:fldCharType="end"/>
      </w:r>
      <w:r>
        <w:rPr>
          <w:szCs w:val="24"/>
        </w:rPr>
        <w:fldChar w:fldCharType="end"/>
      </w:r>
    </w:p>
    <w:p w14:paraId="72A0992B">
      <w:pPr>
        <w:pStyle w:val="22"/>
        <w:adjustRightInd w:val="0"/>
        <w:snapToGrid w:val="0"/>
        <w:rPr>
          <w:rFonts w:asciiTheme="minorHAnsi" w:hAnsiTheme="minorHAnsi" w:eastAsiaTheme="minorEastAsia" w:cstheme="minorBidi"/>
          <w:szCs w:val="24"/>
        </w:rPr>
      </w:pPr>
      <w:r>
        <w:fldChar w:fldCharType="begin"/>
      </w:r>
      <w:r>
        <w:instrText xml:space="preserve"> HYPERLINK \l "_Toc56690601" </w:instrText>
      </w:r>
      <w:r>
        <w:fldChar w:fldCharType="separate"/>
      </w:r>
      <w:r>
        <w:rPr>
          <w:rStyle w:val="31"/>
          <w:rFonts w:hint="eastAsia" w:ascii="宋体"/>
          <w:kern w:val="0"/>
          <w:szCs w:val="24"/>
        </w:rPr>
        <w:t>二十、对基金份额持有人的服务</w:t>
      </w:r>
      <w:r>
        <w:rPr>
          <w:szCs w:val="24"/>
        </w:rPr>
        <w:tab/>
      </w:r>
      <w:r>
        <w:rPr>
          <w:szCs w:val="24"/>
        </w:rPr>
        <w:fldChar w:fldCharType="begin"/>
      </w:r>
      <w:r>
        <w:rPr>
          <w:szCs w:val="24"/>
        </w:rPr>
        <w:instrText xml:space="preserve"> PAGEREF _Toc56690601 \h </w:instrText>
      </w:r>
      <w:r>
        <w:rPr>
          <w:szCs w:val="24"/>
        </w:rPr>
        <w:fldChar w:fldCharType="separate"/>
      </w:r>
      <w:r>
        <w:rPr>
          <w:szCs w:val="24"/>
        </w:rPr>
        <w:t>138</w:t>
      </w:r>
      <w:r>
        <w:rPr>
          <w:szCs w:val="24"/>
        </w:rPr>
        <w:fldChar w:fldCharType="end"/>
      </w:r>
      <w:r>
        <w:rPr>
          <w:szCs w:val="24"/>
        </w:rPr>
        <w:fldChar w:fldCharType="end"/>
      </w:r>
    </w:p>
    <w:p w14:paraId="416535CC">
      <w:pPr>
        <w:pStyle w:val="22"/>
        <w:adjustRightInd w:val="0"/>
        <w:snapToGrid w:val="0"/>
        <w:rPr>
          <w:rFonts w:asciiTheme="minorHAnsi" w:hAnsiTheme="minorHAnsi" w:eastAsiaTheme="minorEastAsia" w:cstheme="minorBidi"/>
          <w:szCs w:val="24"/>
        </w:rPr>
      </w:pPr>
      <w:r>
        <w:fldChar w:fldCharType="begin"/>
      </w:r>
      <w:r>
        <w:instrText xml:space="preserve"> HYPERLINK \l "_Toc56690602" </w:instrText>
      </w:r>
      <w:r>
        <w:fldChar w:fldCharType="separate"/>
      </w:r>
      <w:r>
        <w:rPr>
          <w:rStyle w:val="31"/>
          <w:rFonts w:hint="eastAsia" w:ascii="宋体"/>
          <w:kern w:val="0"/>
          <w:szCs w:val="24"/>
        </w:rPr>
        <w:t>二十一、其他应披露事项</w:t>
      </w:r>
      <w:bookmarkStart w:id="118" w:name="_GoBack"/>
      <w:bookmarkEnd w:id="118"/>
      <w:r>
        <w:rPr>
          <w:szCs w:val="24"/>
        </w:rPr>
        <w:tab/>
      </w:r>
      <w:r>
        <w:rPr>
          <w:szCs w:val="24"/>
        </w:rPr>
        <w:fldChar w:fldCharType="begin"/>
      </w:r>
      <w:r>
        <w:rPr>
          <w:szCs w:val="24"/>
        </w:rPr>
        <w:instrText xml:space="preserve"> PAGEREF _Toc56690602 \h </w:instrText>
      </w:r>
      <w:r>
        <w:rPr>
          <w:szCs w:val="24"/>
        </w:rPr>
        <w:fldChar w:fldCharType="separate"/>
      </w:r>
      <w:r>
        <w:rPr>
          <w:szCs w:val="24"/>
        </w:rPr>
        <w:t>140</w:t>
      </w:r>
      <w:r>
        <w:rPr>
          <w:szCs w:val="24"/>
        </w:rPr>
        <w:fldChar w:fldCharType="end"/>
      </w:r>
      <w:r>
        <w:rPr>
          <w:szCs w:val="24"/>
        </w:rPr>
        <w:fldChar w:fldCharType="end"/>
      </w:r>
    </w:p>
    <w:p w14:paraId="45550F96">
      <w:pPr>
        <w:pStyle w:val="22"/>
        <w:adjustRightInd w:val="0"/>
        <w:snapToGrid w:val="0"/>
        <w:rPr>
          <w:rFonts w:asciiTheme="minorHAnsi" w:hAnsiTheme="minorHAnsi" w:eastAsiaTheme="minorEastAsia" w:cstheme="minorBidi"/>
          <w:szCs w:val="24"/>
        </w:rPr>
      </w:pPr>
      <w:r>
        <w:fldChar w:fldCharType="begin"/>
      </w:r>
      <w:r>
        <w:instrText xml:space="preserve"> HYPERLINK \l "_Toc56690603" </w:instrText>
      </w:r>
      <w:r>
        <w:fldChar w:fldCharType="separate"/>
      </w:r>
      <w:r>
        <w:rPr>
          <w:rStyle w:val="31"/>
          <w:rFonts w:hint="eastAsia" w:ascii="宋体"/>
          <w:kern w:val="0"/>
          <w:szCs w:val="24"/>
        </w:rPr>
        <w:t>二十二、招募说明书的存放及查阅方式</w:t>
      </w:r>
      <w:r>
        <w:rPr>
          <w:szCs w:val="24"/>
        </w:rPr>
        <w:tab/>
      </w:r>
      <w:r>
        <w:rPr>
          <w:szCs w:val="24"/>
        </w:rPr>
        <w:fldChar w:fldCharType="begin"/>
      </w:r>
      <w:r>
        <w:rPr>
          <w:szCs w:val="24"/>
        </w:rPr>
        <w:instrText xml:space="preserve"> PAGEREF _Toc56690603 \h </w:instrText>
      </w:r>
      <w:r>
        <w:rPr>
          <w:szCs w:val="24"/>
        </w:rPr>
        <w:fldChar w:fldCharType="separate"/>
      </w:r>
      <w:r>
        <w:rPr>
          <w:szCs w:val="24"/>
        </w:rPr>
        <w:t>141</w:t>
      </w:r>
      <w:r>
        <w:rPr>
          <w:szCs w:val="24"/>
        </w:rPr>
        <w:fldChar w:fldCharType="end"/>
      </w:r>
      <w:r>
        <w:rPr>
          <w:szCs w:val="24"/>
        </w:rPr>
        <w:fldChar w:fldCharType="end"/>
      </w:r>
    </w:p>
    <w:p w14:paraId="132D2952">
      <w:pPr>
        <w:pStyle w:val="22"/>
        <w:adjustRightInd w:val="0"/>
        <w:snapToGrid w:val="0"/>
        <w:rPr>
          <w:rFonts w:asciiTheme="minorHAnsi" w:hAnsiTheme="minorHAnsi" w:eastAsiaTheme="minorEastAsia" w:cstheme="minorBidi"/>
          <w:szCs w:val="24"/>
        </w:rPr>
      </w:pPr>
      <w:r>
        <w:fldChar w:fldCharType="begin"/>
      </w:r>
      <w:r>
        <w:instrText xml:space="preserve"> HYPERLINK \l "_Toc56690604" </w:instrText>
      </w:r>
      <w:r>
        <w:fldChar w:fldCharType="separate"/>
      </w:r>
      <w:r>
        <w:rPr>
          <w:rStyle w:val="31"/>
          <w:rFonts w:hint="eastAsia" w:ascii="宋体"/>
          <w:kern w:val="0"/>
          <w:szCs w:val="24"/>
        </w:rPr>
        <w:t>二十三、备查文件</w:t>
      </w:r>
      <w:r>
        <w:rPr>
          <w:szCs w:val="24"/>
        </w:rPr>
        <w:tab/>
      </w:r>
      <w:r>
        <w:rPr>
          <w:szCs w:val="24"/>
        </w:rPr>
        <w:fldChar w:fldCharType="begin"/>
      </w:r>
      <w:r>
        <w:rPr>
          <w:szCs w:val="24"/>
        </w:rPr>
        <w:instrText xml:space="preserve"> PAGEREF _Toc56690604 \h </w:instrText>
      </w:r>
      <w:r>
        <w:rPr>
          <w:szCs w:val="24"/>
        </w:rPr>
        <w:fldChar w:fldCharType="separate"/>
      </w:r>
      <w:r>
        <w:rPr>
          <w:szCs w:val="24"/>
        </w:rPr>
        <w:t>142</w:t>
      </w:r>
      <w:r>
        <w:rPr>
          <w:szCs w:val="24"/>
        </w:rPr>
        <w:fldChar w:fldCharType="end"/>
      </w:r>
      <w:r>
        <w:rPr>
          <w:szCs w:val="24"/>
        </w:rPr>
        <w:fldChar w:fldCharType="end"/>
      </w:r>
    </w:p>
    <w:p w14:paraId="2D5ACAC4">
      <w:pPr>
        <w:adjustRightInd w:val="0"/>
        <w:snapToGrid w:val="0"/>
      </w:pPr>
      <w:r>
        <w:rPr>
          <w:sz w:val="24"/>
          <w:szCs w:val="24"/>
        </w:rPr>
        <w:fldChar w:fldCharType="end"/>
      </w:r>
    </w:p>
    <w:p w14:paraId="13FD93A7">
      <w:pPr>
        <w:widowControl/>
        <w:adjustRightInd w:val="0"/>
        <w:snapToGrid w:val="0"/>
        <w:spacing w:before="143" w:beforeLines="50" w:after="143" w:afterLines="50" w:line="360" w:lineRule="auto"/>
        <w:jc w:val="center"/>
        <w:outlineLvl w:val="0"/>
        <w:rPr>
          <w:rFonts w:ascii="宋体" w:hAnsi="宋体"/>
          <w:kern w:val="0"/>
          <w:sz w:val="24"/>
        </w:rPr>
        <w:sectPr>
          <w:footerReference r:id="rId8" w:type="first"/>
          <w:footerReference r:id="rId7" w:type="default"/>
          <w:pgSz w:w="12240" w:h="15840"/>
          <w:pgMar w:top="1440" w:right="1800" w:bottom="1440" w:left="1800" w:header="720" w:footer="720" w:gutter="0"/>
          <w:pgNumType w:fmt="decimal" w:start="1"/>
          <w:cols w:space="720" w:num="1"/>
          <w:titlePg/>
          <w:docGrid w:type="lines" w:linePitch="286" w:charSpace="0"/>
        </w:sectPr>
      </w:pPr>
      <w:bookmarkStart w:id="3" w:name="_Toc56690581"/>
    </w:p>
    <w:p w14:paraId="038FD6FB">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hint="eastAsia" w:ascii="宋体" w:hAnsi="宋体"/>
          <w:b/>
          <w:kern w:val="0"/>
          <w:sz w:val="30"/>
        </w:rPr>
        <w:t>一、绪言</w:t>
      </w:r>
      <w:bookmarkEnd w:id="2"/>
      <w:bookmarkEnd w:id="3"/>
    </w:p>
    <w:p w14:paraId="5DA62924">
      <w:pPr>
        <w:widowControl/>
        <w:adjustRightInd w:val="0"/>
        <w:snapToGrid w:val="0"/>
        <w:spacing w:line="360" w:lineRule="auto"/>
        <w:ind w:firstLine="480" w:firstLineChars="200"/>
        <w:rPr>
          <w:kern w:val="0"/>
          <w:sz w:val="24"/>
        </w:rPr>
      </w:pPr>
      <w:r>
        <w:rPr>
          <w:rFonts w:ascii="宋体" w:hAnsi="宋体"/>
          <w:kern w:val="0"/>
          <w:sz w:val="24"/>
        </w:rPr>
        <w:t>《交银施罗德</w:t>
      </w:r>
      <w:r>
        <w:rPr>
          <w:rFonts w:hint="eastAsia" w:ascii="宋体" w:hAnsi="宋体"/>
          <w:kern w:val="0"/>
          <w:sz w:val="24"/>
        </w:rPr>
        <w:t>惠享多资产六个月</w:t>
      </w:r>
      <w:r>
        <w:rPr>
          <w:rFonts w:ascii="宋体" w:hAnsi="宋体"/>
          <w:kern w:val="0"/>
          <w:sz w:val="24"/>
        </w:rPr>
        <w:t>持有期混合型基金中基金（FOF）招募说明书》（以下简称“本招募说明书”）依据《中华人民共和国证券投资基金法》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bCs/>
          <w:sz w:val="24"/>
        </w:rPr>
        <w:t>公开募集</w:t>
      </w:r>
      <w:r>
        <w:rPr>
          <w:rFonts w:ascii="宋体" w:hAnsi="宋体"/>
          <w:kern w:val="0"/>
          <w:sz w:val="24"/>
        </w:rPr>
        <w:t>证券投资基金信息披露管理办法》</w:t>
      </w:r>
      <w:r>
        <w:rPr>
          <w:rFonts w:hint="eastAsia" w:ascii="宋体" w:hAnsi="宋体"/>
          <w:kern w:val="0"/>
          <w:sz w:val="24"/>
        </w:rPr>
        <w:t>（以下简称“《信息披露办法》”）、</w:t>
      </w:r>
      <w:r>
        <w:rPr>
          <w:rFonts w:hint="eastAsia"/>
          <w:bCs/>
          <w:sz w:val="24"/>
        </w:rPr>
        <w:t>《公开募集证券投资基金运作指引第2号——基金中基金指引》、</w:t>
      </w:r>
      <w:r>
        <w:rPr>
          <w:rFonts w:hint="eastAsia" w:ascii="宋体" w:hAnsi="宋体"/>
          <w:kern w:val="0"/>
          <w:sz w:val="24"/>
        </w:rPr>
        <w:t>《公开募集开放式证券投资基金流动性风险管理规定》（以下简称“《流动性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w:t>
      </w:r>
      <w:r>
        <w:rPr>
          <w:rFonts w:hint="eastAsia" w:ascii="宋体" w:hAnsi="宋体"/>
          <w:kern w:val="0"/>
          <w:sz w:val="24"/>
        </w:rPr>
        <w:t>惠享多资产六个月</w:t>
      </w:r>
      <w:r>
        <w:rPr>
          <w:rFonts w:ascii="宋体" w:hAnsi="宋体"/>
          <w:kern w:val="0"/>
          <w:sz w:val="24"/>
        </w:rPr>
        <w:t>持有期混合型基金中基金（FOF）基金合同》（以下简称“基金合同”）</w:t>
      </w:r>
      <w:r>
        <w:rPr>
          <w:rFonts w:hAnsi="宋体"/>
          <w:kern w:val="0"/>
          <w:sz w:val="24"/>
        </w:rPr>
        <w:t>编写。</w:t>
      </w:r>
    </w:p>
    <w:p w14:paraId="61578A8B">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14:paraId="703BC991">
      <w:pPr>
        <w:widowControl/>
        <w:adjustRightInd w:val="0"/>
        <w:snapToGrid w:val="0"/>
        <w:spacing w:line="360" w:lineRule="auto"/>
        <w:ind w:firstLine="480" w:firstLineChars="200"/>
        <w:rPr>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BF4E355">
      <w:pPr>
        <w:widowControl/>
        <w:spacing w:line="360" w:lineRule="auto"/>
        <w:ind w:firstLine="482" w:firstLineChars="200"/>
        <w:rPr>
          <w:rFonts w:hint="eastAsia" w:ascii="宋体" w:hAnsi="宋体"/>
          <w:b/>
          <w:kern w:val="0"/>
          <w:sz w:val="24"/>
        </w:rPr>
      </w:pPr>
    </w:p>
    <w:p w14:paraId="234F43FA">
      <w:pPr>
        <w:widowControl/>
        <w:adjustRightInd w:val="0"/>
        <w:snapToGrid w:val="0"/>
        <w:spacing w:before="143" w:beforeLines="50" w:after="143" w:afterLines="50" w:line="360" w:lineRule="auto"/>
        <w:jc w:val="center"/>
        <w:outlineLvl w:val="0"/>
        <w:rPr>
          <w:rFonts w:hint="eastAsia" w:ascii="宋体" w:hAnsi="宋体"/>
          <w:b/>
          <w:kern w:val="0"/>
          <w:sz w:val="30"/>
        </w:rPr>
      </w:pPr>
      <w:bookmarkStart w:id="4" w:name="_Toc109537380"/>
      <w:r>
        <w:rPr>
          <w:rFonts w:ascii="宋体" w:hAnsi="宋体"/>
          <w:b/>
          <w:kern w:val="0"/>
          <w:sz w:val="30"/>
        </w:rPr>
        <w:br w:type="page"/>
      </w:r>
      <w:bookmarkStart w:id="5" w:name="_Toc56690582"/>
      <w:bookmarkStart w:id="6" w:name="_Hlk195284377"/>
      <w:r>
        <w:rPr>
          <w:rFonts w:hint="eastAsia" w:ascii="宋体" w:hAnsi="宋体"/>
          <w:b/>
          <w:kern w:val="0"/>
          <w:sz w:val="30"/>
        </w:rPr>
        <w:t>二、释义</w:t>
      </w:r>
      <w:bookmarkEnd w:id="4"/>
      <w:bookmarkEnd w:id="5"/>
    </w:p>
    <w:p w14:paraId="61B70B7B">
      <w:pPr>
        <w:adjustRightInd w:val="0"/>
        <w:snapToGrid w:val="0"/>
        <w:spacing w:line="360" w:lineRule="auto"/>
        <w:ind w:firstLine="480" w:firstLineChars="200"/>
        <w:rPr>
          <w:sz w:val="24"/>
        </w:rPr>
      </w:pPr>
      <w:bookmarkStart w:id="7" w:name="_Hlk131077441"/>
      <w:r>
        <w:rPr>
          <w:rFonts w:hint="eastAsia"/>
          <w:sz w:val="24"/>
        </w:rPr>
        <w:t>在</w:t>
      </w:r>
      <w:r>
        <w:rPr>
          <w:rFonts w:hint="eastAsia" w:hAnsi="宋体"/>
          <w:sz w:val="24"/>
        </w:rPr>
        <w:t>本</w:t>
      </w:r>
      <w:r>
        <w:rPr>
          <w:rFonts w:hAnsi="宋体"/>
          <w:sz w:val="24"/>
        </w:rPr>
        <w:t>招募说明书</w:t>
      </w:r>
      <w:r>
        <w:rPr>
          <w:rFonts w:hint="eastAsia" w:hAnsi="宋体"/>
          <w:sz w:val="24"/>
        </w:rPr>
        <w:t>中，除</w:t>
      </w:r>
      <w:r>
        <w:rPr>
          <w:rFonts w:hint="eastAsia"/>
          <w:sz w:val="24"/>
        </w:rPr>
        <w:t>非文意另有所指，下列词语或简称具有如下含义：</w:t>
      </w:r>
    </w:p>
    <w:p w14:paraId="759C8832">
      <w:pPr>
        <w:adjustRightInd w:val="0"/>
        <w:snapToGrid w:val="0"/>
        <w:spacing w:line="360" w:lineRule="auto"/>
        <w:ind w:firstLine="480" w:firstLineChars="200"/>
        <w:rPr>
          <w:bCs/>
          <w:sz w:val="24"/>
        </w:rPr>
      </w:pPr>
      <w:r>
        <w:rPr>
          <w:bCs/>
          <w:sz w:val="24"/>
        </w:rPr>
        <w:t>1</w:t>
      </w:r>
      <w:r>
        <w:rPr>
          <w:rFonts w:hint="eastAsia"/>
          <w:bCs/>
          <w:sz w:val="24"/>
        </w:rPr>
        <w:t>、基金或本基金：指交银施罗德惠享多资产六个月持有期混合型基金中基金（FOF）</w:t>
      </w:r>
    </w:p>
    <w:p w14:paraId="7ED5F6F5">
      <w:pPr>
        <w:adjustRightInd w:val="0"/>
        <w:snapToGrid w:val="0"/>
        <w:spacing w:line="360" w:lineRule="auto"/>
        <w:ind w:firstLine="480" w:firstLineChars="200"/>
        <w:rPr>
          <w:bCs/>
          <w:sz w:val="24"/>
        </w:rPr>
      </w:pPr>
      <w:r>
        <w:rPr>
          <w:bCs/>
          <w:sz w:val="24"/>
        </w:rPr>
        <w:t>2</w:t>
      </w:r>
      <w:r>
        <w:rPr>
          <w:rFonts w:hint="eastAsia"/>
          <w:bCs/>
          <w:sz w:val="24"/>
        </w:rPr>
        <w:t>、基金管理人：指交银施罗德基金管理有限公司</w:t>
      </w:r>
    </w:p>
    <w:p w14:paraId="6C9DF423">
      <w:pPr>
        <w:adjustRightInd w:val="0"/>
        <w:snapToGrid w:val="0"/>
        <w:spacing w:line="360" w:lineRule="auto"/>
        <w:ind w:firstLine="480" w:firstLineChars="200"/>
        <w:rPr>
          <w:bCs/>
          <w:sz w:val="24"/>
        </w:rPr>
      </w:pPr>
      <w:r>
        <w:rPr>
          <w:bCs/>
          <w:sz w:val="24"/>
        </w:rPr>
        <w:t>3</w:t>
      </w:r>
      <w:r>
        <w:rPr>
          <w:rFonts w:hint="eastAsia"/>
          <w:bCs/>
          <w:sz w:val="24"/>
        </w:rPr>
        <w:t>、基金托管人：指招商银行股份有限公司</w:t>
      </w:r>
    </w:p>
    <w:p w14:paraId="297FF8BE">
      <w:pPr>
        <w:adjustRightInd w:val="0"/>
        <w:snapToGrid w:val="0"/>
        <w:spacing w:line="360" w:lineRule="auto"/>
        <w:ind w:firstLine="480" w:firstLineChars="200"/>
        <w:rPr>
          <w:bCs/>
          <w:sz w:val="24"/>
        </w:rPr>
      </w:pPr>
      <w:r>
        <w:rPr>
          <w:bCs/>
          <w:sz w:val="24"/>
        </w:rPr>
        <w:t>4</w:t>
      </w:r>
      <w:r>
        <w:rPr>
          <w:rFonts w:hint="eastAsia"/>
          <w:bCs/>
          <w:sz w:val="24"/>
        </w:rPr>
        <w:t>、基金合同、</w:t>
      </w:r>
      <w:r>
        <w:rPr>
          <w:bCs/>
          <w:sz w:val="24"/>
        </w:rPr>
        <w:t>《基金合同》</w:t>
      </w:r>
      <w:r>
        <w:rPr>
          <w:rFonts w:hint="eastAsia"/>
          <w:bCs/>
          <w:sz w:val="24"/>
        </w:rPr>
        <w:t>：指《交银施罗德惠享多资产六个月持有期混合型基金中基金（FOF）基金合同》及对基金合同的任何有效修订和补充</w:t>
      </w:r>
    </w:p>
    <w:p w14:paraId="3E120817">
      <w:pPr>
        <w:adjustRightInd w:val="0"/>
        <w:snapToGrid w:val="0"/>
        <w:spacing w:line="360" w:lineRule="auto"/>
        <w:ind w:firstLine="480" w:firstLineChars="200"/>
        <w:rPr>
          <w:bCs/>
          <w:sz w:val="24"/>
        </w:rPr>
      </w:pPr>
      <w:r>
        <w:rPr>
          <w:bCs/>
          <w:sz w:val="24"/>
        </w:rPr>
        <w:t>5</w:t>
      </w:r>
      <w:r>
        <w:rPr>
          <w:rFonts w:hint="eastAsia"/>
          <w:bCs/>
          <w:sz w:val="24"/>
        </w:rPr>
        <w:t>、托管协议：指基金管理人与基金托管人就本基金签订之《交银施罗德惠享多资产六个月持有期混合型基金中基金（FOF）托管协议》及对该托管协议的任何有效修订和补充</w:t>
      </w:r>
    </w:p>
    <w:p w14:paraId="660EF0DF">
      <w:pPr>
        <w:adjustRightInd w:val="0"/>
        <w:snapToGrid w:val="0"/>
        <w:spacing w:line="360" w:lineRule="auto"/>
        <w:ind w:firstLine="480" w:firstLineChars="200"/>
        <w:rPr>
          <w:bCs/>
          <w:sz w:val="24"/>
        </w:rPr>
      </w:pPr>
      <w:r>
        <w:rPr>
          <w:bCs/>
          <w:sz w:val="24"/>
        </w:rPr>
        <w:t>6</w:t>
      </w:r>
      <w:r>
        <w:rPr>
          <w:rFonts w:hint="eastAsia"/>
          <w:bCs/>
          <w:sz w:val="24"/>
        </w:rPr>
        <w:t>、招募说明书</w:t>
      </w:r>
      <w:r>
        <w:rPr>
          <w:bCs/>
          <w:sz w:val="24"/>
        </w:rPr>
        <w:t>、《招募说明书》</w:t>
      </w:r>
      <w:r>
        <w:rPr>
          <w:rFonts w:hint="eastAsia"/>
          <w:bCs/>
          <w:sz w:val="24"/>
        </w:rPr>
        <w:t>或本招募说明书：指《交银施罗德惠享多资产六个月持有期混合型基金中基金（FOF）招募说明书》及其更新</w:t>
      </w:r>
    </w:p>
    <w:p w14:paraId="1C6C6F3B">
      <w:pPr>
        <w:adjustRightInd w:val="0"/>
        <w:snapToGrid w:val="0"/>
        <w:spacing w:line="360" w:lineRule="auto"/>
        <w:ind w:firstLine="480" w:firstLineChars="200"/>
        <w:rPr>
          <w:bCs/>
          <w:sz w:val="24"/>
        </w:rPr>
      </w:pPr>
      <w:r>
        <w:rPr>
          <w:bCs/>
          <w:sz w:val="24"/>
        </w:rPr>
        <w:t>7</w:t>
      </w:r>
      <w:r>
        <w:rPr>
          <w:rFonts w:hint="eastAsia"/>
          <w:bCs/>
          <w:sz w:val="24"/>
        </w:rPr>
        <w:t>、基金产品资料概要：指《交银施罗德惠享多资产六个月持有期混合型基金中基金（FOF）基金产品资料概要》及其更新</w:t>
      </w:r>
    </w:p>
    <w:p w14:paraId="5EE32026">
      <w:pPr>
        <w:adjustRightInd w:val="0"/>
        <w:snapToGrid w:val="0"/>
        <w:spacing w:line="360" w:lineRule="auto"/>
        <w:ind w:firstLine="480" w:firstLineChars="200"/>
        <w:rPr>
          <w:bCs/>
          <w:sz w:val="24"/>
        </w:rPr>
      </w:pPr>
      <w:r>
        <w:rPr>
          <w:rFonts w:hint="eastAsia"/>
          <w:bCs/>
          <w:sz w:val="24"/>
        </w:rPr>
        <w:t>8、基金份额发售公告：指《交银施罗德惠享多资产六个月持有期混合型基金中基金（FOF）基金份额发售公告》</w:t>
      </w:r>
    </w:p>
    <w:p w14:paraId="7438F70E">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39C3D8FE">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14:paraId="5B8A5506">
      <w:pPr>
        <w:adjustRightInd w:val="0"/>
        <w:snapToGrid w:val="0"/>
        <w:spacing w:line="360" w:lineRule="auto"/>
        <w:ind w:firstLine="480" w:firstLineChars="200"/>
        <w:rPr>
          <w:bCs/>
          <w:sz w:val="24"/>
        </w:rPr>
      </w:pPr>
      <w:r>
        <w:rPr>
          <w:bCs/>
          <w:sz w:val="24"/>
        </w:rPr>
        <w:t>11</w:t>
      </w:r>
      <w:r>
        <w:rPr>
          <w:rFonts w:hint="eastAsia"/>
          <w:bCs/>
          <w:sz w:val="24"/>
        </w:rPr>
        <w:t>、《销售办法》：指《公开募集证券投资基金销售机构监督管理办法》及颁布机关对其不时做出的修订</w:t>
      </w:r>
    </w:p>
    <w:p w14:paraId="1F9EC4EA">
      <w:pPr>
        <w:adjustRightInd w:val="0"/>
        <w:snapToGrid w:val="0"/>
        <w:spacing w:line="360" w:lineRule="auto"/>
        <w:ind w:firstLine="480" w:firstLineChars="200"/>
        <w:rPr>
          <w:bCs/>
          <w:sz w:val="24"/>
        </w:rPr>
      </w:pPr>
      <w:r>
        <w:rPr>
          <w:bCs/>
          <w:sz w:val="24"/>
        </w:rPr>
        <w:t>12</w:t>
      </w:r>
      <w:r>
        <w:rPr>
          <w:rFonts w:hint="eastAsia"/>
          <w:bCs/>
          <w:sz w:val="24"/>
        </w:rPr>
        <w:t>、《信息披露办法》：指《公开募集证券投资基金信息披露管理办法》及颁布机关对其不时做出的修订</w:t>
      </w:r>
    </w:p>
    <w:p w14:paraId="78C94FA6">
      <w:pPr>
        <w:adjustRightInd w:val="0"/>
        <w:snapToGrid w:val="0"/>
        <w:spacing w:line="360" w:lineRule="auto"/>
        <w:ind w:firstLine="480" w:firstLineChars="200"/>
        <w:rPr>
          <w:bCs/>
          <w:sz w:val="24"/>
        </w:rPr>
      </w:pPr>
      <w:r>
        <w:rPr>
          <w:bCs/>
          <w:sz w:val="24"/>
        </w:rPr>
        <w:t>13</w:t>
      </w:r>
      <w:r>
        <w:rPr>
          <w:rFonts w:hint="eastAsia"/>
          <w:bCs/>
          <w:sz w:val="24"/>
        </w:rPr>
        <w:t>、《运作办法》：指《公开募集证券投资基金运作管理办法》及颁布机关对其不时做出的修订</w:t>
      </w:r>
    </w:p>
    <w:p w14:paraId="6BF3EB57">
      <w:pPr>
        <w:adjustRightInd w:val="0"/>
        <w:snapToGrid w:val="0"/>
        <w:spacing w:line="360" w:lineRule="auto"/>
        <w:ind w:firstLine="480" w:firstLineChars="200"/>
        <w:rPr>
          <w:bCs/>
          <w:sz w:val="24"/>
        </w:rPr>
      </w:pPr>
      <w:r>
        <w:rPr>
          <w:bCs/>
          <w:sz w:val="24"/>
        </w:rPr>
        <w:t>14</w:t>
      </w:r>
      <w:r>
        <w:rPr>
          <w:rFonts w:hint="eastAsia"/>
          <w:bCs/>
          <w:sz w:val="24"/>
        </w:rPr>
        <w:t>、《流动性风险管理规定》：指《公开募集开放式证券投资基金流动性风险管理规定》及颁布机关对其不时做出的修订</w:t>
      </w:r>
    </w:p>
    <w:p w14:paraId="7EBEB756">
      <w:pPr>
        <w:adjustRightInd w:val="0"/>
        <w:snapToGrid w:val="0"/>
        <w:spacing w:line="360" w:lineRule="auto"/>
        <w:ind w:firstLine="480" w:firstLineChars="200"/>
        <w:rPr>
          <w:bCs/>
          <w:sz w:val="24"/>
        </w:rPr>
      </w:pPr>
      <w:r>
        <w:rPr>
          <w:bCs/>
          <w:sz w:val="24"/>
        </w:rPr>
        <w:t>15</w:t>
      </w:r>
      <w:r>
        <w:rPr>
          <w:rFonts w:hint="eastAsia"/>
          <w:bCs/>
          <w:sz w:val="24"/>
        </w:rPr>
        <w:t>、中国证监会：指中国证券监督管理委员会</w:t>
      </w:r>
    </w:p>
    <w:p w14:paraId="2A7A5024">
      <w:pPr>
        <w:adjustRightInd w:val="0"/>
        <w:snapToGrid w:val="0"/>
        <w:spacing w:line="360" w:lineRule="auto"/>
        <w:ind w:firstLine="480" w:firstLineChars="200"/>
        <w:rPr>
          <w:bCs/>
          <w:sz w:val="24"/>
        </w:rPr>
      </w:pPr>
      <w:r>
        <w:rPr>
          <w:bCs/>
          <w:sz w:val="24"/>
        </w:rPr>
        <w:t>16</w:t>
      </w:r>
      <w:r>
        <w:rPr>
          <w:rFonts w:hint="eastAsia"/>
          <w:bCs/>
          <w:sz w:val="24"/>
        </w:rPr>
        <w:t>、银行业监督管理机构：指中国人民银行和</w:t>
      </w:r>
      <w:r>
        <w:rPr>
          <w:bCs/>
          <w:sz w:val="24"/>
        </w:rPr>
        <w:t>/</w:t>
      </w:r>
      <w:r>
        <w:rPr>
          <w:rFonts w:hint="eastAsia"/>
          <w:bCs/>
          <w:sz w:val="24"/>
        </w:rPr>
        <w:t>或国家金融监督管理总局</w:t>
      </w:r>
    </w:p>
    <w:p w14:paraId="63742E93">
      <w:pPr>
        <w:adjustRightInd w:val="0"/>
        <w:snapToGrid w:val="0"/>
        <w:spacing w:line="360" w:lineRule="auto"/>
        <w:ind w:firstLine="480" w:firstLineChars="200"/>
        <w:rPr>
          <w:bCs/>
          <w:sz w:val="24"/>
        </w:rPr>
      </w:pPr>
      <w:r>
        <w:rPr>
          <w:bCs/>
          <w:sz w:val="24"/>
        </w:rPr>
        <w:t>17</w:t>
      </w:r>
      <w:r>
        <w:rPr>
          <w:rFonts w:hint="eastAsia"/>
          <w:bCs/>
          <w:sz w:val="24"/>
        </w:rPr>
        <w:t>、基金合同当事人：指受基金合同约束，根据基金合同享有权利并承担义务的法律主体，包括基金管理人、基金托管人和基金份额持有人</w:t>
      </w:r>
    </w:p>
    <w:p w14:paraId="19398E2A">
      <w:pPr>
        <w:adjustRightInd w:val="0"/>
        <w:snapToGrid w:val="0"/>
        <w:spacing w:line="360" w:lineRule="auto"/>
        <w:ind w:firstLine="480" w:firstLineChars="200"/>
        <w:rPr>
          <w:bCs/>
          <w:sz w:val="24"/>
        </w:rPr>
      </w:pPr>
      <w:r>
        <w:rPr>
          <w:bCs/>
          <w:sz w:val="24"/>
        </w:rPr>
        <w:t>18</w:t>
      </w:r>
      <w:r>
        <w:rPr>
          <w:rFonts w:hint="eastAsia"/>
          <w:bCs/>
          <w:sz w:val="24"/>
        </w:rPr>
        <w:t>、个人投资者：指依据有关法律法规规定可投资于证券投资基金的自然人</w:t>
      </w:r>
    </w:p>
    <w:p w14:paraId="5A3F5438">
      <w:pPr>
        <w:adjustRightInd w:val="0"/>
        <w:snapToGrid w:val="0"/>
        <w:spacing w:line="360" w:lineRule="auto"/>
        <w:ind w:firstLine="480" w:firstLineChars="200"/>
        <w:rPr>
          <w:bCs/>
          <w:sz w:val="24"/>
        </w:rPr>
      </w:pPr>
      <w:r>
        <w:rPr>
          <w:bCs/>
          <w:sz w:val="24"/>
        </w:rPr>
        <w:t>19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DC6743B">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w:t>
      </w:r>
      <w:r>
        <w:rPr>
          <w:bCs/>
          <w:sz w:val="24"/>
        </w:rPr>
        <w:t>其不时修订）</w:t>
      </w:r>
      <w:r>
        <w:rPr>
          <w:rFonts w:hint="eastAsia"/>
          <w:bCs/>
          <w:sz w:val="24"/>
        </w:rPr>
        <w:t>及相关法律法规规定使用来自境外的资金进行境内证券期货投资的境外机构投资者，包括合格境外机构投资者和人民币合格境外机构投资者</w:t>
      </w:r>
    </w:p>
    <w:p w14:paraId="795B7C18">
      <w:pPr>
        <w:adjustRightInd w:val="0"/>
        <w:snapToGrid w:val="0"/>
        <w:spacing w:line="360" w:lineRule="auto"/>
        <w:ind w:firstLine="480" w:firstLineChars="200"/>
        <w:rPr>
          <w:bCs/>
          <w:sz w:val="24"/>
        </w:rPr>
      </w:pPr>
      <w:r>
        <w:rPr>
          <w:bCs/>
          <w:sz w:val="24"/>
        </w:rPr>
        <w:t>21</w:t>
      </w:r>
      <w:r>
        <w:rPr>
          <w:rFonts w:hint="eastAsia"/>
          <w:bCs/>
          <w:sz w:val="24"/>
        </w:rPr>
        <w:t>、投资人、投资者：指个人投资者、机构投资者、合格境外投资者以及法律法规或中国证监会允许购买证券投资基金的其他投资人的合称</w:t>
      </w:r>
    </w:p>
    <w:p w14:paraId="05995DD7">
      <w:pPr>
        <w:adjustRightInd w:val="0"/>
        <w:snapToGrid w:val="0"/>
        <w:spacing w:line="360" w:lineRule="auto"/>
        <w:ind w:firstLine="480" w:firstLineChars="200"/>
        <w:rPr>
          <w:bCs/>
          <w:sz w:val="24"/>
        </w:rPr>
      </w:pPr>
      <w:r>
        <w:rPr>
          <w:bCs/>
          <w:sz w:val="24"/>
        </w:rPr>
        <w:t>22</w:t>
      </w:r>
      <w:r>
        <w:rPr>
          <w:rFonts w:hint="eastAsia"/>
          <w:bCs/>
          <w:sz w:val="24"/>
        </w:rPr>
        <w:t>、基金份额持有人：指依基金合同和招募说明书合法取得基金份额的投资人</w:t>
      </w:r>
    </w:p>
    <w:p w14:paraId="541D0D34">
      <w:pPr>
        <w:adjustRightInd w:val="0"/>
        <w:snapToGrid w:val="0"/>
        <w:spacing w:line="360" w:lineRule="auto"/>
        <w:ind w:firstLine="480" w:firstLineChars="20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21F1AF92">
      <w:pPr>
        <w:adjustRightInd w:val="0"/>
        <w:snapToGrid w:val="0"/>
        <w:spacing w:line="360" w:lineRule="auto"/>
        <w:ind w:firstLine="480" w:firstLineChars="20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48A18AC7">
      <w:pPr>
        <w:adjustRightInd w:val="0"/>
        <w:snapToGrid w:val="0"/>
        <w:spacing w:line="360" w:lineRule="auto"/>
        <w:ind w:firstLine="480" w:firstLineChars="20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87BA8F2">
      <w:pPr>
        <w:adjustRightInd w:val="0"/>
        <w:snapToGrid w:val="0"/>
        <w:spacing w:line="360" w:lineRule="auto"/>
        <w:ind w:firstLine="480" w:firstLineChars="20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14:paraId="091B6495">
      <w:pPr>
        <w:adjustRightInd w:val="0"/>
        <w:snapToGrid w:val="0"/>
        <w:spacing w:line="360" w:lineRule="auto"/>
        <w:ind w:firstLine="480" w:firstLineChars="200"/>
        <w:rPr>
          <w:bCs/>
          <w:sz w:val="24"/>
        </w:rPr>
      </w:pPr>
      <w:r>
        <w:rPr>
          <w:bCs/>
          <w:sz w:val="24"/>
        </w:rPr>
        <w:t>27</w:t>
      </w:r>
      <w:r>
        <w:rPr>
          <w:rFonts w:hint="eastAsia"/>
          <w:bCs/>
          <w:sz w:val="24"/>
        </w:rPr>
        <w:t>、基金账户：指登记机构为投资人开立的、记录其持有的、基金管理人所管理的基金份额余额及其变动情况的账户</w:t>
      </w:r>
    </w:p>
    <w:p w14:paraId="52A1B18F">
      <w:pPr>
        <w:adjustRightInd w:val="0"/>
        <w:snapToGrid w:val="0"/>
        <w:spacing w:line="360" w:lineRule="auto"/>
        <w:ind w:firstLine="480" w:firstLineChars="200"/>
        <w:rPr>
          <w:bCs/>
          <w:sz w:val="24"/>
        </w:rPr>
      </w:pPr>
      <w:r>
        <w:rPr>
          <w:bCs/>
          <w:sz w:val="24"/>
        </w:rPr>
        <w:t>28</w:t>
      </w:r>
      <w:r>
        <w:rPr>
          <w:rFonts w:hint="eastAsia"/>
          <w:bCs/>
          <w:sz w:val="24"/>
        </w:rPr>
        <w:t>、基金交易账户：指销售机构为投资人开立的、记录投资人通过该销售机构办理认购、申购、赎回、转换及转托管等业务而引起的基金份额变动及结余情况的账户</w:t>
      </w:r>
    </w:p>
    <w:p w14:paraId="04E21782">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5F1A602E">
      <w:pPr>
        <w:adjustRightInd w:val="0"/>
        <w:snapToGrid w:val="0"/>
        <w:spacing w:line="360" w:lineRule="auto"/>
        <w:ind w:firstLine="480" w:firstLineChars="20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33AA8B06">
      <w:pPr>
        <w:adjustRightInd w:val="0"/>
        <w:snapToGrid w:val="0"/>
        <w:spacing w:line="360" w:lineRule="auto"/>
        <w:ind w:firstLine="480" w:firstLineChars="200"/>
        <w:rPr>
          <w:bCs/>
          <w:sz w:val="24"/>
        </w:rPr>
      </w:pPr>
      <w:r>
        <w:rPr>
          <w:bCs/>
          <w:sz w:val="24"/>
        </w:rPr>
        <w:t>31</w:t>
      </w:r>
      <w:r>
        <w:rPr>
          <w:rFonts w:hint="eastAsia"/>
          <w:bCs/>
          <w:sz w:val="24"/>
        </w:rPr>
        <w:t>、基金募集期：指自基金份额发售之日起至发售结束之日止的期间，最长不得超过</w:t>
      </w:r>
      <w:r>
        <w:rPr>
          <w:bCs/>
          <w:sz w:val="24"/>
        </w:rPr>
        <w:t>3</w:t>
      </w:r>
      <w:r>
        <w:rPr>
          <w:rFonts w:hint="eastAsia"/>
          <w:bCs/>
          <w:sz w:val="24"/>
        </w:rPr>
        <w:t>个月</w:t>
      </w:r>
    </w:p>
    <w:p w14:paraId="15306F1D">
      <w:pPr>
        <w:adjustRightInd w:val="0"/>
        <w:snapToGrid w:val="0"/>
        <w:spacing w:line="360" w:lineRule="auto"/>
        <w:ind w:firstLine="480" w:firstLineChars="200"/>
        <w:rPr>
          <w:bCs/>
          <w:sz w:val="24"/>
        </w:rPr>
      </w:pPr>
      <w:r>
        <w:rPr>
          <w:bCs/>
          <w:sz w:val="24"/>
        </w:rPr>
        <w:t>32</w:t>
      </w:r>
      <w:r>
        <w:rPr>
          <w:rFonts w:hint="eastAsia"/>
          <w:bCs/>
          <w:sz w:val="24"/>
        </w:rPr>
        <w:t>、存续期：指基金合同生效至终止之间的不定期期限</w:t>
      </w:r>
    </w:p>
    <w:p w14:paraId="36502052">
      <w:pPr>
        <w:adjustRightInd w:val="0"/>
        <w:snapToGrid w:val="0"/>
        <w:spacing w:line="360" w:lineRule="auto"/>
        <w:ind w:firstLine="480" w:firstLineChars="200"/>
        <w:rPr>
          <w:bCs/>
          <w:sz w:val="24"/>
        </w:rPr>
      </w:pPr>
      <w:r>
        <w:rPr>
          <w:bCs/>
          <w:sz w:val="24"/>
        </w:rPr>
        <w:t>33</w:t>
      </w:r>
      <w:r>
        <w:rPr>
          <w:rFonts w:hint="eastAsia"/>
          <w:bCs/>
          <w:sz w:val="24"/>
        </w:rPr>
        <w:t>、工作日：指上海证券交易所、深圳证券交易所的正常交易日</w:t>
      </w:r>
    </w:p>
    <w:p w14:paraId="1DD75D94">
      <w:pPr>
        <w:adjustRightInd w:val="0"/>
        <w:snapToGrid w:val="0"/>
        <w:spacing w:line="360" w:lineRule="auto"/>
        <w:ind w:firstLine="480" w:firstLineChars="200"/>
        <w:rPr>
          <w:bCs/>
          <w:sz w:val="24"/>
        </w:rPr>
      </w:pPr>
      <w:r>
        <w:rPr>
          <w:bCs/>
          <w:sz w:val="24"/>
        </w:rPr>
        <w:t>34</w:t>
      </w:r>
      <w:r>
        <w:rPr>
          <w:rFonts w:hint="eastAsia"/>
          <w:bCs/>
          <w:sz w:val="24"/>
        </w:rPr>
        <w:t>、</w:t>
      </w:r>
      <w:r>
        <w:rPr>
          <w:bCs/>
          <w:sz w:val="24"/>
        </w:rPr>
        <w:t>T</w:t>
      </w:r>
      <w:r>
        <w:rPr>
          <w:rFonts w:hint="eastAsia"/>
          <w:bCs/>
          <w:sz w:val="24"/>
        </w:rPr>
        <w:t>日：指销售机构在规定时间受理投资人申购、赎回或其他业务申请的开放日</w:t>
      </w:r>
    </w:p>
    <w:p w14:paraId="34A2AB0D">
      <w:pPr>
        <w:adjustRightInd w:val="0"/>
        <w:snapToGrid w:val="0"/>
        <w:spacing w:line="360" w:lineRule="auto"/>
        <w:ind w:firstLine="480" w:firstLineChars="200"/>
        <w:rPr>
          <w:bCs/>
          <w:sz w:val="24"/>
        </w:rPr>
      </w:pPr>
      <w:r>
        <w:rPr>
          <w:bCs/>
          <w:sz w:val="24"/>
        </w:rPr>
        <w:t>35</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个工作日（不包含</w:t>
      </w:r>
      <w:r>
        <w:rPr>
          <w:bCs/>
          <w:sz w:val="24"/>
        </w:rPr>
        <w:t>T</w:t>
      </w:r>
      <w:r>
        <w:rPr>
          <w:rFonts w:hint="eastAsia"/>
          <w:bCs/>
          <w:sz w:val="24"/>
        </w:rPr>
        <w:t>日）</w:t>
      </w:r>
    </w:p>
    <w:p w14:paraId="59BCB1F9">
      <w:pPr>
        <w:adjustRightInd w:val="0"/>
        <w:snapToGrid w:val="0"/>
        <w:spacing w:line="360" w:lineRule="auto"/>
        <w:ind w:firstLine="480" w:firstLineChars="200"/>
        <w:rPr>
          <w:bCs/>
          <w:sz w:val="24"/>
        </w:rPr>
      </w:pPr>
      <w:r>
        <w:rPr>
          <w:rFonts w:hint="eastAsia"/>
          <w:bCs/>
          <w:sz w:val="24"/>
        </w:rPr>
        <w:t>3</w:t>
      </w:r>
      <w:r>
        <w:rPr>
          <w:bCs/>
          <w:sz w:val="24"/>
        </w:rPr>
        <w:t>6</w:t>
      </w:r>
      <w:r>
        <w:rPr>
          <w:rFonts w:hint="eastAsia"/>
          <w:bCs/>
          <w:sz w:val="24"/>
        </w:rPr>
        <w:t>、最短持有期限：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14:paraId="4198854F">
      <w:pPr>
        <w:adjustRightInd w:val="0"/>
        <w:snapToGrid w:val="0"/>
        <w:spacing w:line="360" w:lineRule="auto"/>
        <w:ind w:firstLine="480" w:firstLineChars="200"/>
        <w:rPr>
          <w:bCs/>
          <w:sz w:val="24"/>
        </w:rPr>
      </w:pPr>
      <w:r>
        <w:rPr>
          <w:rFonts w:hint="eastAsia"/>
          <w:bCs/>
          <w:sz w:val="24"/>
        </w:rPr>
        <w:t>3</w:t>
      </w:r>
      <w:r>
        <w:rPr>
          <w:bCs/>
          <w:sz w:val="24"/>
        </w:rPr>
        <w:t>7</w:t>
      </w:r>
      <w:r>
        <w:rPr>
          <w:rFonts w:hint="eastAsia"/>
          <w:bCs/>
          <w:sz w:val="24"/>
        </w:rPr>
        <w:t>、月度对日：指某一特定日期在后续日历月度中的对应日期，若该日历月度中不存在对应日期的，则该月度对日为该特定日期在后续日历月度中对应月度的最后一日。如该月度对日为非工作日的，则顺延至下一个工作日</w:t>
      </w:r>
    </w:p>
    <w:p w14:paraId="36C65FFF">
      <w:pPr>
        <w:adjustRightInd w:val="0"/>
        <w:snapToGrid w:val="0"/>
        <w:spacing w:line="360" w:lineRule="auto"/>
        <w:ind w:firstLine="480" w:firstLineChars="200"/>
        <w:rPr>
          <w:bCs/>
          <w:sz w:val="24"/>
        </w:rPr>
      </w:pPr>
      <w:r>
        <w:rPr>
          <w:bCs/>
          <w:sz w:val="24"/>
        </w:rPr>
        <w:t>38</w:t>
      </w:r>
      <w:r>
        <w:rPr>
          <w:rFonts w:hint="eastAsia"/>
          <w:bCs/>
          <w:sz w:val="24"/>
        </w:rPr>
        <w:t>、开放日：指为投资人办理基金份额申购、赎回或其他业务的工作日（若该工作日为非港股通交易日，则本基金可不开放）</w:t>
      </w:r>
    </w:p>
    <w:p w14:paraId="2CDAC8DC">
      <w:pPr>
        <w:adjustRightInd w:val="0"/>
        <w:snapToGrid w:val="0"/>
        <w:spacing w:line="360" w:lineRule="auto"/>
        <w:ind w:firstLine="480" w:firstLineChars="200"/>
        <w:rPr>
          <w:bCs/>
          <w:sz w:val="24"/>
        </w:rPr>
      </w:pPr>
      <w:r>
        <w:rPr>
          <w:bCs/>
          <w:sz w:val="24"/>
        </w:rPr>
        <w:t>39</w:t>
      </w:r>
      <w:r>
        <w:rPr>
          <w:rFonts w:hint="eastAsia"/>
          <w:bCs/>
          <w:sz w:val="24"/>
        </w:rPr>
        <w:t>、开放时间：指开放日基金接受申购、赎回或其他交易的时间段</w:t>
      </w:r>
    </w:p>
    <w:p w14:paraId="335AC0DE">
      <w:pPr>
        <w:adjustRightInd w:val="0"/>
        <w:snapToGrid w:val="0"/>
        <w:spacing w:line="360" w:lineRule="auto"/>
        <w:ind w:firstLine="480" w:firstLineChars="200"/>
        <w:rPr>
          <w:bCs/>
          <w:sz w:val="24"/>
        </w:rPr>
      </w:pPr>
      <w:r>
        <w:rPr>
          <w:bCs/>
          <w:sz w:val="24"/>
        </w:rPr>
        <w:t>40</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14:paraId="714BDA87">
      <w:pPr>
        <w:adjustRightInd w:val="0"/>
        <w:snapToGrid w:val="0"/>
        <w:spacing w:line="360" w:lineRule="auto"/>
        <w:ind w:firstLine="480" w:firstLineChars="200"/>
        <w:rPr>
          <w:bCs/>
          <w:sz w:val="24"/>
        </w:rPr>
      </w:pPr>
      <w:r>
        <w:rPr>
          <w:bCs/>
          <w:sz w:val="24"/>
        </w:rPr>
        <w:t>41</w:t>
      </w:r>
      <w:r>
        <w:rPr>
          <w:rFonts w:hint="eastAsia"/>
          <w:bCs/>
          <w:sz w:val="24"/>
        </w:rPr>
        <w:t>、认购：指在基金募集期内，投资人根据基金合同和招募说明书的规定申请购买基金份额的行为</w:t>
      </w:r>
    </w:p>
    <w:p w14:paraId="61A1C1C0">
      <w:pPr>
        <w:adjustRightInd w:val="0"/>
        <w:snapToGrid w:val="0"/>
        <w:spacing w:line="360" w:lineRule="auto"/>
        <w:ind w:firstLine="480" w:firstLineChars="200"/>
        <w:rPr>
          <w:bCs/>
          <w:sz w:val="24"/>
        </w:rPr>
      </w:pPr>
      <w:r>
        <w:rPr>
          <w:bCs/>
          <w:sz w:val="24"/>
        </w:rPr>
        <w:t>42</w:t>
      </w:r>
      <w:r>
        <w:rPr>
          <w:rFonts w:hint="eastAsia"/>
          <w:bCs/>
          <w:sz w:val="24"/>
        </w:rPr>
        <w:t>、申购：指基金合同生效后，投资人根据基金合同和招募说明书的规定申请购买基金份额的行为</w:t>
      </w:r>
    </w:p>
    <w:p w14:paraId="55C59ECF">
      <w:pPr>
        <w:adjustRightInd w:val="0"/>
        <w:snapToGrid w:val="0"/>
        <w:spacing w:line="360" w:lineRule="auto"/>
        <w:ind w:firstLine="480" w:firstLineChars="200"/>
        <w:rPr>
          <w:bCs/>
          <w:sz w:val="24"/>
        </w:rPr>
      </w:pPr>
      <w:r>
        <w:rPr>
          <w:bCs/>
          <w:sz w:val="24"/>
        </w:rPr>
        <w:t>43</w:t>
      </w:r>
      <w:r>
        <w:rPr>
          <w:rFonts w:hint="eastAsia"/>
          <w:bCs/>
          <w:sz w:val="24"/>
        </w:rPr>
        <w:t>、赎回：指基金合同生效后，基金份额持有人按基金合同和招募说明书规定的条件要求将基金份额兑换为现金的行为</w:t>
      </w:r>
    </w:p>
    <w:p w14:paraId="5B2DAE9D">
      <w:pPr>
        <w:adjustRightInd w:val="0"/>
        <w:snapToGrid w:val="0"/>
        <w:spacing w:line="360" w:lineRule="auto"/>
        <w:ind w:firstLine="480" w:firstLineChars="200"/>
        <w:rPr>
          <w:bCs/>
          <w:sz w:val="24"/>
        </w:rPr>
      </w:pPr>
      <w:r>
        <w:rPr>
          <w:bCs/>
          <w:sz w:val="24"/>
        </w:rPr>
        <w:t>44</w:t>
      </w:r>
      <w:r>
        <w:rPr>
          <w:rFonts w:hint="eastAsia"/>
          <w:bCs/>
          <w:sz w:val="24"/>
        </w:rPr>
        <w:t>、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14:paraId="57FD8146">
      <w:pPr>
        <w:adjustRightInd w:val="0"/>
        <w:snapToGrid w:val="0"/>
        <w:spacing w:line="360" w:lineRule="auto"/>
        <w:ind w:firstLine="480" w:firstLineChars="200"/>
        <w:rPr>
          <w:bCs/>
          <w:sz w:val="24"/>
        </w:rPr>
      </w:pPr>
      <w:r>
        <w:rPr>
          <w:bCs/>
          <w:sz w:val="24"/>
        </w:rPr>
        <w:t>45</w:t>
      </w:r>
      <w:r>
        <w:rPr>
          <w:rFonts w:hint="eastAsia"/>
          <w:bCs/>
          <w:sz w:val="24"/>
        </w:rPr>
        <w:t>、转托管：指基金份额持有人在本基金的不同销售机构之间实施的变更所持基金份额销售机构的操作</w:t>
      </w:r>
    </w:p>
    <w:p w14:paraId="20E266CB">
      <w:pPr>
        <w:adjustRightInd w:val="0"/>
        <w:snapToGrid w:val="0"/>
        <w:spacing w:line="360" w:lineRule="auto"/>
        <w:ind w:firstLine="480" w:firstLineChars="200"/>
        <w:rPr>
          <w:bCs/>
          <w:sz w:val="24"/>
        </w:rPr>
      </w:pPr>
      <w:r>
        <w:rPr>
          <w:bCs/>
          <w:sz w:val="24"/>
        </w:rPr>
        <w:t>46</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0DC45D36">
      <w:pPr>
        <w:adjustRightInd w:val="0"/>
        <w:snapToGrid w:val="0"/>
        <w:spacing w:line="360" w:lineRule="auto"/>
        <w:ind w:firstLine="480" w:firstLineChars="200"/>
        <w:rPr>
          <w:bCs/>
          <w:sz w:val="24"/>
        </w:rPr>
      </w:pPr>
      <w:r>
        <w:rPr>
          <w:bCs/>
          <w:sz w:val="24"/>
        </w:rPr>
        <w:t>47</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r>
        <w:rPr>
          <w:rFonts w:hint="eastAsia"/>
          <w:bCs/>
          <w:sz w:val="24"/>
        </w:rPr>
        <w:t>的情形</w:t>
      </w:r>
    </w:p>
    <w:p w14:paraId="3562F61F">
      <w:pPr>
        <w:adjustRightInd w:val="0"/>
        <w:snapToGrid w:val="0"/>
        <w:spacing w:line="360" w:lineRule="auto"/>
        <w:ind w:firstLine="480" w:firstLineChars="200"/>
        <w:rPr>
          <w:bCs/>
          <w:sz w:val="24"/>
        </w:rPr>
      </w:pPr>
      <w:r>
        <w:rPr>
          <w:bCs/>
          <w:sz w:val="24"/>
        </w:rPr>
        <w:t>48</w:t>
      </w:r>
      <w:r>
        <w:rPr>
          <w:rFonts w:hint="eastAsia"/>
          <w:bCs/>
          <w:sz w:val="24"/>
        </w:rPr>
        <w:t>、元：指人民币元</w:t>
      </w:r>
    </w:p>
    <w:p w14:paraId="0486BFB3">
      <w:pPr>
        <w:adjustRightInd w:val="0"/>
        <w:snapToGrid w:val="0"/>
        <w:spacing w:line="360" w:lineRule="auto"/>
        <w:ind w:firstLine="480" w:firstLineChars="200"/>
        <w:rPr>
          <w:bCs/>
          <w:sz w:val="24"/>
        </w:rPr>
      </w:pPr>
      <w:r>
        <w:rPr>
          <w:bCs/>
          <w:sz w:val="24"/>
        </w:rPr>
        <w:t>49</w:t>
      </w:r>
      <w:r>
        <w:rPr>
          <w:rFonts w:hint="eastAsia"/>
          <w:bCs/>
          <w:sz w:val="24"/>
        </w:rPr>
        <w:t>、基金收益：指基金投资所得红利、股息、债券利息、买卖证券价差、银行存款利息、已实现的其他合法收入及因运用基金财产带来的成本和费用的节约</w:t>
      </w:r>
    </w:p>
    <w:p w14:paraId="688882C3">
      <w:pPr>
        <w:adjustRightInd w:val="0"/>
        <w:snapToGrid w:val="0"/>
        <w:spacing w:line="360" w:lineRule="auto"/>
        <w:ind w:firstLine="480" w:firstLineChars="200"/>
        <w:rPr>
          <w:bCs/>
          <w:sz w:val="24"/>
        </w:rPr>
      </w:pPr>
      <w:r>
        <w:rPr>
          <w:bCs/>
          <w:sz w:val="24"/>
        </w:rPr>
        <w:t>50</w:t>
      </w:r>
      <w:r>
        <w:rPr>
          <w:rFonts w:hint="eastAsia"/>
          <w:bCs/>
          <w:sz w:val="24"/>
        </w:rPr>
        <w:t>、基金资产总值：指基金拥有的各类有价证券、证券投资基金份额、银行存款本息、基金应收款项及其他资产的价值总和</w:t>
      </w:r>
    </w:p>
    <w:p w14:paraId="749642E0">
      <w:pPr>
        <w:adjustRightInd w:val="0"/>
        <w:snapToGrid w:val="0"/>
        <w:spacing w:line="360" w:lineRule="auto"/>
        <w:ind w:firstLine="480" w:firstLineChars="200"/>
        <w:rPr>
          <w:bCs/>
          <w:sz w:val="24"/>
        </w:rPr>
      </w:pPr>
      <w:r>
        <w:rPr>
          <w:bCs/>
          <w:sz w:val="24"/>
        </w:rPr>
        <w:t>51</w:t>
      </w:r>
      <w:r>
        <w:rPr>
          <w:rFonts w:hint="eastAsia"/>
          <w:bCs/>
          <w:sz w:val="24"/>
        </w:rPr>
        <w:t>、基金资产净值：指基金资产总值减去基金负债后的价值</w:t>
      </w:r>
    </w:p>
    <w:p w14:paraId="2A0BEBC3">
      <w:pPr>
        <w:adjustRightInd w:val="0"/>
        <w:snapToGrid w:val="0"/>
        <w:spacing w:line="360" w:lineRule="auto"/>
        <w:ind w:firstLine="480" w:firstLineChars="200"/>
        <w:rPr>
          <w:bCs/>
          <w:sz w:val="24"/>
        </w:rPr>
      </w:pPr>
      <w:r>
        <w:rPr>
          <w:bCs/>
          <w:sz w:val="24"/>
        </w:rPr>
        <w:t>52</w:t>
      </w:r>
      <w:r>
        <w:rPr>
          <w:rFonts w:hint="eastAsia"/>
          <w:bCs/>
          <w:sz w:val="24"/>
        </w:rPr>
        <w:t>、基金份额净值：指计算日基金资产净值除以计算日基金份额总数</w:t>
      </w:r>
    </w:p>
    <w:p w14:paraId="1E5E2D4B">
      <w:pPr>
        <w:adjustRightInd w:val="0"/>
        <w:snapToGrid w:val="0"/>
        <w:spacing w:line="360" w:lineRule="auto"/>
        <w:ind w:firstLine="480" w:firstLineChars="200"/>
        <w:rPr>
          <w:bCs/>
          <w:sz w:val="24"/>
        </w:rPr>
      </w:pPr>
      <w:r>
        <w:rPr>
          <w:bCs/>
          <w:sz w:val="24"/>
        </w:rPr>
        <w:t>53</w:t>
      </w:r>
      <w:r>
        <w:rPr>
          <w:rFonts w:hint="eastAsia"/>
          <w:bCs/>
          <w:sz w:val="24"/>
        </w:rPr>
        <w:t>、基金资产估值：指计算评估基金资产和负债的价值，以确定基金资产净值和基金份额净值的过程</w:t>
      </w:r>
    </w:p>
    <w:p w14:paraId="49E6561A">
      <w:pPr>
        <w:adjustRightInd w:val="0"/>
        <w:snapToGrid w:val="0"/>
        <w:spacing w:line="360" w:lineRule="auto"/>
        <w:ind w:firstLine="480" w:firstLineChars="200"/>
        <w:rPr>
          <w:bCs/>
          <w:sz w:val="24"/>
        </w:rPr>
      </w:pPr>
      <w:r>
        <w:rPr>
          <w:rFonts w:hint="eastAsia"/>
          <w:bCs/>
          <w:sz w:val="24"/>
        </w:rPr>
        <w:t>54、港股通：指内地投资者委托内地证券公司，经由内地证券交易所在香港设立的证券交易服务公司，向香港联合交易所进行申报，买卖规定范围内的香港联合交易所上市的股票</w:t>
      </w:r>
    </w:p>
    <w:p w14:paraId="56C9E944">
      <w:pPr>
        <w:adjustRightInd w:val="0"/>
        <w:snapToGrid w:val="0"/>
        <w:spacing w:line="360" w:lineRule="auto"/>
        <w:ind w:firstLine="480" w:firstLineChars="200"/>
        <w:rPr>
          <w:bCs/>
          <w:sz w:val="24"/>
        </w:rPr>
      </w:pPr>
      <w:r>
        <w:rPr>
          <w:rFonts w:hint="eastAsia"/>
          <w:bCs/>
          <w:sz w:val="24"/>
        </w:rPr>
        <w:t>55、</w:t>
      </w:r>
      <w:r>
        <w:rPr>
          <w:bCs/>
          <w:sz w:val="24"/>
        </w:rPr>
        <w:t>规定媒介：指符合中国证监会规定条件的用以进行信息披露的</w:t>
      </w:r>
      <w:r>
        <w:rPr>
          <w:rFonts w:hint="eastAsia"/>
          <w:bCs/>
          <w:sz w:val="24"/>
        </w:rPr>
        <w:t>全国性</w:t>
      </w:r>
      <w:r>
        <w:rPr>
          <w:bCs/>
          <w:sz w:val="24"/>
        </w:rPr>
        <w:t>报刊</w:t>
      </w:r>
      <w:r>
        <w:rPr>
          <w:rFonts w:hint="eastAsia"/>
          <w:bCs/>
          <w:sz w:val="24"/>
        </w:rPr>
        <w:t>及《信息披露办法》规定的互联网网站（包括基金管理人网站、基金托管人网站、中国证监会基金电子披露网站）等媒介</w:t>
      </w:r>
    </w:p>
    <w:p w14:paraId="40469458">
      <w:pPr>
        <w:adjustRightInd w:val="0"/>
        <w:snapToGrid w:val="0"/>
        <w:spacing w:line="360" w:lineRule="auto"/>
        <w:ind w:firstLine="480" w:firstLineChars="200"/>
        <w:rPr>
          <w:bCs/>
          <w:sz w:val="24"/>
        </w:rPr>
      </w:pPr>
      <w:r>
        <w:rPr>
          <w:rFonts w:hint="eastAsia"/>
          <w:bCs/>
          <w:sz w:val="24"/>
        </w:rPr>
        <w:t>56、流动性受限资产：指由于法律法规、监管、合同或操作障碍等原因无法以合理价格予以变现的资产，包括但不限于到期日在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D233834">
      <w:pPr>
        <w:adjustRightInd w:val="0"/>
        <w:snapToGrid w:val="0"/>
        <w:spacing w:line="360" w:lineRule="auto"/>
        <w:ind w:firstLine="480" w:firstLineChars="200"/>
        <w:rPr>
          <w:bCs/>
          <w:sz w:val="24"/>
        </w:rPr>
      </w:pPr>
      <w:r>
        <w:rPr>
          <w:rFonts w:hint="eastAsia"/>
          <w:bCs/>
          <w:sz w:val="24"/>
        </w:rPr>
        <w:t>57、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F99277A">
      <w:pPr>
        <w:adjustRightInd w:val="0"/>
        <w:snapToGrid w:val="0"/>
        <w:spacing w:line="360" w:lineRule="auto"/>
        <w:ind w:firstLine="480" w:firstLineChars="200"/>
        <w:rPr>
          <w:bCs/>
          <w:sz w:val="24"/>
        </w:rPr>
      </w:pPr>
      <w:r>
        <w:rPr>
          <w:rFonts w:hint="eastAsia"/>
          <w:bCs/>
          <w:sz w:val="24"/>
        </w:rPr>
        <w:t>58、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C40769A">
      <w:pPr>
        <w:adjustRightInd w:val="0"/>
        <w:snapToGrid w:val="0"/>
        <w:spacing w:line="360" w:lineRule="auto"/>
        <w:ind w:firstLine="480" w:firstLineChars="200"/>
        <w:rPr>
          <w:bCs/>
          <w:sz w:val="24"/>
        </w:rPr>
      </w:pPr>
      <w:r>
        <w:rPr>
          <w:rFonts w:hint="eastAsia"/>
          <w:bCs/>
          <w:sz w:val="24"/>
        </w:rPr>
        <w:t>59、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0A22E4A">
      <w:pPr>
        <w:adjustRightInd w:val="0"/>
        <w:snapToGrid w:val="0"/>
        <w:spacing w:line="360" w:lineRule="auto"/>
        <w:ind w:firstLine="480" w:firstLineChars="200"/>
        <w:rPr>
          <w:sz w:val="24"/>
        </w:rPr>
      </w:pPr>
      <w:r>
        <w:rPr>
          <w:rFonts w:hint="eastAsia"/>
          <w:bCs/>
          <w:sz w:val="24"/>
        </w:rPr>
        <w:t>60、不可抗力：指基金合同当事人不能预见、不能避免且不能克服的客观事件</w:t>
      </w:r>
    </w:p>
    <w:p w14:paraId="18C01402">
      <w:pPr>
        <w:spacing w:line="360" w:lineRule="auto"/>
        <w:ind w:firstLine="480" w:firstLineChars="200"/>
        <w:rPr>
          <w:rFonts w:hint="eastAsia" w:ascii="宋体" w:hAnsi="宋体"/>
          <w:sz w:val="24"/>
        </w:rPr>
      </w:pPr>
    </w:p>
    <w:bookmarkEnd w:id="7"/>
    <w:p w14:paraId="6B035F8F">
      <w:pPr>
        <w:spacing w:line="360" w:lineRule="auto"/>
        <w:jc w:val="center"/>
        <w:outlineLvl w:val="0"/>
        <w:rPr>
          <w:rFonts w:hint="eastAsia" w:ascii="宋体" w:hAnsi="宋体"/>
          <w:b/>
          <w:kern w:val="0"/>
          <w:sz w:val="30"/>
        </w:rPr>
      </w:pPr>
      <w:bookmarkStart w:id="8" w:name="_Hlt80961854"/>
      <w:bookmarkEnd w:id="8"/>
      <w:bookmarkStart w:id="9" w:name="_Hlt81034163"/>
      <w:bookmarkEnd w:id="9"/>
      <w:bookmarkStart w:id="10" w:name="_Toc109537381"/>
      <w:r>
        <w:rPr>
          <w:rFonts w:ascii="宋体" w:hAnsi="宋体"/>
          <w:b/>
          <w:kern w:val="0"/>
          <w:sz w:val="30"/>
        </w:rPr>
        <w:br w:type="page"/>
      </w:r>
      <w:bookmarkEnd w:id="6"/>
      <w:bookmarkStart w:id="11" w:name="_Toc56690583"/>
      <w:r>
        <w:rPr>
          <w:rFonts w:hint="eastAsia" w:ascii="宋体" w:hAnsi="宋体"/>
          <w:b/>
          <w:kern w:val="0"/>
          <w:sz w:val="30"/>
        </w:rPr>
        <w:t>三、基金管理人</w:t>
      </w:r>
      <w:bookmarkEnd w:id="10"/>
      <w:bookmarkEnd w:id="11"/>
    </w:p>
    <w:p w14:paraId="1C4D0323">
      <w:pPr>
        <w:widowControl/>
        <w:adjustRightInd w:val="0"/>
        <w:snapToGrid w:val="0"/>
        <w:spacing w:line="360" w:lineRule="auto"/>
        <w:ind w:firstLine="482" w:firstLineChars="200"/>
        <w:rPr>
          <w:rFonts w:hint="eastAsia" w:hAnsi="宋体"/>
          <w:b/>
          <w:kern w:val="0"/>
          <w:sz w:val="24"/>
        </w:rPr>
      </w:pPr>
      <w:r>
        <w:rPr>
          <w:rFonts w:hAnsi="宋体"/>
          <w:b/>
          <w:kern w:val="0"/>
          <w:sz w:val="24"/>
        </w:rPr>
        <w:t>（一）基金管理人概况</w:t>
      </w:r>
    </w:p>
    <w:p w14:paraId="466CCE1C">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14:paraId="1B1497C9">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中国（上海）自由</w:t>
      </w:r>
      <w:r>
        <w:rPr>
          <w:rFonts w:hAnsi="宋体"/>
          <w:kern w:val="0"/>
          <w:sz w:val="24"/>
        </w:rPr>
        <w:t>贸易试验区银城中路</w:t>
      </w:r>
      <w:r>
        <w:rPr>
          <w:kern w:val="0"/>
          <w:sz w:val="24"/>
        </w:rPr>
        <w:t>188</w:t>
      </w:r>
      <w:r>
        <w:rPr>
          <w:rFonts w:hAnsi="宋体"/>
          <w:kern w:val="0"/>
          <w:sz w:val="24"/>
        </w:rPr>
        <w:t>号交通银行大楼二层（裙）</w:t>
      </w:r>
    </w:p>
    <w:p w14:paraId="5FF5FED2">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14:paraId="36BB8293">
      <w:pPr>
        <w:widowControl/>
        <w:adjustRightInd w:val="0"/>
        <w:snapToGrid w:val="0"/>
        <w:spacing w:line="360" w:lineRule="auto"/>
        <w:ind w:firstLine="480" w:firstLineChars="200"/>
        <w:rPr>
          <w:kern w:val="0"/>
          <w:sz w:val="24"/>
        </w:rPr>
      </w:pPr>
      <w:r>
        <w:rPr>
          <w:rFonts w:hAnsi="宋体"/>
          <w:sz w:val="24"/>
        </w:rPr>
        <w:t>邮政编码：</w:t>
      </w:r>
      <w:r>
        <w:rPr>
          <w:sz w:val="24"/>
        </w:rPr>
        <w:t>200120</w:t>
      </w:r>
    </w:p>
    <w:p w14:paraId="6EC5B98C">
      <w:pPr>
        <w:widowControl/>
        <w:adjustRightInd w:val="0"/>
        <w:snapToGrid w:val="0"/>
        <w:spacing w:line="360" w:lineRule="auto"/>
        <w:ind w:firstLine="480" w:firstLineChars="200"/>
        <w:rPr>
          <w:rFonts w:hint="eastAsia" w:eastAsia="宋体"/>
          <w:kern w:val="0"/>
          <w:sz w:val="24"/>
          <w:lang w:eastAsia="zh-CN"/>
        </w:rPr>
      </w:pPr>
      <w:r>
        <w:rPr>
          <w:rFonts w:hAnsi="宋体"/>
          <w:kern w:val="0"/>
          <w:sz w:val="24"/>
        </w:rPr>
        <w:t>法定代表人：</w:t>
      </w:r>
      <w:r>
        <w:rPr>
          <w:rFonts w:hint="eastAsia" w:hAnsi="宋体"/>
          <w:kern w:val="0"/>
          <w:sz w:val="24"/>
          <w:lang w:eastAsia="zh-CN"/>
        </w:rPr>
        <w:t>袁庆伟（代任）</w:t>
      </w:r>
    </w:p>
    <w:p w14:paraId="381A6641">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03F3DE6C">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14:paraId="09BF6A4D">
      <w:pPr>
        <w:widowControl/>
        <w:adjustRightInd w:val="0"/>
        <w:snapToGrid w:val="0"/>
        <w:spacing w:line="360" w:lineRule="auto"/>
        <w:ind w:firstLine="480" w:firstLineChars="200"/>
        <w:rPr>
          <w:kern w:val="0"/>
          <w:sz w:val="24"/>
        </w:rPr>
      </w:pPr>
      <w:r>
        <w:rPr>
          <w:rFonts w:hAnsi="宋体"/>
          <w:kern w:val="0"/>
          <w:sz w:val="24"/>
        </w:rPr>
        <w:t>存续期间：持续经营</w:t>
      </w:r>
    </w:p>
    <w:p w14:paraId="7B7E1E0C">
      <w:pPr>
        <w:widowControl/>
        <w:adjustRightInd w:val="0"/>
        <w:snapToGrid w:val="0"/>
        <w:spacing w:line="360" w:lineRule="auto"/>
        <w:ind w:firstLine="480" w:firstLineChars="200"/>
        <w:rPr>
          <w:kern w:val="0"/>
          <w:sz w:val="24"/>
        </w:rPr>
      </w:pPr>
      <w:r>
        <w:rPr>
          <w:rFonts w:hAnsi="宋体"/>
          <w:kern w:val="0"/>
          <w:sz w:val="24"/>
        </w:rPr>
        <w:t>联系人：</w:t>
      </w:r>
      <w:r>
        <w:rPr>
          <w:rFonts w:ascii="宋体" w:hAnsi="宋体"/>
          <w:sz w:val="24"/>
        </w:rPr>
        <w:t>何佳妮</w:t>
      </w:r>
    </w:p>
    <w:p w14:paraId="63FD6913">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14:paraId="562C477C">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14:paraId="62B25E47">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14:paraId="6D93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14:paraId="541520F8">
            <w:pPr>
              <w:widowControl/>
              <w:jc w:val="center"/>
              <w:rPr>
                <w:kern w:val="0"/>
                <w:sz w:val="24"/>
              </w:rPr>
            </w:pPr>
            <w:r>
              <w:rPr>
                <w:rFonts w:hAnsi="宋体"/>
                <w:kern w:val="0"/>
                <w:sz w:val="24"/>
              </w:rPr>
              <w:t>股东名称</w:t>
            </w:r>
          </w:p>
        </w:tc>
        <w:tc>
          <w:tcPr>
            <w:tcW w:w="3060" w:type="dxa"/>
          </w:tcPr>
          <w:p w14:paraId="5D36B311">
            <w:pPr>
              <w:widowControl/>
              <w:jc w:val="center"/>
              <w:rPr>
                <w:kern w:val="0"/>
                <w:sz w:val="24"/>
              </w:rPr>
            </w:pPr>
            <w:r>
              <w:rPr>
                <w:rFonts w:hAnsi="宋体"/>
                <w:kern w:val="0"/>
                <w:sz w:val="24"/>
              </w:rPr>
              <w:t>股权比例</w:t>
            </w:r>
          </w:p>
        </w:tc>
      </w:tr>
      <w:tr w14:paraId="3B79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14:paraId="0FE550D5">
            <w:pPr>
              <w:widowControl/>
              <w:adjustRightInd w:val="0"/>
              <w:snapToGrid w:val="0"/>
              <w:spacing w:line="360" w:lineRule="auto"/>
              <w:jc w:val="left"/>
              <w:rPr>
                <w:kern w:val="0"/>
                <w:sz w:val="24"/>
              </w:rPr>
            </w:pPr>
            <w:r>
              <w:rPr>
                <w:kern w:val="0"/>
                <w:sz w:val="24"/>
              </w:rPr>
              <w:t>交通银行股份有限公司（以下使用全称或其简称“交通银行”）</w:t>
            </w:r>
          </w:p>
        </w:tc>
        <w:tc>
          <w:tcPr>
            <w:tcW w:w="3060" w:type="dxa"/>
            <w:vAlign w:val="center"/>
          </w:tcPr>
          <w:p w14:paraId="6E928A9F">
            <w:pPr>
              <w:widowControl/>
              <w:adjustRightInd w:val="0"/>
              <w:snapToGrid w:val="0"/>
              <w:spacing w:line="360" w:lineRule="auto"/>
              <w:ind w:firstLine="480" w:firstLineChars="200"/>
              <w:jc w:val="center"/>
              <w:rPr>
                <w:kern w:val="0"/>
                <w:sz w:val="24"/>
              </w:rPr>
            </w:pPr>
            <w:r>
              <w:rPr>
                <w:kern w:val="0"/>
                <w:sz w:val="24"/>
              </w:rPr>
              <w:t>65%</w:t>
            </w:r>
          </w:p>
        </w:tc>
      </w:tr>
      <w:tr w14:paraId="3324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14:paraId="303069CF">
            <w:pPr>
              <w:widowControl/>
              <w:adjustRightInd w:val="0"/>
              <w:snapToGrid w:val="0"/>
              <w:spacing w:line="360" w:lineRule="auto"/>
              <w:jc w:val="left"/>
              <w:rPr>
                <w:kern w:val="0"/>
                <w:sz w:val="24"/>
              </w:rPr>
            </w:pPr>
            <w:r>
              <w:rPr>
                <w:kern w:val="0"/>
                <w:sz w:val="24"/>
              </w:rPr>
              <w:t>施罗德投资管理有限公司</w:t>
            </w:r>
          </w:p>
        </w:tc>
        <w:tc>
          <w:tcPr>
            <w:tcW w:w="3060" w:type="dxa"/>
            <w:vAlign w:val="center"/>
          </w:tcPr>
          <w:p w14:paraId="6E6D7A94">
            <w:pPr>
              <w:widowControl/>
              <w:adjustRightInd w:val="0"/>
              <w:snapToGrid w:val="0"/>
              <w:spacing w:line="360" w:lineRule="auto"/>
              <w:ind w:firstLine="480" w:firstLineChars="200"/>
              <w:jc w:val="center"/>
              <w:rPr>
                <w:kern w:val="0"/>
                <w:sz w:val="24"/>
              </w:rPr>
            </w:pPr>
            <w:r>
              <w:rPr>
                <w:kern w:val="0"/>
                <w:sz w:val="24"/>
              </w:rPr>
              <w:t>30%</w:t>
            </w:r>
          </w:p>
        </w:tc>
      </w:tr>
      <w:tr w14:paraId="55D8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14:paraId="673697AC">
            <w:pPr>
              <w:widowControl/>
              <w:adjustRightInd w:val="0"/>
              <w:snapToGrid w:val="0"/>
              <w:spacing w:line="360" w:lineRule="auto"/>
              <w:jc w:val="left"/>
              <w:rPr>
                <w:kern w:val="0"/>
                <w:sz w:val="24"/>
              </w:rPr>
            </w:pPr>
            <w:r>
              <w:rPr>
                <w:kern w:val="0"/>
                <w:sz w:val="24"/>
              </w:rPr>
              <w:t>中国国际海运集装箱（集团）股份有限公司</w:t>
            </w:r>
          </w:p>
        </w:tc>
        <w:tc>
          <w:tcPr>
            <w:tcW w:w="3060" w:type="dxa"/>
            <w:vAlign w:val="center"/>
          </w:tcPr>
          <w:p w14:paraId="18E06783">
            <w:pPr>
              <w:widowControl/>
              <w:adjustRightInd w:val="0"/>
              <w:snapToGrid w:val="0"/>
              <w:spacing w:line="360" w:lineRule="auto"/>
              <w:ind w:firstLine="480" w:firstLineChars="200"/>
              <w:jc w:val="center"/>
              <w:rPr>
                <w:kern w:val="0"/>
                <w:sz w:val="24"/>
              </w:rPr>
            </w:pPr>
            <w:r>
              <w:rPr>
                <w:kern w:val="0"/>
                <w:sz w:val="24"/>
              </w:rPr>
              <w:t>5%</w:t>
            </w:r>
          </w:p>
        </w:tc>
      </w:tr>
    </w:tbl>
    <w:p w14:paraId="622E039C">
      <w:pPr>
        <w:adjustRightInd w:val="0"/>
        <w:snapToGrid w:val="0"/>
        <w:spacing w:line="360" w:lineRule="auto"/>
        <w:ind w:firstLine="480" w:firstLineChars="200"/>
        <w:rPr>
          <w:rFonts w:hint="eastAsia" w:hAnsi="宋体"/>
          <w:kern w:val="0"/>
          <w:sz w:val="24"/>
        </w:rPr>
      </w:pPr>
    </w:p>
    <w:p w14:paraId="7DE6251C">
      <w:pPr>
        <w:widowControl/>
        <w:adjustRightInd w:val="0"/>
        <w:snapToGrid w:val="0"/>
        <w:spacing w:line="360" w:lineRule="auto"/>
        <w:ind w:firstLine="482" w:firstLineChars="200"/>
        <w:rPr>
          <w:rFonts w:hint="eastAsia" w:hAnsi="宋体"/>
          <w:b/>
          <w:kern w:val="0"/>
          <w:sz w:val="24"/>
        </w:rPr>
      </w:pPr>
      <w:r>
        <w:rPr>
          <w:rFonts w:hAnsi="宋体"/>
          <w:b/>
          <w:kern w:val="0"/>
          <w:sz w:val="24"/>
        </w:rPr>
        <w:t>（二）主要成员情况</w:t>
      </w:r>
    </w:p>
    <w:p w14:paraId="02C4DC42">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1、基金管理人董事会成员</w:t>
      </w:r>
    </w:p>
    <w:p w14:paraId="70266023">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袁庆伟女士，董事，总经理</w:t>
      </w:r>
      <w:r>
        <w:rPr>
          <w:rFonts w:hint="eastAsia"/>
          <w:sz w:val="24"/>
          <w:szCs w:val="24"/>
        </w:rPr>
        <w:t>，代任董事长</w:t>
      </w:r>
      <w:r>
        <w:rPr>
          <w:rFonts w:hint="eastAsia" w:ascii="宋体" w:hAnsi="宋体"/>
          <w:sz w:val="24"/>
        </w:rPr>
        <w:t>，硕士。历任交通银行乌鲁木齐分行财务会计处副处长、会计结算部高级经理，交通银行总行资产托管业务中心（资产托管部）副总裁、总裁，交通银行总行金融机构部总经理、资产管理业务中心总裁等职务。</w:t>
      </w:r>
    </w:p>
    <w:p w14:paraId="67C8D84B">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4C5A43CD">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Karine Szenberg女士，董事，硕士。现任施罗德投资集团执行副主席、集团执行委员会成员和施罗德投资管理（瑞士）股份有限公司董事会主席。历任施罗德投资法国主管、欧洲主管、全球产品和营销主管等。</w:t>
      </w:r>
    </w:p>
    <w:p w14:paraId="6D5FEA4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14:paraId="214D491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单锋先生，独立董事，博士。现任南京大学法学教授职务。历任南京大学法学院助教、讲师、副教授。</w:t>
      </w:r>
    </w:p>
    <w:p w14:paraId="479B8712">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刘凤元先生，独立董事，博士。现任华东政法大学国际金融法律学院教授，资本市场研究中心主任，兼任多家香港和大陆上市公司（非证券基金经营机构）独立董事。</w:t>
      </w:r>
    </w:p>
    <w:p w14:paraId="4628E6CC">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宋若坤女士，独立董事，学士。英格兰及威尔士特许会计师协会和香港会计师公会特许会计师</w:t>
      </w:r>
      <w:r>
        <w:rPr>
          <w:rFonts w:hint="eastAsia"/>
          <w:sz w:val="24"/>
          <w:szCs w:val="24"/>
        </w:rPr>
        <w:t>、注册金融分析师</w:t>
      </w:r>
      <w:r>
        <w:rPr>
          <w:rFonts w:hint="eastAsia" w:ascii="宋体" w:hAnsi="宋体"/>
          <w:sz w:val="24"/>
        </w:rPr>
        <w:t>。历任毕马威会计师事务所香港分所审计部</w:t>
      </w:r>
      <w:r>
        <w:rPr>
          <w:rFonts w:hint="eastAsia"/>
          <w:sz w:val="24"/>
          <w:szCs w:val="24"/>
        </w:rPr>
        <w:t>主管</w:t>
      </w:r>
      <w:r>
        <w:rPr>
          <w:rFonts w:hint="eastAsia" w:ascii="宋体" w:hAnsi="宋体"/>
          <w:sz w:val="24"/>
        </w:rPr>
        <w:t>副经理，摩根资产管理（香港）亚太区资产管理合规主管</w:t>
      </w:r>
      <w:r>
        <w:rPr>
          <w:rFonts w:hint="eastAsia"/>
          <w:sz w:val="24"/>
          <w:szCs w:val="24"/>
        </w:rPr>
        <w:t>、董事总经理</w:t>
      </w:r>
      <w:r>
        <w:rPr>
          <w:rFonts w:hint="eastAsia" w:ascii="宋体" w:hAnsi="宋体"/>
          <w:sz w:val="24"/>
        </w:rPr>
        <w:t>等。</w:t>
      </w:r>
    </w:p>
    <w:p w14:paraId="36987B55">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2、基金管理人高级管理人员</w:t>
      </w:r>
    </w:p>
    <w:p w14:paraId="7722CF6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袁庆伟女士，总经理。简历同上。</w:t>
      </w:r>
    </w:p>
    <w:p w14:paraId="79625257">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462C1EEF">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14:paraId="7DD91B50">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3B68A129">
      <w:pPr>
        <w:widowControl/>
        <w:adjustRightInd w:val="0"/>
        <w:snapToGrid w:val="0"/>
        <w:spacing w:line="360" w:lineRule="auto"/>
        <w:ind w:firstLine="480" w:firstLineChars="200"/>
        <w:rPr>
          <w:kern w:val="0"/>
          <w:sz w:val="24"/>
        </w:rPr>
      </w:pPr>
      <w:r>
        <w:rPr>
          <w:kern w:val="0"/>
          <w:sz w:val="24"/>
        </w:rPr>
        <w:t>3</w:t>
      </w:r>
      <w:r>
        <w:rPr>
          <w:rFonts w:hint="eastAsia"/>
          <w:kern w:val="0"/>
          <w:sz w:val="24"/>
        </w:rPr>
        <w:t>、本基金基金经理</w:t>
      </w:r>
    </w:p>
    <w:p w14:paraId="37FB8613">
      <w:pPr>
        <w:widowControl/>
        <w:adjustRightInd w:val="0"/>
        <w:snapToGrid w:val="0"/>
        <w:spacing w:line="360" w:lineRule="auto"/>
        <w:ind w:firstLine="480" w:firstLineChars="200"/>
        <w:rPr>
          <w:kern w:val="0"/>
          <w:sz w:val="24"/>
        </w:rPr>
      </w:pPr>
      <w:r>
        <w:rPr>
          <w:rFonts w:hint="eastAsia"/>
          <w:kern w:val="0"/>
          <w:sz w:val="24"/>
        </w:rPr>
        <w:t>刘迪先生：基金经理。上海财经大学金融工程与投资管理博士、上海海事大学硕士。11年证券投资行业从业经验。2015年加入交银施罗德基金管理有限公司，曾任量化投资部研究员、多元资产管理部投资经理。现任交银施罗德招享一年持有期混合型基金中基金（FOF）（2024年10月31日至今）、交银施罗德慧选睿信一年持有期混合型基金中基金（FOF）（2025年05月08日至今）</w:t>
      </w:r>
      <w:r>
        <w:rPr>
          <w:rFonts w:hint="eastAsia"/>
          <w:kern w:val="0"/>
          <w:sz w:val="24"/>
          <w:lang w:eastAsia="zh-CN"/>
        </w:rPr>
        <w:t>、</w:t>
      </w:r>
      <w:r>
        <w:rPr>
          <w:rFonts w:hint="eastAsia"/>
          <w:kern w:val="0"/>
          <w:sz w:val="24"/>
        </w:rPr>
        <w:t>交银施罗德安享稳健养老目标一年持有期混合型基金中基金（FOF）（2025年07月12日至今）、交银施罗德臻享多资产三个月持有期混合型基金中基金（FOF）（2025年11月13日至今）、交银施罗德穗享多资产六个月持有期混合型基金中基金（FOF）（2026年1月20日至今）</w:t>
      </w:r>
      <w:r>
        <w:rPr>
          <w:rFonts w:hint="eastAsia"/>
          <w:kern w:val="0"/>
          <w:sz w:val="24"/>
          <w:lang w:eastAsia="zh-CN"/>
        </w:rPr>
        <w:t>、</w:t>
      </w:r>
      <w:r>
        <w:rPr>
          <w:rFonts w:hint="eastAsia"/>
          <w:kern w:val="0"/>
          <w:sz w:val="24"/>
        </w:rPr>
        <w:t>交银施罗德沃享稳健三个月持有期混合型基金中基金</w:t>
      </w:r>
      <w:r>
        <w:rPr>
          <w:rFonts w:hint="eastAsia"/>
          <w:kern w:val="0"/>
          <w:sz w:val="24"/>
          <w:lang w:eastAsia="zh-CN"/>
        </w:rPr>
        <w:t>（</w:t>
      </w:r>
      <w:r>
        <w:rPr>
          <w:rFonts w:hint="eastAsia"/>
          <w:kern w:val="0"/>
          <w:sz w:val="24"/>
        </w:rPr>
        <w:t>FOF</w:t>
      </w:r>
      <w:r>
        <w:rPr>
          <w:rFonts w:hint="eastAsia"/>
          <w:kern w:val="0"/>
          <w:sz w:val="24"/>
          <w:lang w:eastAsia="zh-CN"/>
        </w:rPr>
        <w:t>）</w:t>
      </w:r>
      <w:r>
        <w:rPr>
          <w:rFonts w:hint="eastAsia"/>
          <w:kern w:val="0"/>
          <w:sz w:val="24"/>
        </w:rPr>
        <w:t>（2026年</w:t>
      </w:r>
      <w:r>
        <w:rPr>
          <w:rFonts w:hint="eastAsia"/>
          <w:kern w:val="0"/>
          <w:sz w:val="24"/>
          <w:lang w:val="en-US" w:eastAsia="zh-CN"/>
        </w:rPr>
        <w:t>4</w:t>
      </w:r>
      <w:r>
        <w:rPr>
          <w:rFonts w:hint="eastAsia"/>
          <w:kern w:val="0"/>
          <w:sz w:val="24"/>
        </w:rPr>
        <w:t>月2</w:t>
      </w:r>
      <w:r>
        <w:rPr>
          <w:rFonts w:hint="eastAsia"/>
          <w:kern w:val="0"/>
          <w:sz w:val="24"/>
          <w:lang w:val="en-US" w:eastAsia="zh-CN"/>
        </w:rPr>
        <w:t>8</w:t>
      </w:r>
      <w:r>
        <w:rPr>
          <w:rFonts w:hint="eastAsia"/>
          <w:kern w:val="0"/>
          <w:sz w:val="24"/>
        </w:rPr>
        <w:t>日至今）</w:t>
      </w:r>
      <w:r>
        <w:rPr>
          <w:rFonts w:hint="eastAsia"/>
          <w:kern w:val="0"/>
          <w:sz w:val="24"/>
          <w:lang w:eastAsia="zh-CN"/>
        </w:rPr>
        <w:t>、</w:t>
      </w:r>
      <w:r>
        <w:rPr>
          <w:rFonts w:hint="eastAsia"/>
          <w:kern w:val="0"/>
          <w:sz w:val="24"/>
        </w:rPr>
        <w:t>交银施罗德盈享多资产六个月持有期混合型基金中基金</w:t>
      </w:r>
      <w:r>
        <w:rPr>
          <w:rFonts w:hint="eastAsia"/>
          <w:kern w:val="0"/>
          <w:sz w:val="24"/>
          <w:lang w:eastAsia="zh-CN"/>
        </w:rPr>
        <w:t>（</w:t>
      </w:r>
      <w:r>
        <w:rPr>
          <w:rFonts w:hint="eastAsia"/>
          <w:kern w:val="0"/>
          <w:sz w:val="24"/>
        </w:rPr>
        <w:t>FOF</w:t>
      </w:r>
      <w:r>
        <w:rPr>
          <w:rFonts w:hint="eastAsia"/>
          <w:kern w:val="0"/>
          <w:sz w:val="24"/>
          <w:lang w:eastAsia="zh-CN"/>
        </w:rPr>
        <w:t>）</w:t>
      </w:r>
      <w:r>
        <w:rPr>
          <w:rFonts w:hint="eastAsia"/>
          <w:kern w:val="0"/>
          <w:sz w:val="24"/>
        </w:rPr>
        <w:t>（2026年</w:t>
      </w:r>
      <w:r>
        <w:rPr>
          <w:rFonts w:hint="eastAsia"/>
          <w:kern w:val="0"/>
          <w:sz w:val="24"/>
          <w:lang w:val="en-US" w:eastAsia="zh-CN"/>
        </w:rPr>
        <w:t>6</w:t>
      </w:r>
      <w:r>
        <w:rPr>
          <w:rFonts w:hint="eastAsia"/>
          <w:kern w:val="0"/>
          <w:sz w:val="24"/>
        </w:rPr>
        <w:t>月</w:t>
      </w:r>
      <w:r>
        <w:rPr>
          <w:rFonts w:hint="eastAsia"/>
          <w:kern w:val="0"/>
          <w:sz w:val="24"/>
          <w:lang w:val="en-US" w:eastAsia="zh-CN"/>
        </w:rPr>
        <w:t>16</w:t>
      </w:r>
      <w:r>
        <w:rPr>
          <w:rFonts w:hint="eastAsia"/>
          <w:kern w:val="0"/>
          <w:sz w:val="24"/>
        </w:rPr>
        <w:t>日至今）的基金经理。</w:t>
      </w:r>
    </w:p>
    <w:p w14:paraId="47535B1F">
      <w:pPr>
        <w:widowControl/>
        <w:adjustRightInd w:val="0"/>
        <w:snapToGrid w:val="0"/>
        <w:spacing w:line="360" w:lineRule="auto"/>
        <w:ind w:firstLine="480" w:firstLineChars="200"/>
        <w:rPr>
          <w:kern w:val="0"/>
          <w:sz w:val="24"/>
        </w:rPr>
      </w:pPr>
      <w:r>
        <w:rPr>
          <w:kern w:val="0"/>
          <w:sz w:val="24"/>
        </w:rPr>
        <w:t>4、投资决策委员会成员</w:t>
      </w:r>
    </w:p>
    <w:p w14:paraId="77DCE7D2">
      <w:pPr>
        <w:widowControl/>
        <w:adjustRightInd w:val="0"/>
        <w:snapToGrid w:val="0"/>
        <w:spacing w:line="360" w:lineRule="auto"/>
        <w:ind w:firstLine="1080" w:firstLineChars="450"/>
        <w:rPr>
          <w:rFonts w:hint="eastAsia"/>
          <w:kern w:val="0"/>
          <w:sz w:val="24"/>
        </w:rPr>
      </w:pPr>
      <w:r>
        <w:rPr>
          <w:rFonts w:hint="eastAsia"/>
          <w:kern w:val="0"/>
          <w:sz w:val="24"/>
        </w:rPr>
        <w:t>委员：马俊（副总经理）</w:t>
      </w:r>
    </w:p>
    <w:p w14:paraId="6E5A952B">
      <w:pPr>
        <w:widowControl/>
        <w:adjustRightInd w:val="0"/>
        <w:snapToGrid w:val="0"/>
        <w:spacing w:line="360" w:lineRule="auto"/>
        <w:ind w:firstLine="1080" w:firstLineChars="450"/>
        <w:rPr>
          <w:rFonts w:hint="eastAsia"/>
          <w:kern w:val="0"/>
          <w:sz w:val="24"/>
        </w:rPr>
      </w:pPr>
      <w:r>
        <w:rPr>
          <w:rFonts w:hint="eastAsia"/>
          <w:kern w:val="0"/>
          <w:sz w:val="24"/>
        </w:rPr>
        <w:t>迟鑫（权益部总经理兼任跨境投资部总经理）</w:t>
      </w:r>
    </w:p>
    <w:p w14:paraId="5B87FEDE">
      <w:pPr>
        <w:widowControl/>
        <w:adjustRightInd w:val="0"/>
        <w:snapToGrid w:val="0"/>
        <w:spacing w:line="360" w:lineRule="auto"/>
        <w:ind w:firstLine="1080" w:firstLineChars="450"/>
        <w:rPr>
          <w:rFonts w:hint="eastAsia"/>
          <w:kern w:val="0"/>
          <w:sz w:val="24"/>
        </w:rPr>
      </w:pPr>
      <w:r>
        <w:rPr>
          <w:rFonts w:hint="eastAsia"/>
          <w:kern w:val="0"/>
          <w:sz w:val="24"/>
        </w:rPr>
        <w:t>王崇（权益投资副总监、权益部一级专家、基金经理）</w:t>
      </w:r>
    </w:p>
    <w:p w14:paraId="508FC80A">
      <w:pPr>
        <w:widowControl/>
        <w:adjustRightInd w:val="0"/>
        <w:snapToGrid w:val="0"/>
        <w:spacing w:line="360" w:lineRule="auto"/>
        <w:ind w:firstLine="1080" w:firstLineChars="450"/>
        <w:rPr>
          <w:rFonts w:hint="eastAsia"/>
          <w:kern w:val="0"/>
          <w:sz w:val="24"/>
        </w:rPr>
      </w:pPr>
      <w:r>
        <w:rPr>
          <w:rFonts w:hint="eastAsia"/>
          <w:kern w:val="0"/>
          <w:sz w:val="24"/>
        </w:rPr>
        <w:t>于海颖（混合资产投资总监、基金经理）</w:t>
      </w:r>
    </w:p>
    <w:p w14:paraId="6663C20A">
      <w:pPr>
        <w:widowControl/>
        <w:adjustRightInd w:val="0"/>
        <w:snapToGrid w:val="0"/>
        <w:spacing w:line="360" w:lineRule="auto"/>
        <w:ind w:firstLine="1080" w:firstLineChars="450"/>
        <w:rPr>
          <w:rFonts w:hint="eastAsia"/>
          <w:kern w:val="0"/>
          <w:sz w:val="24"/>
        </w:rPr>
      </w:pPr>
      <w:r>
        <w:rPr>
          <w:rFonts w:hint="eastAsia"/>
          <w:kern w:val="0"/>
          <w:sz w:val="24"/>
        </w:rPr>
        <w:t>黄莹洁（固定收益（公募）投资助理总监、基金经理）</w:t>
      </w:r>
    </w:p>
    <w:p w14:paraId="26957315">
      <w:pPr>
        <w:widowControl/>
        <w:adjustRightInd w:val="0"/>
        <w:snapToGrid w:val="0"/>
        <w:spacing w:line="360" w:lineRule="auto"/>
        <w:ind w:firstLine="1080" w:firstLineChars="450"/>
        <w:rPr>
          <w:rFonts w:hint="eastAsia"/>
          <w:kern w:val="0"/>
          <w:sz w:val="24"/>
        </w:rPr>
      </w:pPr>
      <w:r>
        <w:rPr>
          <w:rFonts w:hint="eastAsia"/>
          <w:kern w:val="0"/>
          <w:sz w:val="24"/>
        </w:rPr>
        <w:t>马韬（研究总监）</w:t>
      </w:r>
    </w:p>
    <w:p w14:paraId="69C952CA">
      <w:pPr>
        <w:widowControl/>
        <w:adjustRightInd w:val="0"/>
        <w:snapToGrid w:val="0"/>
        <w:spacing w:line="360" w:lineRule="auto"/>
        <w:ind w:firstLine="1080" w:firstLineChars="450"/>
        <w:rPr>
          <w:kern w:val="0"/>
          <w:sz w:val="24"/>
        </w:rPr>
      </w:pPr>
      <w:r>
        <w:rPr>
          <w:rFonts w:hint="eastAsia"/>
          <w:kern w:val="0"/>
          <w:sz w:val="24"/>
        </w:rPr>
        <w:t>樊继拓（多资产研究部副总经理）</w:t>
      </w:r>
    </w:p>
    <w:p w14:paraId="6B79F91B">
      <w:pPr>
        <w:widowControl/>
        <w:adjustRightInd w:val="0"/>
        <w:snapToGrid w:val="0"/>
        <w:spacing w:line="360" w:lineRule="auto"/>
        <w:ind w:firstLine="1080" w:firstLineChars="450"/>
        <w:rPr>
          <w:kern w:val="0"/>
          <w:sz w:val="24"/>
        </w:rPr>
      </w:pPr>
      <w:r>
        <w:rPr>
          <w:kern w:val="0"/>
          <w:sz w:val="24"/>
        </w:rPr>
        <w:t>上述人员之间不存在近亲属关系。</w:t>
      </w:r>
    </w:p>
    <w:p w14:paraId="498B1950">
      <w:pPr>
        <w:widowControl/>
        <w:adjustRightInd w:val="0"/>
        <w:snapToGrid w:val="0"/>
        <w:spacing w:line="360" w:lineRule="auto"/>
        <w:ind w:firstLine="482" w:firstLineChars="200"/>
        <w:rPr>
          <w:b/>
          <w:kern w:val="0"/>
          <w:sz w:val="24"/>
        </w:rPr>
      </w:pPr>
      <w:r>
        <w:rPr>
          <w:rFonts w:hAnsi="宋体"/>
          <w:b/>
          <w:kern w:val="0"/>
          <w:sz w:val="24"/>
        </w:rPr>
        <w:t>（三）基金管理人的职责</w:t>
      </w:r>
    </w:p>
    <w:p w14:paraId="1AD1731B">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14:paraId="56DF6A00">
      <w:pPr>
        <w:adjustRightInd w:val="0"/>
        <w:snapToGrid w:val="0"/>
        <w:spacing w:line="360" w:lineRule="auto"/>
        <w:ind w:firstLine="480" w:firstLineChars="200"/>
        <w:rPr>
          <w:sz w:val="24"/>
          <w:szCs w:val="24"/>
        </w:rPr>
      </w:pPr>
      <w:r>
        <w:rPr>
          <w:sz w:val="24"/>
          <w:szCs w:val="24"/>
        </w:rPr>
        <w:t>2、办理基金备案手续；</w:t>
      </w:r>
    </w:p>
    <w:p w14:paraId="66412AAA">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14:paraId="458D002A">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14:paraId="6EF155CE">
      <w:pPr>
        <w:adjustRightInd w:val="0"/>
        <w:snapToGrid w:val="0"/>
        <w:spacing w:line="360" w:lineRule="auto"/>
        <w:ind w:firstLine="480" w:firstLineChars="200"/>
        <w:rPr>
          <w:sz w:val="24"/>
          <w:szCs w:val="24"/>
        </w:rPr>
      </w:pPr>
      <w:r>
        <w:rPr>
          <w:sz w:val="24"/>
          <w:szCs w:val="24"/>
        </w:rPr>
        <w:t>5、进行基金会计核算并编制基金财务会计报告；</w:t>
      </w:r>
    </w:p>
    <w:p w14:paraId="35827A62">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29B497AC">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14:paraId="4C8D6A07">
      <w:pPr>
        <w:adjustRightInd w:val="0"/>
        <w:snapToGrid w:val="0"/>
        <w:spacing w:line="360" w:lineRule="auto"/>
        <w:ind w:firstLine="480" w:firstLineChars="200"/>
        <w:rPr>
          <w:sz w:val="24"/>
          <w:szCs w:val="24"/>
        </w:rPr>
      </w:pPr>
      <w:r>
        <w:rPr>
          <w:sz w:val="24"/>
          <w:szCs w:val="24"/>
        </w:rPr>
        <w:t>8、办理与基金财产管理业务活动有关的信息披露事项；</w:t>
      </w:r>
    </w:p>
    <w:p w14:paraId="3990B61D">
      <w:pPr>
        <w:adjustRightInd w:val="0"/>
        <w:snapToGrid w:val="0"/>
        <w:spacing w:line="360" w:lineRule="auto"/>
        <w:ind w:firstLine="480" w:firstLineChars="200"/>
        <w:rPr>
          <w:sz w:val="24"/>
          <w:szCs w:val="24"/>
        </w:rPr>
      </w:pPr>
      <w:r>
        <w:rPr>
          <w:sz w:val="24"/>
          <w:szCs w:val="24"/>
        </w:rPr>
        <w:t>9、按照规定召集基金份额持有人大会；</w:t>
      </w:r>
    </w:p>
    <w:p w14:paraId="7DDE138F">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14:paraId="0FE06B7B">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14:paraId="5E8EA645">
      <w:pPr>
        <w:adjustRightInd w:val="0"/>
        <w:snapToGrid w:val="0"/>
        <w:spacing w:line="360" w:lineRule="auto"/>
        <w:ind w:firstLine="480" w:firstLineChars="200"/>
        <w:rPr>
          <w:sz w:val="24"/>
          <w:szCs w:val="24"/>
        </w:rPr>
      </w:pPr>
      <w:r>
        <w:rPr>
          <w:sz w:val="24"/>
          <w:szCs w:val="24"/>
        </w:rPr>
        <w:t>12、有关法律法规和中国证监会规定的其他职责。</w:t>
      </w:r>
    </w:p>
    <w:p w14:paraId="64C99917">
      <w:pPr>
        <w:widowControl/>
        <w:adjustRightInd w:val="0"/>
        <w:snapToGrid w:val="0"/>
        <w:spacing w:line="360" w:lineRule="auto"/>
        <w:ind w:firstLine="482" w:firstLineChars="200"/>
        <w:jc w:val="left"/>
        <w:rPr>
          <w:b/>
          <w:kern w:val="0"/>
          <w:sz w:val="24"/>
        </w:rPr>
      </w:pPr>
      <w:r>
        <w:rPr>
          <w:rFonts w:hAnsi="宋体"/>
          <w:b/>
          <w:kern w:val="0"/>
          <w:sz w:val="24"/>
        </w:rPr>
        <w:t>（四）基金管理人的承诺</w:t>
      </w:r>
    </w:p>
    <w:p w14:paraId="100DF00B">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14:paraId="6F176DA7">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14:paraId="48402116">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14:paraId="7860C23C">
      <w:pPr>
        <w:adjustRightInd w:val="0"/>
        <w:snapToGrid w:val="0"/>
        <w:spacing w:line="360" w:lineRule="auto"/>
        <w:ind w:firstLine="480" w:firstLineChars="200"/>
        <w:rPr>
          <w:sz w:val="24"/>
          <w:szCs w:val="24"/>
        </w:rPr>
      </w:pPr>
      <w:r>
        <w:rPr>
          <w:sz w:val="24"/>
          <w:szCs w:val="24"/>
        </w:rPr>
        <w:t>（2）不公平地对待管理的不同基金财产；</w:t>
      </w:r>
    </w:p>
    <w:p w14:paraId="18B7C839">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14:paraId="55E6C855">
      <w:pPr>
        <w:adjustRightInd w:val="0"/>
        <w:snapToGrid w:val="0"/>
        <w:spacing w:line="360" w:lineRule="auto"/>
        <w:ind w:firstLine="480" w:firstLineChars="200"/>
        <w:rPr>
          <w:sz w:val="24"/>
          <w:szCs w:val="24"/>
        </w:rPr>
      </w:pPr>
      <w:r>
        <w:rPr>
          <w:sz w:val="24"/>
          <w:szCs w:val="24"/>
        </w:rPr>
        <w:t>（4）向基金份额持有人违规承诺收益或者承担损失；</w:t>
      </w:r>
    </w:p>
    <w:p w14:paraId="40D5F11A">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14:paraId="311059FD">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3F8D9C90">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14:paraId="68849FFD">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14:paraId="7D5417BA">
      <w:pPr>
        <w:adjustRightInd w:val="0"/>
        <w:snapToGrid w:val="0"/>
        <w:spacing w:line="360" w:lineRule="auto"/>
        <w:ind w:firstLine="480" w:firstLineChars="200"/>
        <w:rPr>
          <w:sz w:val="24"/>
          <w:szCs w:val="24"/>
        </w:rPr>
      </w:pPr>
      <w:r>
        <w:rPr>
          <w:sz w:val="24"/>
          <w:szCs w:val="24"/>
        </w:rPr>
        <w:t>5、基金管理人承诺不从事其他法规规定禁止从事的行为。</w:t>
      </w:r>
    </w:p>
    <w:p w14:paraId="4A71D0E8">
      <w:pPr>
        <w:widowControl/>
        <w:adjustRightInd w:val="0"/>
        <w:snapToGrid w:val="0"/>
        <w:spacing w:line="360" w:lineRule="auto"/>
        <w:ind w:firstLine="482" w:firstLineChars="200"/>
        <w:jc w:val="left"/>
        <w:rPr>
          <w:b/>
          <w:kern w:val="0"/>
          <w:sz w:val="24"/>
        </w:rPr>
      </w:pPr>
      <w:r>
        <w:rPr>
          <w:rFonts w:hAnsi="宋体"/>
          <w:b/>
          <w:kern w:val="0"/>
          <w:sz w:val="24"/>
        </w:rPr>
        <w:t>（五）基金经理承诺</w:t>
      </w:r>
    </w:p>
    <w:p w14:paraId="26874C91">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14:paraId="32A83B68">
      <w:pPr>
        <w:adjustRightInd w:val="0"/>
        <w:snapToGrid w:val="0"/>
        <w:spacing w:line="360" w:lineRule="auto"/>
        <w:ind w:firstLine="480" w:firstLineChars="200"/>
        <w:rPr>
          <w:sz w:val="24"/>
          <w:szCs w:val="24"/>
        </w:rPr>
      </w:pPr>
      <w:r>
        <w:rPr>
          <w:sz w:val="24"/>
          <w:szCs w:val="24"/>
        </w:rPr>
        <w:t>2、不利用职务之便为自己、受雇人或任何第三者谋取利益；</w:t>
      </w:r>
    </w:p>
    <w:p w14:paraId="06BCEDD5">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14:paraId="61D3940B">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14:paraId="6F2A5D89">
      <w:pPr>
        <w:widowControl/>
        <w:adjustRightInd w:val="0"/>
        <w:snapToGrid w:val="0"/>
        <w:spacing w:line="360" w:lineRule="auto"/>
        <w:ind w:firstLine="482" w:firstLineChars="200"/>
        <w:rPr>
          <w:b/>
          <w:kern w:val="0"/>
          <w:sz w:val="24"/>
        </w:rPr>
      </w:pPr>
      <w:r>
        <w:rPr>
          <w:rFonts w:hAnsi="宋体"/>
          <w:b/>
          <w:kern w:val="0"/>
          <w:sz w:val="24"/>
        </w:rPr>
        <w:t>（六）基金管理人的内部控制制度</w:t>
      </w:r>
    </w:p>
    <w:p w14:paraId="29D5ED1D">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14:paraId="6C1D2F8C">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14:paraId="2C219FAE">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内部控制应当包括公司的各项业务、各个部门或机构和各级人员，并涵盖到决策、执行、监督、反馈等各个环节。</w:t>
      </w:r>
    </w:p>
    <w:p w14:paraId="039C0DF9">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14:paraId="7DC7D81B">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14:paraId="00D30B3C">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14:paraId="5A34D4B5">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488A1815">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14:paraId="37C124C0">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14:paraId="02EE94D6">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14:paraId="7AFAED09">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3517FBF0">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14:paraId="6891E354">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17DD4F91">
      <w:pPr>
        <w:widowControl/>
        <w:adjustRightInd w:val="0"/>
        <w:snapToGrid w:val="0"/>
        <w:spacing w:line="360" w:lineRule="auto"/>
        <w:ind w:firstLine="480" w:firstLineChars="200"/>
        <w:rPr>
          <w:kern w:val="0"/>
          <w:sz w:val="24"/>
          <w:szCs w:val="24"/>
        </w:rPr>
      </w:pPr>
      <w:r>
        <w:rPr>
          <w:rFonts w:hint="eastAsia"/>
          <w:kern w:val="0"/>
          <w:sz w:val="24"/>
          <w:szCs w:val="24"/>
        </w:rPr>
        <w:t>（1）董事会</w:t>
      </w:r>
    </w:p>
    <w:p w14:paraId="2EBEF24A">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77A4E4B6">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14:paraId="3A1DD9B9">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6046A93A">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14:paraId="5473348F">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4DA24E08">
      <w:pPr>
        <w:widowControl/>
        <w:adjustRightInd w:val="0"/>
        <w:snapToGrid w:val="0"/>
        <w:spacing w:line="360" w:lineRule="auto"/>
        <w:ind w:firstLine="480" w:firstLineChars="200"/>
        <w:rPr>
          <w:kern w:val="0"/>
          <w:sz w:val="24"/>
          <w:szCs w:val="24"/>
        </w:rPr>
      </w:pPr>
      <w:r>
        <w:rPr>
          <w:rFonts w:hint="eastAsia"/>
          <w:kern w:val="0"/>
          <w:sz w:val="24"/>
          <w:szCs w:val="24"/>
        </w:rPr>
        <w:t>（4）督察长</w:t>
      </w:r>
    </w:p>
    <w:p w14:paraId="6807C768">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3B60E559">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14:paraId="0B395333">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3EA5075F">
      <w:pPr>
        <w:widowControl/>
        <w:adjustRightInd w:val="0"/>
        <w:snapToGrid w:val="0"/>
        <w:spacing w:line="360" w:lineRule="auto"/>
        <w:ind w:firstLine="480" w:firstLineChars="200"/>
        <w:rPr>
          <w:kern w:val="0"/>
          <w:sz w:val="24"/>
          <w:szCs w:val="24"/>
        </w:rPr>
      </w:pPr>
      <w:r>
        <w:rPr>
          <w:rFonts w:hint="eastAsia"/>
          <w:kern w:val="0"/>
          <w:sz w:val="24"/>
          <w:szCs w:val="24"/>
        </w:rPr>
        <w:t>（6）审计部</w:t>
      </w:r>
    </w:p>
    <w:p w14:paraId="76494EAA">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61FBC2CD">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14:paraId="18290530">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1722609B">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14:paraId="00A910A0">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14:paraId="6B215369">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14:paraId="176AF7F8">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14:paraId="0BD72EB6">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282197D0">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14:paraId="7AB3D3E6">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3097DBD0">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14:paraId="59E657BE">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4CA44678">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14:paraId="6E21439C">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734131ED">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14:paraId="2AD40DA0">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14:paraId="5C09F38B">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14:paraId="45BB92DE">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采取数量化、技术化的风险控制手段，建立数量化的风险管理模型，用以提示指数趋势、行业及个券的风险，以便公司及时采取有效的措施，对风险进行分散、控制和规避，尽可能地减少损失。</w:t>
      </w:r>
    </w:p>
    <w:p w14:paraId="7F06D495">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14:paraId="3D7B021F">
      <w:pPr>
        <w:widowControl/>
        <w:adjustRightInd w:val="0"/>
        <w:snapToGrid w:val="0"/>
        <w:spacing w:line="360" w:lineRule="auto"/>
        <w:ind w:firstLine="480" w:firstLineChars="200"/>
        <w:rPr>
          <w:rFonts w:hint="eastAsia" w:ascii="宋体" w:hAnsi="宋体"/>
          <w:sz w:val="30"/>
        </w:rPr>
      </w:pPr>
      <w:r>
        <w:rPr>
          <w:rFonts w:hint="eastAsia"/>
          <w:kern w:val="0"/>
          <w:sz w:val="24"/>
          <w:szCs w:val="24"/>
        </w:rPr>
        <w:t>制定了完整的培训计划，为所有员工提供足够和适当的培训，使员工明确其职责所在，控制风险。</w:t>
      </w:r>
      <w:bookmarkStart w:id="12" w:name="_Toc109537382"/>
    </w:p>
    <w:p w14:paraId="16656F80">
      <w:pPr>
        <w:spacing w:line="360" w:lineRule="auto"/>
        <w:jc w:val="center"/>
        <w:outlineLvl w:val="0"/>
        <w:rPr>
          <w:rFonts w:hint="eastAsia" w:ascii="宋体" w:hAnsi="宋体"/>
          <w:b/>
          <w:kern w:val="0"/>
          <w:sz w:val="30"/>
        </w:rPr>
      </w:pPr>
      <w:r>
        <w:rPr>
          <w:rFonts w:ascii="宋体" w:hAnsi="宋体"/>
          <w:sz w:val="30"/>
        </w:rPr>
        <w:br w:type="page"/>
      </w:r>
      <w:bookmarkStart w:id="13" w:name="_Toc56690584"/>
      <w:r>
        <w:rPr>
          <w:rFonts w:hint="eastAsia" w:ascii="宋体" w:hAnsi="宋体"/>
          <w:b/>
          <w:kern w:val="0"/>
          <w:sz w:val="30"/>
        </w:rPr>
        <w:t>四、基金托管人</w:t>
      </w:r>
      <w:bookmarkEnd w:id="12"/>
      <w:bookmarkEnd w:id="13"/>
    </w:p>
    <w:p w14:paraId="1F654A8B">
      <w:pPr>
        <w:widowControl/>
        <w:adjustRightInd w:val="0"/>
        <w:snapToGrid w:val="0"/>
        <w:spacing w:line="360" w:lineRule="auto"/>
        <w:ind w:firstLine="482" w:firstLineChars="200"/>
        <w:rPr>
          <w:b/>
          <w:kern w:val="0"/>
          <w:sz w:val="24"/>
          <w:szCs w:val="24"/>
        </w:rPr>
      </w:pPr>
      <w:r>
        <w:rPr>
          <w:rFonts w:hint="eastAsia"/>
          <w:b/>
          <w:kern w:val="0"/>
          <w:sz w:val="24"/>
          <w:szCs w:val="24"/>
        </w:rPr>
        <w:t>（</w:t>
      </w:r>
      <w:r>
        <w:rPr>
          <w:b/>
          <w:kern w:val="0"/>
          <w:sz w:val="24"/>
          <w:szCs w:val="24"/>
        </w:rPr>
        <w:t>一</w:t>
      </w:r>
      <w:r>
        <w:rPr>
          <w:rFonts w:hint="eastAsia"/>
          <w:b/>
          <w:kern w:val="0"/>
          <w:sz w:val="24"/>
          <w:szCs w:val="24"/>
        </w:rPr>
        <w:t>）</w:t>
      </w:r>
      <w:r>
        <w:rPr>
          <w:b/>
          <w:kern w:val="0"/>
          <w:sz w:val="24"/>
          <w:szCs w:val="24"/>
        </w:rPr>
        <w:t>基金托管人情况</w:t>
      </w:r>
    </w:p>
    <w:p w14:paraId="0BE9816E">
      <w:pPr>
        <w:widowControl/>
        <w:adjustRightInd w:val="0"/>
        <w:snapToGrid w:val="0"/>
        <w:spacing w:line="360" w:lineRule="auto"/>
        <w:ind w:firstLine="480" w:firstLineChars="200"/>
        <w:rPr>
          <w:kern w:val="0"/>
          <w:sz w:val="24"/>
          <w:szCs w:val="24"/>
        </w:rPr>
      </w:pPr>
      <w:r>
        <w:rPr>
          <w:rFonts w:hint="eastAsia"/>
          <w:kern w:val="0"/>
          <w:sz w:val="24"/>
          <w:szCs w:val="24"/>
        </w:rPr>
        <w:t>1、基本情况</w:t>
      </w:r>
    </w:p>
    <w:p w14:paraId="1816FEA7">
      <w:pPr>
        <w:widowControl/>
        <w:adjustRightInd w:val="0"/>
        <w:snapToGrid w:val="0"/>
        <w:spacing w:line="360" w:lineRule="auto"/>
        <w:ind w:firstLine="480" w:firstLineChars="200"/>
        <w:rPr>
          <w:kern w:val="0"/>
          <w:sz w:val="24"/>
          <w:szCs w:val="24"/>
        </w:rPr>
      </w:pPr>
      <w:r>
        <w:rPr>
          <w:rFonts w:hint="eastAsia"/>
          <w:kern w:val="0"/>
          <w:sz w:val="24"/>
          <w:szCs w:val="24"/>
        </w:rPr>
        <w:t>名称：招商银行股份有限公司（以下简称“招商银行”）</w:t>
      </w:r>
    </w:p>
    <w:p w14:paraId="45340E28">
      <w:pPr>
        <w:widowControl/>
        <w:adjustRightInd w:val="0"/>
        <w:snapToGrid w:val="0"/>
        <w:spacing w:line="360" w:lineRule="auto"/>
        <w:ind w:firstLine="480" w:firstLineChars="200"/>
        <w:rPr>
          <w:rFonts w:hint="eastAsia" w:eastAsia="宋体"/>
          <w:kern w:val="0"/>
          <w:sz w:val="24"/>
          <w:szCs w:val="24"/>
          <w:lang w:eastAsia="zh-CN"/>
        </w:rPr>
      </w:pPr>
      <w:r>
        <w:rPr>
          <w:rFonts w:hint="eastAsia"/>
          <w:kern w:val="0"/>
          <w:sz w:val="24"/>
          <w:szCs w:val="24"/>
        </w:rPr>
        <w:t>设立日期：</w:t>
      </w:r>
      <w:r>
        <w:rPr>
          <w:rFonts w:hint="eastAsia"/>
          <w:kern w:val="0"/>
          <w:sz w:val="24"/>
          <w:szCs w:val="24"/>
          <w:lang w:eastAsia="zh-CN"/>
        </w:rPr>
        <w:t>1987年3月31日</w:t>
      </w:r>
    </w:p>
    <w:p w14:paraId="790FE4ED">
      <w:pPr>
        <w:widowControl/>
        <w:adjustRightInd w:val="0"/>
        <w:snapToGrid w:val="0"/>
        <w:spacing w:line="360" w:lineRule="auto"/>
        <w:ind w:firstLine="480" w:firstLineChars="200"/>
        <w:rPr>
          <w:kern w:val="0"/>
          <w:sz w:val="24"/>
          <w:szCs w:val="24"/>
        </w:rPr>
      </w:pPr>
      <w:r>
        <w:rPr>
          <w:rFonts w:hint="eastAsia"/>
          <w:kern w:val="0"/>
          <w:sz w:val="24"/>
          <w:szCs w:val="24"/>
        </w:rPr>
        <w:t>注册地址：深圳市深南大道7088号招商银行大厦</w:t>
      </w:r>
    </w:p>
    <w:p w14:paraId="71CE547A">
      <w:pPr>
        <w:widowControl/>
        <w:adjustRightInd w:val="0"/>
        <w:snapToGrid w:val="0"/>
        <w:spacing w:line="360" w:lineRule="auto"/>
        <w:ind w:firstLine="480" w:firstLineChars="200"/>
        <w:rPr>
          <w:kern w:val="0"/>
          <w:sz w:val="24"/>
          <w:szCs w:val="24"/>
        </w:rPr>
      </w:pPr>
      <w:r>
        <w:rPr>
          <w:rFonts w:hint="eastAsia"/>
          <w:kern w:val="0"/>
          <w:sz w:val="24"/>
          <w:szCs w:val="24"/>
        </w:rPr>
        <w:t>办公地址：深圳市深南大道7088号招商银行大厦</w:t>
      </w:r>
    </w:p>
    <w:p w14:paraId="138BBA3E">
      <w:pPr>
        <w:widowControl/>
        <w:adjustRightInd w:val="0"/>
        <w:snapToGrid w:val="0"/>
        <w:spacing w:line="360" w:lineRule="auto"/>
        <w:ind w:firstLine="480" w:firstLineChars="200"/>
        <w:rPr>
          <w:kern w:val="0"/>
          <w:sz w:val="24"/>
          <w:szCs w:val="24"/>
        </w:rPr>
      </w:pPr>
      <w:r>
        <w:rPr>
          <w:rFonts w:hint="eastAsia"/>
          <w:kern w:val="0"/>
          <w:sz w:val="24"/>
          <w:szCs w:val="24"/>
        </w:rPr>
        <w:t>注册资本：252.20亿元</w:t>
      </w:r>
    </w:p>
    <w:p w14:paraId="7274A1FB">
      <w:pPr>
        <w:widowControl/>
        <w:adjustRightInd w:val="0"/>
        <w:snapToGrid w:val="0"/>
        <w:spacing w:line="360" w:lineRule="auto"/>
        <w:ind w:firstLine="480" w:firstLineChars="200"/>
        <w:rPr>
          <w:kern w:val="0"/>
          <w:sz w:val="24"/>
          <w:szCs w:val="24"/>
        </w:rPr>
      </w:pPr>
      <w:r>
        <w:rPr>
          <w:rFonts w:hint="eastAsia"/>
          <w:kern w:val="0"/>
          <w:sz w:val="24"/>
          <w:szCs w:val="24"/>
        </w:rPr>
        <w:t>法定代表人：缪建民</w:t>
      </w:r>
    </w:p>
    <w:p w14:paraId="7F7702A1">
      <w:pPr>
        <w:widowControl/>
        <w:adjustRightInd w:val="0"/>
        <w:snapToGrid w:val="0"/>
        <w:spacing w:line="360" w:lineRule="auto"/>
        <w:ind w:firstLine="480" w:firstLineChars="200"/>
        <w:rPr>
          <w:kern w:val="0"/>
          <w:sz w:val="24"/>
          <w:szCs w:val="24"/>
        </w:rPr>
      </w:pPr>
      <w:r>
        <w:rPr>
          <w:rFonts w:hint="eastAsia"/>
          <w:kern w:val="0"/>
          <w:sz w:val="24"/>
          <w:szCs w:val="24"/>
        </w:rPr>
        <w:t>行长：王良</w:t>
      </w:r>
    </w:p>
    <w:p w14:paraId="13ACE2C9">
      <w:pPr>
        <w:widowControl/>
        <w:adjustRightInd w:val="0"/>
        <w:snapToGrid w:val="0"/>
        <w:spacing w:line="360" w:lineRule="auto"/>
        <w:ind w:firstLine="480" w:firstLineChars="200"/>
        <w:rPr>
          <w:kern w:val="0"/>
          <w:sz w:val="24"/>
          <w:szCs w:val="24"/>
        </w:rPr>
      </w:pPr>
      <w:r>
        <w:rPr>
          <w:rFonts w:hint="eastAsia"/>
          <w:kern w:val="0"/>
          <w:sz w:val="24"/>
          <w:szCs w:val="24"/>
        </w:rPr>
        <w:t>资产托管业务批准文号：证监基金字[2002]83号</w:t>
      </w:r>
    </w:p>
    <w:p w14:paraId="6A84FC14">
      <w:pPr>
        <w:widowControl/>
        <w:adjustRightInd w:val="0"/>
        <w:snapToGrid w:val="0"/>
        <w:spacing w:line="360" w:lineRule="auto"/>
        <w:ind w:firstLine="480" w:firstLineChars="200"/>
        <w:rPr>
          <w:kern w:val="0"/>
          <w:sz w:val="24"/>
          <w:szCs w:val="24"/>
        </w:rPr>
      </w:pPr>
      <w:r>
        <w:rPr>
          <w:rFonts w:hint="eastAsia"/>
          <w:kern w:val="0"/>
          <w:sz w:val="24"/>
          <w:szCs w:val="24"/>
        </w:rPr>
        <w:t>电话：4006195555</w:t>
      </w:r>
    </w:p>
    <w:p w14:paraId="0AC77AEA">
      <w:pPr>
        <w:widowControl/>
        <w:adjustRightInd w:val="0"/>
        <w:snapToGrid w:val="0"/>
        <w:spacing w:line="360" w:lineRule="auto"/>
        <w:ind w:firstLine="480" w:firstLineChars="200"/>
        <w:rPr>
          <w:kern w:val="0"/>
          <w:sz w:val="24"/>
          <w:szCs w:val="24"/>
        </w:rPr>
      </w:pPr>
      <w:r>
        <w:rPr>
          <w:rFonts w:hint="eastAsia"/>
          <w:kern w:val="0"/>
          <w:sz w:val="24"/>
          <w:szCs w:val="24"/>
        </w:rPr>
        <w:t>传真：0755-83195201</w:t>
      </w:r>
    </w:p>
    <w:p w14:paraId="21C308D9">
      <w:pPr>
        <w:widowControl/>
        <w:adjustRightInd w:val="0"/>
        <w:snapToGrid w:val="0"/>
        <w:spacing w:line="360" w:lineRule="auto"/>
        <w:ind w:firstLine="480" w:firstLineChars="200"/>
        <w:rPr>
          <w:kern w:val="0"/>
          <w:sz w:val="24"/>
          <w:szCs w:val="24"/>
        </w:rPr>
      </w:pPr>
      <w:r>
        <w:rPr>
          <w:rFonts w:hint="eastAsia"/>
          <w:kern w:val="0"/>
          <w:sz w:val="24"/>
          <w:szCs w:val="24"/>
        </w:rPr>
        <w:t>资产托管部信息披露负责人：张姗</w:t>
      </w:r>
    </w:p>
    <w:p w14:paraId="52373C41">
      <w:pPr>
        <w:widowControl/>
        <w:adjustRightInd w:val="0"/>
        <w:snapToGrid w:val="0"/>
        <w:spacing w:line="360" w:lineRule="auto"/>
        <w:ind w:firstLine="480" w:firstLineChars="200"/>
        <w:rPr>
          <w:kern w:val="0"/>
          <w:sz w:val="24"/>
          <w:szCs w:val="24"/>
        </w:rPr>
      </w:pPr>
      <w:r>
        <w:rPr>
          <w:rFonts w:hint="eastAsia"/>
          <w:kern w:val="0"/>
          <w:sz w:val="24"/>
          <w:szCs w:val="24"/>
        </w:rPr>
        <w:t>2、发展概况</w:t>
      </w:r>
    </w:p>
    <w:p w14:paraId="2C0F7822">
      <w:pPr>
        <w:widowControl/>
        <w:adjustRightInd w:val="0"/>
        <w:snapToGrid w:val="0"/>
        <w:spacing w:line="360" w:lineRule="auto"/>
        <w:ind w:firstLine="480" w:firstLineChars="200"/>
        <w:rPr>
          <w:kern w:val="0"/>
          <w:sz w:val="24"/>
          <w:szCs w:val="24"/>
        </w:rPr>
      </w:pPr>
      <w:r>
        <w:rPr>
          <w:rFonts w:hint="eastAsia"/>
          <w:kern w:val="0"/>
          <w:sz w:val="24"/>
          <w:szCs w:val="24"/>
        </w:rPr>
        <w:t>招商银行于1987年在深圳创建，是中国境内第一家完全由企业法人持股的股份制商业银行，成立38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2025年12月31日，本集团总资产130,705.23亿元人民币，高级法下资本充足率18.24%，权重法下资本充足率15.00%。</w:t>
      </w:r>
    </w:p>
    <w:p w14:paraId="6880871E">
      <w:pPr>
        <w:widowControl/>
        <w:adjustRightInd w:val="0"/>
        <w:snapToGrid w:val="0"/>
        <w:spacing w:line="360" w:lineRule="auto"/>
        <w:ind w:firstLine="480" w:firstLineChars="200"/>
        <w:rPr>
          <w:kern w:val="0"/>
          <w:sz w:val="24"/>
          <w:szCs w:val="24"/>
        </w:rPr>
      </w:pPr>
      <w:r>
        <w:rPr>
          <w:rFonts w:hint="eastAsia"/>
          <w:kern w:val="0"/>
          <w:sz w:val="24"/>
          <w:szCs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249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QFII）资格、合格境内机构投资者托管（QDII）资格、私募基金业务外包服务资格、存托凭证试点存托业务等业务资格。</w:t>
      </w:r>
    </w:p>
    <w:p w14:paraId="25CC70C7">
      <w:pPr>
        <w:widowControl/>
        <w:adjustRightInd w:val="0"/>
        <w:snapToGrid w:val="0"/>
        <w:spacing w:line="360" w:lineRule="auto"/>
        <w:ind w:firstLine="480" w:firstLineChars="200"/>
        <w:rPr>
          <w:kern w:val="0"/>
          <w:sz w:val="24"/>
          <w:szCs w:val="24"/>
        </w:rPr>
      </w:pPr>
      <w:r>
        <w:rPr>
          <w:rFonts w:hint="eastAsia"/>
          <w:kern w:val="0"/>
          <w:sz w:val="24"/>
          <w:szCs w:val="24"/>
        </w:rPr>
        <w:t>招商银行资产托管结合自身在托管行业深耕2</w:t>
      </w:r>
      <w:r>
        <w:rPr>
          <w:rFonts w:hint="eastAsia"/>
          <w:kern w:val="0"/>
          <w:sz w:val="24"/>
          <w:szCs w:val="24"/>
          <w:lang w:val="en-US" w:eastAsia="zh-CN"/>
        </w:rPr>
        <w:t>3</w:t>
      </w:r>
      <w:r>
        <w:rPr>
          <w:rFonts w:hint="eastAsia"/>
          <w:kern w:val="0"/>
          <w:sz w:val="24"/>
          <w:szCs w:val="24"/>
        </w:rPr>
        <w:t>年的专业能力和创新精神，推出“招商银行托管+”服务品牌，以“践行价值银行战略，致力于成为服务更佳、科技更强、协同更好的客户首选全球托管银行”品牌愿景为指引，以“值得信赖的专家、贴心服务的管家、让价值持续增加、客户的体验更佳”的“4+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2F0F44D5">
      <w:pPr>
        <w:widowControl/>
        <w:adjustRightInd w:val="0"/>
        <w:snapToGrid w:val="0"/>
        <w:spacing w:line="360" w:lineRule="auto"/>
        <w:ind w:firstLine="480" w:firstLineChars="200"/>
        <w:rPr>
          <w:kern w:val="0"/>
          <w:sz w:val="24"/>
          <w:szCs w:val="24"/>
        </w:rPr>
      </w:pPr>
      <w:r>
        <w:rPr>
          <w:rFonts w:hint="eastAsia"/>
          <w:kern w:val="0"/>
          <w:sz w:val="24"/>
          <w:szCs w:val="24"/>
        </w:rPr>
        <w:t>招商银行资产托管业务持续稳健发展，社会影响力不断提升,近年来获得业内各类奖项荣誉。2016年5月“托管通”荣获《银行家》2016中国金融创新“十佳金融产品创新奖”；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最佳基金托管银行”奖；5月荣获国际财经权威媒体《亚洲银行家》“中国年度托管银行奖”；12月荣获2018东方财富风云榜“2018年度最佳托管银行”、“20年最值得信赖托管银行”奖。2019年3月荣获《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募基金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募基金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中国基金业英华奖-ETF20周年特别评选“优秀ETF托管人””奖。2024年6月，荣获上海清算所“2023年度优秀托管机构”奖。2024年8月，在《21世纪经济报道》主办的2024资产管理年会暨十七届21世纪【金贝】资产管理竞争力研究案例发布盛典上，“招商银行托管+”荣获“2024卓越影响力品牌”奖项；2024年9月，在2024财联社中国金融业“拓扑奖”评选中，荣获银行业务类奖项“2024年资产托管银行‘拓扑奖’”；2024年12月，荣获《中国证券报》“ETF金牛生态圈卓越托管机构（银行）奖”；2024年12月，荣获《2024东方财富风云际会》“年度托管银行风云奖”。2025年1月，荣获中央国债登记结算有限责任公司“2024年度优秀资产托管机构”奖项、上海清算所“2024年度优秀托管机构”奖项；2025年2月，荣获全国银行间同业拆借中心“2024年度市场创新业务机构”奖项；2025年3月，荣获《中国基金报》2025年指数生态圈英华典型案例“指数产品托管机构”奖项；2025年6月，荣获《亚洲银行家》“中国最佳托管银行”“中国最佳股份制托管银行”奖项。2025年8月，在《21世纪经济报道》主办的2025资产管理年会暨十八届21世纪【金贝】资产管理竞争力案例发布盛典上，“招商银行托管+”荣获“2025卓越影响力品牌”奖项。2025年12月，荣获《2025东方财富风云际会》“年度托管银行风云奖”。</w:t>
      </w:r>
    </w:p>
    <w:p w14:paraId="77D05E3E">
      <w:pPr>
        <w:widowControl/>
        <w:adjustRightInd w:val="0"/>
        <w:snapToGrid w:val="0"/>
        <w:spacing w:line="360" w:lineRule="auto"/>
        <w:ind w:firstLine="482" w:firstLineChars="200"/>
        <w:rPr>
          <w:b/>
          <w:kern w:val="0"/>
          <w:sz w:val="24"/>
          <w:szCs w:val="24"/>
        </w:rPr>
      </w:pPr>
      <w:r>
        <w:rPr>
          <w:rFonts w:hint="eastAsia"/>
          <w:b/>
          <w:kern w:val="0"/>
          <w:sz w:val="24"/>
          <w:szCs w:val="24"/>
        </w:rPr>
        <w:t>（二）主要人员情况</w:t>
      </w:r>
    </w:p>
    <w:p w14:paraId="79DE7244">
      <w:pPr>
        <w:widowControl/>
        <w:adjustRightInd w:val="0"/>
        <w:snapToGrid w:val="0"/>
        <w:spacing w:line="360" w:lineRule="auto"/>
        <w:ind w:firstLine="480" w:firstLineChars="200"/>
        <w:rPr>
          <w:kern w:val="0"/>
          <w:sz w:val="24"/>
          <w:szCs w:val="24"/>
        </w:rPr>
      </w:pPr>
      <w:r>
        <w:rPr>
          <w:rFonts w:hint="eastAsia"/>
          <w:kern w:val="0"/>
          <w:sz w:val="24"/>
          <w:szCs w:val="24"/>
        </w:rPr>
        <w:t>缪建民先生，招商银行董事长、非执行董事，2020年9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65D285C6">
      <w:pPr>
        <w:widowControl/>
        <w:adjustRightInd w:val="0"/>
        <w:snapToGrid w:val="0"/>
        <w:spacing w:line="360" w:lineRule="auto"/>
        <w:ind w:firstLine="480" w:firstLineChars="200"/>
        <w:rPr>
          <w:kern w:val="0"/>
          <w:sz w:val="24"/>
          <w:szCs w:val="24"/>
        </w:rPr>
      </w:pPr>
      <w:r>
        <w:rPr>
          <w:rFonts w:hint="eastAsia"/>
          <w:kern w:val="0"/>
          <w:sz w:val="24"/>
          <w:szCs w:val="24"/>
        </w:rPr>
        <w:t>王良先生，招商银行党委书记、执行董事、行长。中国人民大学经济学硕士，高级经济师。1995年6月加入招商银行，历任招商银行北京分行行长助理、副行长、行长，2012年6月起历任招商银行行长助理、副行长、常务副行长，2022年5月起任招商银行党委书记，2022年6月起任招商银行行长。兼任招商银行香港上市相关事宜之授权代表、招银国际金融控股有限公司董事长、招银国际金融有限公司董事长、招商永隆银行董事长、招联消费金融有限公司副董事长、招商局金融控股有限公司董事、中国银行业协会中间业务专业委员会第四届主任、中国金融会计学会第六届常务理事、广东省第十四届人大代表。</w:t>
      </w:r>
    </w:p>
    <w:p w14:paraId="5862EC7F">
      <w:pPr>
        <w:widowControl/>
        <w:adjustRightInd w:val="0"/>
        <w:snapToGrid w:val="0"/>
        <w:spacing w:line="360" w:lineRule="auto"/>
        <w:ind w:firstLine="480" w:firstLineChars="200"/>
        <w:rPr>
          <w:kern w:val="0"/>
          <w:sz w:val="24"/>
          <w:szCs w:val="24"/>
        </w:rPr>
      </w:pPr>
      <w:r>
        <w:rPr>
          <w:rFonts w:hint="eastAsia"/>
          <w:kern w:val="0"/>
          <w:sz w:val="24"/>
          <w:szCs w:val="24"/>
        </w:rPr>
        <w:t>王颖女士，招商银行副行长，南京大学政治经济学专业硕士，经济师。王颖女士1997年1月加入招商银行，历任招商银行北京分行行长助理、副行长，天津分行行长，深圳分行行长，招商银行行长助理。2023年11月起任招商银行副行长。</w:t>
      </w:r>
    </w:p>
    <w:p w14:paraId="5FAAC45C">
      <w:pPr>
        <w:widowControl/>
        <w:adjustRightInd w:val="0"/>
        <w:snapToGrid w:val="0"/>
        <w:spacing w:line="360" w:lineRule="auto"/>
        <w:ind w:firstLine="480" w:firstLineChars="200"/>
        <w:rPr>
          <w:kern w:val="0"/>
          <w:sz w:val="24"/>
          <w:szCs w:val="24"/>
        </w:rPr>
      </w:pPr>
      <w:r>
        <w:rPr>
          <w:rFonts w:hint="eastAsia"/>
          <w:kern w:val="0"/>
          <w:sz w:val="24"/>
          <w:szCs w:val="24"/>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2021年10月起先后任招商银行资产托管部负责人、资产托管部总经理，具有20余年银行从业经验，在风险管理、信贷管理、公司金融、资产托管等领域有深入的研究和丰富的实务经验。</w:t>
      </w:r>
    </w:p>
    <w:p w14:paraId="353BD803">
      <w:pPr>
        <w:widowControl/>
        <w:adjustRightInd w:val="0"/>
        <w:snapToGrid w:val="0"/>
        <w:spacing w:line="360" w:lineRule="auto"/>
        <w:ind w:firstLine="482" w:firstLineChars="200"/>
        <w:rPr>
          <w:b/>
          <w:kern w:val="0"/>
          <w:sz w:val="24"/>
          <w:szCs w:val="24"/>
        </w:rPr>
      </w:pPr>
      <w:r>
        <w:rPr>
          <w:rFonts w:hint="eastAsia"/>
          <w:b/>
          <w:kern w:val="0"/>
          <w:sz w:val="24"/>
          <w:szCs w:val="24"/>
        </w:rPr>
        <w:t>（三）基金托管业务经营情况</w:t>
      </w:r>
    </w:p>
    <w:p w14:paraId="44B73040">
      <w:pPr>
        <w:widowControl/>
        <w:adjustRightInd w:val="0"/>
        <w:snapToGrid w:val="0"/>
        <w:spacing w:line="360" w:lineRule="auto"/>
        <w:ind w:firstLine="480" w:firstLineChars="200"/>
        <w:rPr>
          <w:kern w:val="0"/>
          <w:sz w:val="24"/>
          <w:szCs w:val="24"/>
        </w:rPr>
      </w:pPr>
      <w:r>
        <w:rPr>
          <w:rFonts w:hint="eastAsia"/>
          <w:kern w:val="0"/>
          <w:sz w:val="24"/>
          <w:szCs w:val="24"/>
        </w:rPr>
        <w:t>截至2025年</w:t>
      </w:r>
      <w:r>
        <w:rPr>
          <w:kern w:val="0"/>
          <w:sz w:val="24"/>
          <w:szCs w:val="24"/>
        </w:rPr>
        <w:t>12</w:t>
      </w:r>
      <w:r>
        <w:rPr>
          <w:rFonts w:hint="eastAsia"/>
          <w:kern w:val="0"/>
          <w:sz w:val="24"/>
          <w:szCs w:val="24"/>
        </w:rPr>
        <w:t>月3</w:t>
      </w:r>
      <w:r>
        <w:rPr>
          <w:kern w:val="0"/>
          <w:sz w:val="24"/>
          <w:szCs w:val="24"/>
        </w:rPr>
        <w:t>1</w:t>
      </w:r>
      <w:r>
        <w:rPr>
          <w:rFonts w:hint="eastAsia"/>
          <w:kern w:val="0"/>
          <w:sz w:val="24"/>
          <w:szCs w:val="24"/>
        </w:rPr>
        <w:t>日，招商银行累计托管</w:t>
      </w:r>
      <w:r>
        <w:rPr>
          <w:kern w:val="0"/>
          <w:sz w:val="24"/>
          <w:szCs w:val="24"/>
        </w:rPr>
        <w:t>1759</w:t>
      </w:r>
      <w:r>
        <w:rPr>
          <w:rFonts w:hint="eastAsia"/>
          <w:kern w:val="0"/>
          <w:sz w:val="24"/>
          <w:szCs w:val="24"/>
        </w:rPr>
        <w:t>只证券投资基金。</w:t>
      </w:r>
    </w:p>
    <w:p w14:paraId="087A2A64">
      <w:pPr>
        <w:widowControl/>
        <w:adjustRightInd w:val="0"/>
        <w:snapToGrid w:val="0"/>
        <w:spacing w:line="360" w:lineRule="auto"/>
        <w:ind w:firstLine="482" w:firstLineChars="200"/>
        <w:rPr>
          <w:b/>
          <w:kern w:val="0"/>
          <w:sz w:val="24"/>
          <w:szCs w:val="24"/>
        </w:rPr>
      </w:pPr>
      <w:r>
        <w:rPr>
          <w:rFonts w:hint="eastAsia"/>
          <w:b/>
          <w:kern w:val="0"/>
          <w:sz w:val="24"/>
          <w:szCs w:val="24"/>
        </w:rPr>
        <w:t>（四）基金托管人的内部控制制度</w:t>
      </w:r>
    </w:p>
    <w:p w14:paraId="51B8E9F0">
      <w:pPr>
        <w:widowControl/>
        <w:adjustRightInd w:val="0"/>
        <w:snapToGrid w:val="0"/>
        <w:spacing w:line="360" w:lineRule="auto"/>
        <w:ind w:firstLine="480" w:firstLineChars="200"/>
        <w:rPr>
          <w:kern w:val="0"/>
          <w:sz w:val="24"/>
          <w:szCs w:val="24"/>
        </w:rPr>
      </w:pPr>
      <w:r>
        <w:rPr>
          <w:rFonts w:hint="eastAsia"/>
          <w:kern w:val="0"/>
          <w:sz w:val="24"/>
          <w:szCs w:val="24"/>
        </w:rPr>
        <w:t>1、内部控制目标</w:t>
      </w:r>
    </w:p>
    <w:p w14:paraId="3DF36B16">
      <w:pPr>
        <w:widowControl/>
        <w:adjustRightInd w:val="0"/>
        <w:snapToGrid w:val="0"/>
        <w:spacing w:line="360" w:lineRule="auto"/>
        <w:ind w:firstLine="480" w:firstLineChars="200"/>
        <w:rPr>
          <w:kern w:val="0"/>
          <w:sz w:val="24"/>
          <w:szCs w:val="24"/>
        </w:rPr>
      </w:pPr>
      <w:r>
        <w:rPr>
          <w:rFonts w:hint="eastAsia"/>
          <w:kern w:val="0"/>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3E600F19">
      <w:pPr>
        <w:widowControl/>
        <w:adjustRightInd w:val="0"/>
        <w:snapToGrid w:val="0"/>
        <w:spacing w:line="360" w:lineRule="auto"/>
        <w:ind w:firstLine="480" w:firstLineChars="200"/>
        <w:rPr>
          <w:kern w:val="0"/>
          <w:sz w:val="24"/>
          <w:szCs w:val="24"/>
        </w:rPr>
      </w:pPr>
      <w:r>
        <w:rPr>
          <w:rFonts w:hint="eastAsia"/>
          <w:kern w:val="0"/>
          <w:sz w:val="24"/>
          <w:szCs w:val="24"/>
        </w:rPr>
        <w:t>2、内部控制组织结构</w:t>
      </w:r>
    </w:p>
    <w:p w14:paraId="062FFF56">
      <w:pPr>
        <w:widowControl/>
        <w:adjustRightInd w:val="0"/>
        <w:snapToGrid w:val="0"/>
        <w:spacing w:line="360" w:lineRule="auto"/>
        <w:ind w:firstLine="480" w:firstLineChars="200"/>
        <w:rPr>
          <w:kern w:val="0"/>
          <w:sz w:val="24"/>
          <w:szCs w:val="24"/>
        </w:rPr>
      </w:pPr>
      <w:r>
        <w:rPr>
          <w:rFonts w:hint="eastAsia"/>
          <w:kern w:val="0"/>
          <w:sz w:val="24"/>
          <w:szCs w:val="24"/>
        </w:rPr>
        <w:t>招商银行资产托管业务建立三级内部控制及风险防范体系：</w:t>
      </w:r>
    </w:p>
    <w:p w14:paraId="7A634421">
      <w:pPr>
        <w:widowControl/>
        <w:adjustRightInd w:val="0"/>
        <w:snapToGrid w:val="0"/>
        <w:spacing w:line="360" w:lineRule="auto"/>
        <w:ind w:firstLine="480" w:firstLineChars="200"/>
        <w:rPr>
          <w:kern w:val="0"/>
          <w:sz w:val="24"/>
          <w:szCs w:val="24"/>
        </w:rPr>
      </w:pPr>
      <w:r>
        <w:rPr>
          <w:rFonts w:hint="eastAsia"/>
          <w:kern w:val="0"/>
          <w:sz w:val="24"/>
          <w:szCs w:val="24"/>
        </w:rPr>
        <w:t>一级内部控制及风险防范是在招商银行总行风险管控层面对风险进行预防和控制；总行风险管理部、法律合规部、审计部独立对资产托管业务进行评估监督，并提出内控提升管理建议。</w:t>
      </w:r>
    </w:p>
    <w:p w14:paraId="4D39A78A">
      <w:pPr>
        <w:widowControl/>
        <w:adjustRightInd w:val="0"/>
        <w:snapToGrid w:val="0"/>
        <w:spacing w:line="360" w:lineRule="auto"/>
        <w:ind w:firstLine="480" w:firstLineChars="200"/>
        <w:rPr>
          <w:kern w:val="0"/>
          <w:sz w:val="24"/>
          <w:szCs w:val="24"/>
        </w:rPr>
      </w:pPr>
      <w:r>
        <w:rPr>
          <w:rFonts w:hint="eastAsia"/>
          <w:kern w:val="0"/>
          <w:sz w:val="24"/>
          <w:szCs w:val="24"/>
        </w:rPr>
        <w:t>二级内部控制及风险防范是招商银行资产托管部设立风险合规管理相关团队，负责部门内部风险预防和控制，及时发现内部控制缺陷，提出整改方案，跟踪整改情况，并直接向部门总经理室报告。</w:t>
      </w:r>
    </w:p>
    <w:p w14:paraId="37DD3538">
      <w:pPr>
        <w:widowControl/>
        <w:adjustRightInd w:val="0"/>
        <w:snapToGrid w:val="0"/>
        <w:spacing w:line="360" w:lineRule="auto"/>
        <w:ind w:firstLine="480" w:firstLineChars="200"/>
        <w:rPr>
          <w:kern w:val="0"/>
          <w:sz w:val="24"/>
          <w:szCs w:val="24"/>
        </w:rPr>
      </w:pPr>
      <w:r>
        <w:rPr>
          <w:rFonts w:hint="eastAsia"/>
          <w:kern w:val="0"/>
          <w:sz w:val="24"/>
          <w:szCs w:val="24"/>
        </w:rPr>
        <w:t>三级内部控制及风险防范是招商银行资产托管部在设置专业岗位时，遵循内控制衡原则，视业务的风险程度制定相应监督制衡机制。</w:t>
      </w:r>
    </w:p>
    <w:p w14:paraId="3C4F8840">
      <w:pPr>
        <w:widowControl/>
        <w:adjustRightInd w:val="0"/>
        <w:snapToGrid w:val="0"/>
        <w:spacing w:line="360" w:lineRule="auto"/>
        <w:ind w:firstLine="480" w:firstLineChars="200"/>
        <w:rPr>
          <w:kern w:val="0"/>
          <w:sz w:val="24"/>
          <w:szCs w:val="24"/>
        </w:rPr>
      </w:pPr>
      <w:r>
        <w:rPr>
          <w:rFonts w:hint="eastAsia"/>
          <w:kern w:val="0"/>
          <w:sz w:val="24"/>
          <w:szCs w:val="24"/>
        </w:rPr>
        <w:t>3、内部控制原则</w:t>
      </w:r>
    </w:p>
    <w:p w14:paraId="522AD019">
      <w:pPr>
        <w:widowControl/>
        <w:adjustRightInd w:val="0"/>
        <w:snapToGrid w:val="0"/>
        <w:spacing w:line="360" w:lineRule="auto"/>
        <w:ind w:firstLine="480" w:firstLineChars="200"/>
        <w:rPr>
          <w:kern w:val="0"/>
          <w:sz w:val="24"/>
          <w:szCs w:val="24"/>
        </w:rPr>
      </w:pPr>
      <w:r>
        <w:rPr>
          <w:rFonts w:hint="eastAsia"/>
          <w:kern w:val="0"/>
          <w:sz w:val="24"/>
          <w:szCs w:val="24"/>
        </w:rPr>
        <w:t>（1）全面性原则。内部控制覆盖各项业务过程和操作环节、覆盖所有团队和岗位，并由全部人员参与。</w:t>
      </w:r>
    </w:p>
    <w:p w14:paraId="4F7E288C">
      <w:pPr>
        <w:widowControl/>
        <w:adjustRightInd w:val="0"/>
        <w:snapToGrid w:val="0"/>
        <w:spacing w:line="360" w:lineRule="auto"/>
        <w:ind w:firstLine="480" w:firstLineChars="200"/>
        <w:rPr>
          <w:kern w:val="0"/>
          <w:sz w:val="24"/>
          <w:szCs w:val="24"/>
        </w:rPr>
      </w:pPr>
      <w:r>
        <w:rPr>
          <w:rFonts w:hint="eastAsia"/>
          <w:kern w:val="0"/>
          <w:sz w:val="24"/>
          <w:szCs w:val="24"/>
        </w:rPr>
        <w:t>（2）审慎性原则。托管组织体系的构成、内部管理制度的建立均以防范风险、审慎经营为出发点，体现“内控优先”的要求。</w:t>
      </w:r>
    </w:p>
    <w:p w14:paraId="35E6580E">
      <w:pPr>
        <w:widowControl/>
        <w:adjustRightInd w:val="0"/>
        <w:snapToGrid w:val="0"/>
        <w:spacing w:line="360" w:lineRule="auto"/>
        <w:ind w:firstLine="480" w:firstLineChars="200"/>
        <w:rPr>
          <w:kern w:val="0"/>
          <w:sz w:val="24"/>
          <w:szCs w:val="24"/>
        </w:rPr>
      </w:pPr>
      <w:r>
        <w:rPr>
          <w:rFonts w:hint="eastAsia"/>
          <w:kern w:val="0"/>
          <w:sz w:val="24"/>
          <w:szCs w:val="24"/>
        </w:rPr>
        <w:t>（3）独立性原则。招商银行资产托管部各团队、各岗位职责保持相对独立，不同托管资产之间、托管资产和自有资产之间相互分离。内部控制的检查、评价部门独立于内部控制的建立和执行部门。</w:t>
      </w:r>
    </w:p>
    <w:p w14:paraId="60CCD8B7">
      <w:pPr>
        <w:widowControl/>
        <w:adjustRightInd w:val="0"/>
        <w:snapToGrid w:val="0"/>
        <w:spacing w:line="360" w:lineRule="auto"/>
        <w:ind w:firstLine="480" w:firstLineChars="200"/>
        <w:rPr>
          <w:kern w:val="0"/>
          <w:sz w:val="24"/>
          <w:szCs w:val="24"/>
        </w:rPr>
      </w:pPr>
      <w:r>
        <w:rPr>
          <w:rFonts w:hint="eastAsia"/>
          <w:kern w:val="0"/>
          <w:sz w:val="24"/>
          <w:szCs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2DA2D732">
      <w:pPr>
        <w:widowControl/>
        <w:adjustRightInd w:val="0"/>
        <w:snapToGrid w:val="0"/>
        <w:spacing w:line="360" w:lineRule="auto"/>
        <w:ind w:firstLine="480" w:firstLineChars="200"/>
        <w:rPr>
          <w:kern w:val="0"/>
          <w:sz w:val="24"/>
          <w:szCs w:val="24"/>
        </w:rPr>
      </w:pPr>
      <w:r>
        <w:rPr>
          <w:rFonts w:hint="eastAsia"/>
          <w:kern w:val="0"/>
          <w:sz w:val="24"/>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5B267686">
      <w:pPr>
        <w:widowControl/>
        <w:adjustRightInd w:val="0"/>
        <w:snapToGrid w:val="0"/>
        <w:spacing w:line="360" w:lineRule="auto"/>
        <w:ind w:firstLine="480" w:firstLineChars="200"/>
        <w:rPr>
          <w:kern w:val="0"/>
          <w:sz w:val="24"/>
          <w:szCs w:val="24"/>
        </w:rPr>
      </w:pPr>
      <w:r>
        <w:rPr>
          <w:rFonts w:hint="eastAsia"/>
          <w:kern w:val="0"/>
          <w:sz w:val="24"/>
          <w:szCs w:val="24"/>
        </w:rPr>
        <w:t>（6）防火墙原则。招商银行资产托管部办公场地与招商银行其他业务场地隔离，办公网和业务网物理分离，部门业务网和全行业务网防火墙策略分离，以达到风险防范的目的。</w:t>
      </w:r>
    </w:p>
    <w:p w14:paraId="6D9DD8F4">
      <w:pPr>
        <w:widowControl/>
        <w:adjustRightInd w:val="0"/>
        <w:snapToGrid w:val="0"/>
        <w:spacing w:line="360" w:lineRule="auto"/>
        <w:ind w:firstLine="480" w:firstLineChars="200"/>
        <w:rPr>
          <w:kern w:val="0"/>
          <w:sz w:val="24"/>
          <w:szCs w:val="24"/>
        </w:rPr>
      </w:pPr>
      <w:r>
        <w:rPr>
          <w:rFonts w:hint="eastAsia"/>
          <w:kern w:val="0"/>
          <w:sz w:val="24"/>
          <w:szCs w:val="24"/>
        </w:rPr>
        <w:t>（7）重要性原则。内部控制在实现全面控制的基础上，关注重要托管业务重要事项和高风险环节。</w:t>
      </w:r>
    </w:p>
    <w:p w14:paraId="5B990685">
      <w:pPr>
        <w:widowControl/>
        <w:adjustRightInd w:val="0"/>
        <w:snapToGrid w:val="0"/>
        <w:spacing w:line="360" w:lineRule="auto"/>
        <w:ind w:firstLine="480" w:firstLineChars="200"/>
        <w:rPr>
          <w:kern w:val="0"/>
          <w:sz w:val="24"/>
          <w:szCs w:val="24"/>
        </w:rPr>
      </w:pPr>
      <w:r>
        <w:rPr>
          <w:rFonts w:hint="eastAsia"/>
          <w:kern w:val="0"/>
          <w:sz w:val="24"/>
          <w:szCs w:val="24"/>
        </w:rPr>
        <w:t>（8）制衡性原则。内部控制能够实现在托管组织体系、机构设置、权责分配及业务流程等方面相互制约、相互监督，同时兼顾运营效率。</w:t>
      </w:r>
    </w:p>
    <w:p w14:paraId="189BFC27">
      <w:pPr>
        <w:widowControl/>
        <w:adjustRightInd w:val="0"/>
        <w:snapToGrid w:val="0"/>
        <w:spacing w:line="360" w:lineRule="auto"/>
        <w:ind w:firstLine="480" w:firstLineChars="200"/>
        <w:rPr>
          <w:kern w:val="0"/>
          <w:sz w:val="24"/>
          <w:szCs w:val="24"/>
        </w:rPr>
      </w:pPr>
      <w:r>
        <w:rPr>
          <w:rFonts w:hint="eastAsia"/>
          <w:kern w:val="0"/>
          <w:sz w:val="24"/>
          <w:szCs w:val="24"/>
        </w:rPr>
        <w:t>4、内部控制措施</w:t>
      </w:r>
    </w:p>
    <w:p w14:paraId="332523DC">
      <w:pPr>
        <w:widowControl/>
        <w:adjustRightInd w:val="0"/>
        <w:snapToGrid w:val="0"/>
        <w:spacing w:line="360" w:lineRule="auto"/>
        <w:ind w:firstLine="480" w:firstLineChars="200"/>
        <w:rPr>
          <w:kern w:val="0"/>
          <w:sz w:val="24"/>
          <w:szCs w:val="24"/>
        </w:rPr>
      </w:pPr>
      <w:r>
        <w:rPr>
          <w:rFonts w:hint="eastAsia"/>
          <w:kern w:val="0"/>
          <w:sz w:val="24"/>
          <w:szCs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32DD7189">
      <w:pPr>
        <w:widowControl/>
        <w:adjustRightInd w:val="0"/>
        <w:snapToGrid w:val="0"/>
        <w:spacing w:line="360" w:lineRule="auto"/>
        <w:ind w:firstLine="480" w:firstLineChars="200"/>
        <w:rPr>
          <w:kern w:val="0"/>
          <w:sz w:val="24"/>
          <w:szCs w:val="24"/>
        </w:rPr>
      </w:pPr>
      <w:r>
        <w:rPr>
          <w:rFonts w:hint="eastAsia"/>
          <w:kern w:val="0"/>
          <w:sz w:val="24"/>
          <w:szCs w:val="24"/>
        </w:rPr>
        <w:t>（2）业务信息风险控制。招商银行资产托管部在数据传输和保存方面有严格的加密和备份措施，采用加密、直连方式传输数据，数据执行异地实时备份，所有的业务信息须经过严格的授权方能进行访问。</w:t>
      </w:r>
    </w:p>
    <w:p w14:paraId="74595A9A">
      <w:pPr>
        <w:widowControl/>
        <w:adjustRightInd w:val="0"/>
        <w:snapToGrid w:val="0"/>
        <w:spacing w:line="360" w:lineRule="auto"/>
        <w:ind w:firstLine="480" w:firstLineChars="200"/>
        <w:rPr>
          <w:kern w:val="0"/>
          <w:sz w:val="24"/>
          <w:szCs w:val="24"/>
        </w:rPr>
      </w:pPr>
      <w:r>
        <w:rPr>
          <w:rFonts w:hint="eastAsia"/>
          <w:kern w:val="0"/>
          <w:sz w:val="24"/>
          <w:szCs w:val="24"/>
        </w:rPr>
        <w:t>（3）客户资料风险控制。招商银行资产托管部对业务办理过程中获取的客户资料严格保密，除法律法规和其他有关规定、监管机构及审计要求外，不向任何机构、部门或个人泄露。</w:t>
      </w:r>
    </w:p>
    <w:p w14:paraId="22F5AAE0">
      <w:pPr>
        <w:widowControl/>
        <w:adjustRightInd w:val="0"/>
        <w:snapToGrid w:val="0"/>
        <w:spacing w:line="360" w:lineRule="auto"/>
        <w:ind w:firstLine="480" w:firstLineChars="200"/>
        <w:rPr>
          <w:kern w:val="0"/>
          <w:sz w:val="24"/>
          <w:szCs w:val="24"/>
        </w:rPr>
      </w:pPr>
      <w:r>
        <w:rPr>
          <w:rFonts w:hint="eastAsia"/>
          <w:kern w:val="0"/>
          <w:sz w:val="24"/>
          <w:szCs w:val="24"/>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45A920A0">
      <w:pPr>
        <w:widowControl/>
        <w:adjustRightInd w:val="0"/>
        <w:snapToGrid w:val="0"/>
        <w:spacing w:line="360" w:lineRule="auto"/>
        <w:ind w:firstLine="480" w:firstLineChars="200"/>
        <w:rPr>
          <w:kern w:val="0"/>
          <w:sz w:val="24"/>
          <w:szCs w:val="24"/>
        </w:rPr>
      </w:pPr>
      <w:r>
        <w:rPr>
          <w:rFonts w:hint="eastAsia"/>
          <w:kern w:val="0"/>
          <w:sz w:val="24"/>
          <w:szCs w:val="24"/>
        </w:rPr>
        <w:t>（5）人力资源控制。招商银行资产托管部通过建立良好的企业文化和员工培训、激励机制、加强人力资源管理及建立人才梯级队伍及人才储备机制，有效地进行人力资源管理。</w:t>
      </w:r>
    </w:p>
    <w:p w14:paraId="04557E62">
      <w:pPr>
        <w:widowControl/>
        <w:adjustRightInd w:val="0"/>
        <w:snapToGrid w:val="0"/>
        <w:spacing w:line="360" w:lineRule="auto"/>
        <w:ind w:firstLine="482" w:firstLineChars="200"/>
        <w:rPr>
          <w:b/>
          <w:bCs/>
          <w:kern w:val="0"/>
          <w:sz w:val="24"/>
          <w:szCs w:val="24"/>
        </w:rPr>
      </w:pPr>
      <w:r>
        <w:rPr>
          <w:rFonts w:hint="eastAsia"/>
          <w:b/>
          <w:bCs/>
          <w:kern w:val="0"/>
          <w:sz w:val="24"/>
          <w:szCs w:val="24"/>
        </w:rPr>
        <w:t>（五）基金托管人对基金管理人运作基金进行监督的方法和程序</w:t>
      </w:r>
    </w:p>
    <w:p w14:paraId="5EDE2A6D">
      <w:pPr>
        <w:widowControl/>
        <w:adjustRightInd w:val="0"/>
        <w:snapToGrid w:val="0"/>
        <w:spacing w:line="360" w:lineRule="auto"/>
        <w:ind w:firstLine="480" w:firstLineChars="200"/>
        <w:rPr>
          <w:kern w:val="0"/>
          <w:sz w:val="24"/>
          <w:szCs w:val="24"/>
        </w:rPr>
      </w:pPr>
      <w:r>
        <w:rPr>
          <w:rFonts w:hint="eastAsia"/>
          <w:kern w:val="0"/>
          <w:sz w:val="24"/>
          <w:szCs w:val="24"/>
        </w:rPr>
        <w:t>根据《基金法》、《运作办法》等有关法律法规的规定及基金合同、托管协议的约定，对基金投资范围、投资比例、投资组合等情况的合法性、合规性进行监督和核查。</w:t>
      </w:r>
    </w:p>
    <w:p w14:paraId="0C0E739D">
      <w:pPr>
        <w:widowControl/>
        <w:adjustRightInd w:val="0"/>
        <w:snapToGrid w:val="0"/>
        <w:spacing w:line="360" w:lineRule="auto"/>
        <w:ind w:firstLine="480" w:firstLineChars="200"/>
        <w:rPr>
          <w:kern w:val="0"/>
          <w:sz w:val="24"/>
          <w:szCs w:val="24"/>
        </w:rPr>
      </w:pPr>
      <w:r>
        <w:rPr>
          <w:rFonts w:hint="eastAsia"/>
          <w:kern w:val="0"/>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2176039C">
      <w:pPr>
        <w:adjustRightInd w:val="0"/>
        <w:snapToGrid w:val="0"/>
        <w:spacing w:line="360" w:lineRule="auto"/>
        <w:ind w:firstLine="480" w:firstLineChars="200"/>
        <w:rPr>
          <w:bCs/>
          <w:kern w:val="0"/>
          <w:sz w:val="24"/>
          <w:szCs w:val="24"/>
        </w:rPr>
      </w:pPr>
      <w:r>
        <w:rPr>
          <w:rFonts w:hint="eastAsia"/>
          <w:kern w:val="0"/>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4F868FB2">
      <w:pPr>
        <w:widowControl/>
        <w:adjustRightInd w:val="0"/>
        <w:snapToGrid w:val="0"/>
        <w:spacing w:before="143" w:beforeLines="50" w:after="143" w:afterLines="50" w:line="360" w:lineRule="auto"/>
        <w:ind w:firstLine="602" w:firstLineChars="200"/>
        <w:jc w:val="center"/>
        <w:outlineLvl w:val="0"/>
        <w:rPr>
          <w:rFonts w:hint="eastAsia" w:ascii="宋体" w:hAnsi="宋体"/>
          <w:b/>
          <w:kern w:val="0"/>
          <w:sz w:val="30"/>
        </w:rPr>
      </w:pPr>
      <w:bookmarkStart w:id="14" w:name="_Toc109537383"/>
      <w:r>
        <w:rPr>
          <w:rFonts w:ascii="宋体" w:hAnsi="宋体"/>
          <w:b/>
          <w:kern w:val="0"/>
          <w:sz w:val="30"/>
        </w:rPr>
        <w:br w:type="page"/>
      </w:r>
      <w:bookmarkStart w:id="15" w:name="_Toc56690585"/>
      <w:r>
        <w:rPr>
          <w:rFonts w:hint="eastAsia" w:ascii="宋体" w:hAnsi="宋体"/>
          <w:b/>
          <w:kern w:val="0"/>
          <w:sz w:val="30"/>
        </w:rPr>
        <w:t>五、相关服务机构</w:t>
      </w:r>
      <w:bookmarkEnd w:id="14"/>
      <w:bookmarkEnd w:id="15"/>
    </w:p>
    <w:p w14:paraId="5D3EBD86">
      <w:pPr>
        <w:widowControl/>
        <w:adjustRightInd w:val="0"/>
        <w:snapToGrid w:val="0"/>
        <w:spacing w:line="360" w:lineRule="auto"/>
        <w:ind w:firstLine="482" w:firstLineChars="200"/>
        <w:rPr>
          <w:b/>
          <w:kern w:val="0"/>
          <w:sz w:val="24"/>
        </w:rPr>
      </w:pPr>
      <w:r>
        <w:rPr>
          <w:rFonts w:hAnsi="宋体"/>
          <w:b/>
          <w:kern w:val="0"/>
          <w:sz w:val="24"/>
        </w:rPr>
        <w:t>（一）基金份额销售机构</w:t>
      </w:r>
    </w:p>
    <w:p w14:paraId="005A721A">
      <w:pPr>
        <w:adjustRightInd w:val="0"/>
        <w:snapToGrid w:val="0"/>
        <w:spacing w:line="360" w:lineRule="auto"/>
        <w:ind w:firstLine="465"/>
        <w:rPr>
          <w:rFonts w:hint="eastAsia" w:hAnsi="宋体"/>
          <w:sz w:val="24"/>
        </w:rPr>
      </w:pPr>
      <w:r>
        <w:rPr>
          <w:rFonts w:hAnsi="宋体"/>
          <w:sz w:val="24"/>
        </w:rPr>
        <w:t>1、直销机构</w:t>
      </w:r>
    </w:p>
    <w:p w14:paraId="39629A83">
      <w:pPr>
        <w:adjustRightInd w:val="0"/>
        <w:snapToGrid w:val="0"/>
        <w:spacing w:line="360" w:lineRule="auto"/>
        <w:ind w:firstLine="465"/>
        <w:rPr>
          <w:rFonts w:hint="eastAsia"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14:paraId="752AA9D9">
      <w:pPr>
        <w:adjustRightInd w:val="0"/>
        <w:snapToGrid w:val="0"/>
        <w:spacing w:line="360" w:lineRule="auto"/>
        <w:ind w:firstLine="465"/>
        <w:rPr>
          <w:rFonts w:hint="eastAsia" w:hAnsi="宋体"/>
          <w:sz w:val="24"/>
        </w:rPr>
      </w:pPr>
      <w:r>
        <w:rPr>
          <w:rFonts w:hAnsi="宋体"/>
          <w:sz w:val="24"/>
        </w:rPr>
        <w:t>名称：</w:t>
      </w:r>
      <w:r>
        <w:rPr>
          <w:rFonts w:hint="eastAsia" w:hAnsi="宋体"/>
          <w:sz w:val="24"/>
        </w:rPr>
        <w:t>交银施罗德基金管理有限公司</w:t>
      </w:r>
    </w:p>
    <w:p w14:paraId="58F67C40">
      <w:pPr>
        <w:adjustRightInd w:val="0"/>
        <w:snapToGrid w:val="0"/>
        <w:spacing w:line="360" w:lineRule="auto"/>
        <w:ind w:firstLine="465"/>
        <w:rPr>
          <w:rFonts w:hint="eastAsia"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14:paraId="3C6ABDD7">
      <w:pPr>
        <w:adjustRightInd w:val="0"/>
        <w:snapToGrid w:val="0"/>
        <w:spacing w:line="360" w:lineRule="auto"/>
        <w:ind w:firstLine="465"/>
        <w:rPr>
          <w:rFonts w:hint="eastAsia" w:hAnsi="宋体"/>
          <w:sz w:val="24"/>
        </w:rPr>
      </w:pPr>
      <w:r>
        <w:rPr>
          <w:rFonts w:hAnsi="宋体"/>
          <w:sz w:val="24"/>
        </w:rPr>
        <w:t>办公地址：</w:t>
      </w:r>
      <w:r>
        <w:rPr>
          <w:rFonts w:hint="eastAsia" w:hAnsi="宋体"/>
          <w:sz w:val="24"/>
        </w:rPr>
        <w:t>上海市浦东新区世纪大道8号国金中心二期21-22楼</w:t>
      </w:r>
    </w:p>
    <w:p w14:paraId="254D255B">
      <w:pPr>
        <w:adjustRightInd w:val="0"/>
        <w:snapToGrid w:val="0"/>
        <w:spacing w:line="360" w:lineRule="auto"/>
        <w:ind w:firstLine="465"/>
        <w:rPr>
          <w:rFonts w:hint="eastAsia" w:hAnsi="宋体" w:eastAsia="宋体"/>
          <w:sz w:val="24"/>
          <w:lang w:eastAsia="zh-CN"/>
        </w:rPr>
      </w:pPr>
      <w:r>
        <w:rPr>
          <w:rFonts w:hAnsi="宋体"/>
          <w:sz w:val="24"/>
        </w:rPr>
        <w:t>法定代表人：</w:t>
      </w:r>
      <w:r>
        <w:rPr>
          <w:rFonts w:hint="eastAsia" w:hAnsi="宋体"/>
          <w:sz w:val="24"/>
          <w:lang w:eastAsia="zh-CN"/>
        </w:rPr>
        <w:t>袁庆伟（代任）</w:t>
      </w:r>
    </w:p>
    <w:p w14:paraId="15BE5563">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14:paraId="6408BEF8">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14:paraId="36037502">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14:paraId="47AD748F">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14:paraId="10513664">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14:paraId="43BD32D7">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14:paraId="4C22084D">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14:paraId="3E1AF564">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HYPERLINK "http://www.jysld.com"</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14:paraId="5BC8CCF7">
      <w:pPr>
        <w:adjustRightInd w:val="0"/>
        <w:snapToGrid w:val="0"/>
        <w:spacing w:line="360" w:lineRule="auto"/>
        <w:ind w:firstLine="480" w:firstLineChars="200"/>
        <w:rPr>
          <w:sz w:val="24"/>
        </w:rPr>
      </w:pPr>
      <w:r>
        <w:rPr>
          <w:rFonts w:hint="eastAsia"/>
          <w:sz w:val="24"/>
        </w:rPr>
        <w:t>2、除基金管理人之外的其他销售机构</w:t>
      </w:r>
    </w:p>
    <w:p w14:paraId="28F17B43">
      <w:pPr>
        <w:adjustRightInd w:val="0"/>
        <w:snapToGrid w:val="0"/>
        <w:spacing w:line="360" w:lineRule="auto"/>
        <w:ind w:firstLine="480" w:firstLineChars="200"/>
        <w:rPr>
          <w:rFonts w:hAnsi="宋体"/>
          <w:kern w:val="0"/>
          <w:sz w:val="24"/>
        </w:rPr>
      </w:pPr>
      <w:r>
        <w:rPr>
          <w:rFonts w:hint="default" w:hAnsi="宋体"/>
          <w:kern w:val="0"/>
          <w:sz w:val="24"/>
          <w:lang w:val="en-US"/>
        </w:rPr>
        <w:t>本基金目前仅通过直销机构进行发售</w:t>
      </w:r>
      <w:r>
        <w:rPr>
          <w:rFonts w:hint="eastAsia" w:hAnsi="宋体"/>
          <w:kern w:val="0"/>
          <w:sz w:val="24"/>
        </w:rPr>
        <w:t>。</w:t>
      </w:r>
    </w:p>
    <w:p w14:paraId="64B76B89">
      <w:pPr>
        <w:adjustRightInd w:val="0"/>
        <w:snapToGrid w:val="0"/>
        <w:spacing w:line="360" w:lineRule="auto"/>
        <w:ind w:firstLine="480" w:firstLineChars="200"/>
        <w:rPr>
          <w:rFonts w:hint="eastAsia" w:hAnsi="宋体"/>
          <w:sz w:val="24"/>
        </w:rPr>
      </w:pPr>
      <w:r>
        <w:rPr>
          <w:rFonts w:hint="eastAsia" w:hAnsi="宋体"/>
          <w:sz w:val="24"/>
        </w:rPr>
        <w:t>基金管理人可根据有关法律法规的要求，选择其它符合要求的机构销售本基金，</w:t>
      </w:r>
      <w:r>
        <w:rPr>
          <w:rFonts w:hint="eastAsia"/>
          <w:bCs/>
          <w:sz w:val="24"/>
        </w:rPr>
        <w:t>并在基金管理人网站公示</w:t>
      </w:r>
      <w:r>
        <w:rPr>
          <w:rFonts w:hint="eastAsia" w:hAnsi="宋体"/>
          <w:sz w:val="24"/>
        </w:rPr>
        <w:t>。</w:t>
      </w:r>
    </w:p>
    <w:p w14:paraId="5238EE94">
      <w:pPr>
        <w:widowControl/>
        <w:adjustRightInd w:val="0"/>
        <w:snapToGrid w:val="0"/>
        <w:spacing w:line="360" w:lineRule="auto"/>
        <w:ind w:firstLine="482" w:firstLineChars="200"/>
        <w:rPr>
          <w:b/>
          <w:kern w:val="0"/>
          <w:sz w:val="24"/>
        </w:rPr>
      </w:pPr>
      <w:r>
        <w:rPr>
          <w:rFonts w:hAnsi="宋体"/>
          <w:b/>
          <w:kern w:val="0"/>
          <w:sz w:val="24"/>
        </w:rPr>
        <w:t>（二）登记机构</w:t>
      </w:r>
    </w:p>
    <w:p w14:paraId="24AF6273">
      <w:pPr>
        <w:adjustRightInd w:val="0"/>
        <w:snapToGrid w:val="0"/>
        <w:spacing w:line="360" w:lineRule="auto"/>
        <w:ind w:firstLine="480" w:firstLineChars="200"/>
        <w:rPr>
          <w:rFonts w:hint="eastAsia" w:hAnsi="宋体"/>
          <w:kern w:val="0"/>
          <w:sz w:val="24"/>
        </w:rPr>
      </w:pPr>
      <w:r>
        <w:rPr>
          <w:rFonts w:hint="eastAsia" w:hAnsi="宋体"/>
          <w:kern w:val="0"/>
          <w:sz w:val="24"/>
        </w:rPr>
        <w:t>名称：交银施罗德基金管理有限公司</w:t>
      </w:r>
    </w:p>
    <w:p w14:paraId="19E206FA">
      <w:pPr>
        <w:adjustRightInd w:val="0"/>
        <w:snapToGrid w:val="0"/>
        <w:spacing w:line="360" w:lineRule="auto"/>
        <w:ind w:firstLine="480" w:firstLineChars="200"/>
        <w:rPr>
          <w:rFonts w:hint="eastAsia" w:hAnsi="宋体"/>
          <w:kern w:val="0"/>
          <w:sz w:val="24"/>
        </w:rPr>
      </w:pPr>
      <w:r>
        <w:rPr>
          <w:rFonts w:hint="eastAsia" w:hAnsi="宋体"/>
          <w:kern w:val="0"/>
          <w:sz w:val="24"/>
        </w:rPr>
        <w:t>住所：中国（上海）自由贸易试验区银城中路188号交通银行大楼二层（裙）</w:t>
      </w:r>
    </w:p>
    <w:p w14:paraId="0F835D36">
      <w:pPr>
        <w:adjustRightInd w:val="0"/>
        <w:snapToGrid w:val="0"/>
        <w:spacing w:line="360" w:lineRule="auto"/>
        <w:ind w:firstLine="480" w:firstLineChars="200"/>
        <w:rPr>
          <w:rFonts w:hint="eastAsia" w:hAnsi="宋体"/>
          <w:kern w:val="0"/>
          <w:sz w:val="24"/>
        </w:rPr>
      </w:pPr>
      <w:r>
        <w:rPr>
          <w:rFonts w:hint="eastAsia" w:hAnsi="宋体"/>
          <w:kern w:val="0"/>
          <w:sz w:val="24"/>
        </w:rPr>
        <w:t>办公地址：上海市浦东新区世纪大道8号国金中心二期21-22楼</w:t>
      </w:r>
    </w:p>
    <w:p w14:paraId="09B827D6">
      <w:pPr>
        <w:adjustRightInd w:val="0"/>
        <w:snapToGrid w:val="0"/>
        <w:spacing w:line="360" w:lineRule="auto"/>
        <w:ind w:firstLine="480" w:firstLineChars="200"/>
        <w:rPr>
          <w:rFonts w:hint="eastAsia" w:hAnsi="宋体" w:eastAsia="宋体"/>
          <w:kern w:val="0"/>
          <w:sz w:val="24"/>
          <w:lang w:eastAsia="zh-CN"/>
        </w:rPr>
      </w:pPr>
      <w:r>
        <w:rPr>
          <w:rFonts w:hint="eastAsia" w:hAnsi="宋体"/>
          <w:kern w:val="0"/>
          <w:sz w:val="24"/>
        </w:rPr>
        <w:t>法定代表人：</w:t>
      </w:r>
      <w:r>
        <w:rPr>
          <w:rFonts w:hint="eastAsia" w:hAnsi="宋体"/>
          <w:kern w:val="0"/>
          <w:sz w:val="24"/>
          <w:lang w:eastAsia="zh-CN"/>
        </w:rPr>
        <w:t>袁庆伟（代任）</w:t>
      </w:r>
    </w:p>
    <w:p w14:paraId="70200167">
      <w:pPr>
        <w:adjustRightInd w:val="0"/>
        <w:snapToGrid w:val="0"/>
        <w:spacing w:line="360" w:lineRule="auto"/>
        <w:ind w:firstLine="480" w:firstLineChars="200"/>
        <w:rPr>
          <w:rFonts w:hint="eastAsia" w:hAnsi="宋体"/>
          <w:kern w:val="0"/>
          <w:sz w:val="24"/>
        </w:rPr>
      </w:pPr>
      <w:r>
        <w:rPr>
          <w:rFonts w:hint="eastAsia" w:hAnsi="宋体"/>
          <w:kern w:val="0"/>
          <w:sz w:val="24"/>
        </w:rPr>
        <w:t>电话：（021）61055461</w:t>
      </w:r>
    </w:p>
    <w:p w14:paraId="0313C8DE">
      <w:pPr>
        <w:adjustRightInd w:val="0"/>
        <w:snapToGrid w:val="0"/>
        <w:spacing w:line="360" w:lineRule="auto"/>
        <w:ind w:firstLine="480" w:firstLineChars="200"/>
        <w:rPr>
          <w:rFonts w:hint="eastAsia" w:hAnsi="宋体"/>
          <w:kern w:val="0"/>
          <w:sz w:val="24"/>
        </w:rPr>
      </w:pPr>
      <w:r>
        <w:rPr>
          <w:rFonts w:hint="eastAsia" w:hAnsi="宋体"/>
          <w:kern w:val="0"/>
          <w:sz w:val="24"/>
        </w:rPr>
        <w:t>传真：（021）61055064</w:t>
      </w:r>
    </w:p>
    <w:p w14:paraId="03376562">
      <w:pPr>
        <w:adjustRightInd w:val="0"/>
        <w:snapToGrid w:val="0"/>
        <w:spacing w:line="360" w:lineRule="auto"/>
        <w:ind w:firstLine="480" w:firstLineChars="200"/>
        <w:rPr>
          <w:kern w:val="0"/>
          <w:sz w:val="24"/>
        </w:rPr>
      </w:pPr>
      <w:r>
        <w:rPr>
          <w:rFonts w:hint="eastAsia" w:hAnsi="宋体"/>
          <w:kern w:val="0"/>
          <w:sz w:val="24"/>
        </w:rPr>
        <w:t>联系人：陈方强</w:t>
      </w:r>
    </w:p>
    <w:p w14:paraId="289D573B">
      <w:pPr>
        <w:widowControl/>
        <w:adjustRightInd w:val="0"/>
        <w:snapToGrid w:val="0"/>
        <w:spacing w:line="360" w:lineRule="auto"/>
        <w:ind w:firstLine="482" w:firstLineChars="200"/>
        <w:rPr>
          <w:b/>
          <w:kern w:val="0"/>
          <w:sz w:val="24"/>
        </w:rPr>
      </w:pPr>
      <w:r>
        <w:rPr>
          <w:rFonts w:hAnsi="宋体"/>
          <w:b/>
          <w:kern w:val="0"/>
          <w:sz w:val="24"/>
        </w:rPr>
        <w:t>（三）出具法律意见书的律师事务所</w:t>
      </w:r>
    </w:p>
    <w:p w14:paraId="5B74B7F3">
      <w:pPr>
        <w:widowControl/>
        <w:adjustRightInd w:val="0"/>
        <w:snapToGrid w:val="0"/>
        <w:spacing w:line="360" w:lineRule="auto"/>
        <w:ind w:firstLine="480" w:firstLineChars="200"/>
        <w:rPr>
          <w:kern w:val="0"/>
          <w:sz w:val="24"/>
        </w:rPr>
      </w:pPr>
      <w:r>
        <w:rPr>
          <w:rFonts w:hint="eastAsia" w:hAnsi="宋体"/>
          <w:kern w:val="0"/>
          <w:sz w:val="24"/>
        </w:rPr>
        <w:t>名称：上海市通力律师事务所</w:t>
      </w:r>
    </w:p>
    <w:p w14:paraId="230C9725">
      <w:pPr>
        <w:widowControl/>
        <w:adjustRightInd w:val="0"/>
        <w:snapToGrid w:val="0"/>
        <w:spacing w:line="360" w:lineRule="auto"/>
        <w:ind w:firstLine="480" w:firstLineChars="200"/>
        <w:rPr>
          <w:kern w:val="0"/>
          <w:sz w:val="24"/>
        </w:rPr>
      </w:pPr>
      <w:r>
        <w:rPr>
          <w:rFonts w:hint="eastAsia" w:hAnsi="宋体"/>
          <w:kern w:val="0"/>
          <w:sz w:val="24"/>
        </w:rPr>
        <w:t>住所：上海市银城中路</w:t>
      </w:r>
      <w:r>
        <w:rPr>
          <w:kern w:val="0"/>
          <w:sz w:val="24"/>
        </w:rPr>
        <w:t>68</w:t>
      </w:r>
      <w:r>
        <w:rPr>
          <w:rFonts w:hint="eastAsia" w:hAnsi="宋体"/>
          <w:kern w:val="0"/>
          <w:sz w:val="24"/>
        </w:rPr>
        <w:t>号时代金融中心</w:t>
      </w:r>
      <w:r>
        <w:rPr>
          <w:kern w:val="0"/>
          <w:sz w:val="24"/>
        </w:rPr>
        <w:t>19</w:t>
      </w:r>
      <w:r>
        <w:rPr>
          <w:rFonts w:hint="eastAsia" w:hAnsi="宋体"/>
          <w:kern w:val="0"/>
          <w:sz w:val="24"/>
        </w:rPr>
        <w:t>楼</w:t>
      </w:r>
    </w:p>
    <w:p w14:paraId="64B840A6">
      <w:pPr>
        <w:widowControl/>
        <w:adjustRightInd w:val="0"/>
        <w:snapToGrid w:val="0"/>
        <w:spacing w:line="360" w:lineRule="auto"/>
        <w:ind w:firstLine="480" w:firstLineChars="200"/>
        <w:rPr>
          <w:kern w:val="0"/>
          <w:sz w:val="24"/>
        </w:rPr>
      </w:pPr>
      <w:r>
        <w:rPr>
          <w:rFonts w:hint="eastAsia" w:hAnsi="宋体"/>
          <w:kern w:val="0"/>
          <w:sz w:val="24"/>
        </w:rPr>
        <w:t>办公地址：上海市银城中路</w:t>
      </w:r>
      <w:r>
        <w:rPr>
          <w:kern w:val="0"/>
          <w:sz w:val="24"/>
        </w:rPr>
        <w:t>68</w:t>
      </w:r>
      <w:r>
        <w:rPr>
          <w:rFonts w:hint="eastAsia" w:hAnsi="宋体"/>
          <w:kern w:val="0"/>
          <w:sz w:val="24"/>
        </w:rPr>
        <w:t>号时代金融中心</w:t>
      </w:r>
      <w:r>
        <w:rPr>
          <w:kern w:val="0"/>
          <w:sz w:val="24"/>
        </w:rPr>
        <w:t>1</w:t>
      </w:r>
      <w:r>
        <w:rPr>
          <w:rFonts w:hint="eastAsia"/>
          <w:kern w:val="0"/>
          <w:sz w:val="24"/>
        </w:rPr>
        <w:t>8</w:t>
      </w:r>
      <w:r>
        <w:rPr>
          <w:kern w:val="0"/>
          <w:sz w:val="24"/>
        </w:rPr>
        <w:t>-20</w:t>
      </w:r>
      <w:r>
        <w:rPr>
          <w:rFonts w:hint="eastAsia" w:hAnsi="宋体"/>
          <w:kern w:val="0"/>
          <w:sz w:val="24"/>
        </w:rPr>
        <w:t>楼</w:t>
      </w:r>
    </w:p>
    <w:p w14:paraId="19C0A52D">
      <w:pPr>
        <w:widowControl/>
        <w:adjustRightInd w:val="0"/>
        <w:snapToGrid w:val="0"/>
        <w:spacing w:line="360" w:lineRule="auto"/>
        <w:ind w:firstLine="480" w:firstLineChars="200"/>
        <w:rPr>
          <w:kern w:val="0"/>
          <w:sz w:val="24"/>
        </w:rPr>
      </w:pPr>
      <w:r>
        <w:rPr>
          <w:rFonts w:hint="eastAsia" w:hAnsi="宋体"/>
          <w:kern w:val="0"/>
          <w:sz w:val="24"/>
        </w:rPr>
        <w:t>负责人：陈臻</w:t>
      </w:r>
    </w:p>
    <w:p w14:paraId="6261D888">
      <w:pPr>
        <w:widowControl/>
        <w:adjustRightInd w:val="0"/>
        <w:snapToGrid w:val="0"/>
        <w:spacing w:line="360" w:lineRule="auto"/>
        <w:ind w:firstLine="480" w:firstLineChars="200"/>
        <w:rPr>
          <w:kern w:val="0"/>
          <w:sz w:val="24"/>
        </w:rPr>
      </w:pPr>
      <w:r>
        <w:rPr>
          <w:rFonts w:hint="eastAsia" w:hAnsi="宋体"/>
          <w:kern w:val="0"/>
          <w:sz w:val="24"/>
        </w:rPr>
        <w:t>电话：（</w:t>
      </w:r>
      <w:r>
        <w:rPr>
          <w:kern w:val="0"/>
          <w:sz w:val="24"/>
        </w:rPr>
        <w:t>021</w:t>
      </w:r>
      <w:r>
        <w:rPr>
          <w:rFonts w:hint="eastAsia" w:hAnsi="宋体"/>
          <w:kern w:val="0"/>
          <w:sz w:val="24"/>
        </w:rPr>
        <w:t>）</w:t>
      </w:r>
      <w:r>
        <w:rPr>
          <w:kern w:val="0"/>
          <w:sz w:val="24"/>
        </w:rPr>
        <w:t>31358666</w:t>
      </w:r>
    </w:p>
    <w:p w14:paraId="0B117977">
      <w:pPr>
        <w:widowControl/>
        <w:adjustRightInd w:val="0"/>
        <w:snapToGrid w:val="0"/>
        <w:spacing w:line="360" w:lineRule="auto"/>
        <w:ind w:firstLine="480" w:firstLineChars="200"/>
        <w:rPr>
          <w:kern w:val="0"/>
          <w:sz w:val="24"/>
        </w:rPr>
      </w:pPr>
      <w:r>
        <w:rPr>
          <w:rFonts w:hint="eastAsia" w:hAnsi="宋体"/>
          <w:kern w:val="0"/>
          <w:sz w:val="24"/>
        </w:rPr>
        <w:t>传真：（</w:t>
      </w:r>
      <w:r>
        <w:rPr>
          <w:kern w:val="0"/>
          <w:sz w:val="24"/>
        </w:rPr>
        <w:t>021</w:t>
      </w:r>
      <w:r>
        <w:rPr>
          <w:rFonts w:hint="eastAsia" w:hAnsi="宋体"/>
          <w:kern w:val="0"/>
          <w:sz w:val="24"/>
        </w:rPr>
        <w:t>）</w:t>
      </w:r>
      <w:r>
        <w:rPr>
          <w:kern w:val="0"/>
          <w:sz w:val="24"/>
        </w:rPr>
        <w:t>31358600</w:t>
      </w:r>
    </w:p>
    <w:p w14:paraId="4CD1441E">
      <w:pPr>
        <w:widowControl/>
        <w:adjustRightInd w:val="0"/>
        <w:snapToGrid w:val="0"/>
        <w:spacing w:line="360" w:lineRule="auto"/>
        <w:ind w:firstLine="480" w:firstLineChars="200"/>
        <w:rPr>
          <w:rFonts w:hint="eastAsia" w:hAnsi="宋体"/>
          <w:kern w:val="0"/>
          <w:sz w:val="24"/>
        </w:rPr>
      </w:pPr>
      <w:r>
        <w:rPr>
          <w:rFonts w:hint="eastAsia" w:hAnsi="宋体"/>
          <w:kern w:val="0"/>
          <w:sz w:val="24"/>
        </w:rPr>
        <w:t>联系人：丁媛</w:t>
      </w:r>
    </w:p>
    <w:p w14:paraId="3C625597">
      <w:pPr>
        <w:widowControl/>
        <w:adjustRightInd w:val="0"/>
        <w:snapToGrid w:val="0"/>
        <w:spacing w:line="360" w:lineRule="auto"/>
        <w:ind w:firstLine="480" w:firstLineChars="200"/>
        <w:rPr>
          <w:rFonts w:hint="eastAsia" w:hAnsi="宋体"/>
          <w:kern w:val="0"/>
          <w:sz w:val="24"/>
        </w:rPr>
      </w:pPr>
      <w:r>
        <w:rPr>
          <w:rFonts w:hint="eastAsia" w:hAnsi="宋体"/>
          <w:kern w:val="0"/>
          <w:sz w:val="24"/>
        </w:rPr>
        <w:t>经办律师：丁媛、李晓露</w:t>
      </w:r>
    </w:p>
    <w:p w14:paraId="10F36285">
      <w:pPr>
        <w:widowControl/>
        <w:adjustRightInd w:val="0"/>
        <w:snapToGrid w:val="0"/>
        <w:spacing w:line="360" w:lineRule="auto"/>
        <w:ind w:firstLine="482" w:firstLineChars="200"/>
        <w:rPr>
          <w:b/>
          <w:kern w:val="0"/>
          <w:sz w:val="24"/>
        </w:rPr>
      </w:pPr>
      <w:r>
        <w:rPr>
          <w:rFonts w:hAnsi="宋体"/>
          <w:b/>
          <w:kern w:val="0"/>
          <w:sz w:val="24"/>
        </w:rPr>
        <w:t>（四）审计基金财产的会计师事务所</w:t>
      </w:r>
    </w:p>
    <w:p w14:paraId="1DFC1C73">
      <w:pPr>
        <w:widowControl/>
        <w:adjustRightInd w:val="0"/>
        <w:snapToGrid w:val="0"/>
        <w:spacing w:line="360" w:lineRule="auto"/>
        <w:ind w:firstLine="480" w:firstLineChars="200"/>
        <w:rPr>
          <w:kern w:val="0"/>
          <w:sz w:val="24"/>
        </w:rPr>
      </w:pPr>
      <w:r>
        <w:rPr>
          <w:rFonts w:hint="eastAsia"/>
          <w:kern w:val="0"/>
          <w:sz w:val="24"/>
        </w:rPr>
        <w:t>名称：安永华明会计师事务所（特殊普通合伙）</w:t>
      </w:r>
    </w:p>
    <w:p w14:paraId="6288F46E">
      <w:pPr>
        <w:widowControl/>
        <w:adjustRightInd w:val="0"/>
        <w:snapToGrid w:val="0"/>
        <w:spacing w:line="360" w:lineRule="auto"/>
        <w:ind w:firstLine="480" w:firstLineChars="200"/>
        <w:rPr>
          <w:kern w:val="0"/>
          <w:sz w:val="24"/>
        </w:rPr>
      </w:pPr>
      <w:r>
        <w:rPr>
          <w:rFonts w:hint="eastAsia"/>
          <w:kern w:val="0"/>
          <w:sz w:val="24"/>
        </w:rPr>
        <w:t>住所：北京市东城区东长安街1号东方广场安永大楼17层</w:t>
      </w:r>
    </w:p>
    <w:p w14:paraId="4C10E06E">
      <w:pPr>
        <w:widowControl/>
        <w:adjustRightInd w:val="0"/>
        <w:snapToGrid w:val="0"/>
        <w:spacing w:line="360" w:lineRule="auto"/>
        <w:ind w:firstLine="480" w:firstLineChars="200"/>
        <w:rPr>
          <w:kern w:val="0"/>
          <w:sz w:val="24"/>
        </w:rPr>
      </w:pPr>
      <w:r>
        <w:rPr>
          <w:rFonts w:hint="eastAsia"/>
          <w:kern w:val="0"/>
          <w:sz w:val="24"/>
        </w:rPr>
        <w:t>办公地址：北京市东城区东长安街1号东方广场安永大楼17层</w:t>
      </w:r>
    </w:p>
    <w:p w14:paraId="46BF80D9">
      <w:pPr>
        <w:widowControl/>
        <w:adjustRightInd w:val="0"/>
        <w:snapToGrid w:val="0"/>
        <w:spacing w:line="360" w:lineRule="auto"/>
        <w:ind w:firstLine="480" w:firstLineChars="200"/>
        <w:rPr>
          <w:kern w:val="0"/>
          <w:sz w:val="24"/>
        </w:rPr>
      </w:pPr>
      <w:r>
        <w:rPr>
          <w:rFonts w:hint="eastAsia"/>
          <w:kern w:val="0"/>
          <w:sz w:val="24"/>
        </w:rPr>
        <w:t>执行事务合伙人：毛鞍宁</w:t>
      </w:r>
    </w:p>
    <w:p w14:paraId="781FF923">
      <w:pPr>
        <w:widowControl/>
        <w:adjustRightInd w:val="0"/>
        <w:snapToGrid w:val="0"/>
        <w:spacing w:line="360" w:lineRule="auto"/>
        <w:ind w:firstLine="480" w:firstLineChars="200"/>
        <w:rPr>
          <w:kern w:val="0"/>
          <w:sz w:val="24"/>
        </w:rPr>
      </w:pPr>
      <w:r>
        <w:rPr>
          <w:rFonts w:hint="eastAsia"/>
          <w:kern w:val="0"/>
          <w:sz w:val="24"/>
        </w:rPr>
        <w:t>电话：（010）58153000</w:t>
      </w:r>
    </w:p>
    <w:p w14:paraId="728CE7EB">
      <w:pPr>
        <w:widowControl/>
        <w:adjustRightInd w:val="0"/>
        <w:snapToGrid w:val="0"/>
        <w:spacing w:line="360" w:lineRule="auto"/>
        <w:ind w:firstLine="480" w:firstLineChars="200"/>
        <w:rPr>
          <w:kern w:val="0"/>
          <w:sz w:val="24"/>
        </w:rPr>
      </w:pPr>
      <w:r>
        <w:rPr>
          <w:rFonts w:hint="eastAsia"/>
          <w:kern w:val="0"/>
          <w:sz w:val="24"/>
        </w:rPr>
        <w:t>传真：（010）85188298</w:t>
      </w:r>
    </w:p>
    <w:p w14:paraId="47DFA20C">
      <w:pPr>
        <w:widowControl/>
        <w:adjustRightInd w:val="0"/>
        <w:snapToGrid w:val="0"/>
        <w:spacing w:line="360" w:lineRule="auto"/>
        <w:ind w:firstLine="480" w:firstLineChars="200"/>
        <w:rPr>
          <w:kern w:val="0"/>
          <w:sz w:val="24"/>
        </w:rPr>
      </w:pPr>
      <w:r>
        <w:rPr>
          <w:rFonts w:hint="eastAsia"/>
          <w:kern w:val="0"/>
          <w:sz w:val="24"/>
        </w:rPr>
        <w:t>联系人：蒋燕华</w:t>
      </w:r>
    </w:p>
    <w:p w14:paraId="2884FE61">
      <w:pPr>
        <w:widowControl/>
        <w:adjustRightInd w:val="0"/>
        <w:snapToGrid w:val="0"/>
        <w:spacing w:line="360" w:lineRule="auto"/>
        <w:ind w:firstLine="480"/>
        <w:rPr>
          <w:kern w:val="0"/>
          <w:sz w:val="24"/>
        </w:rPr>
      </w:pPr>
      <w:r>
        <w:rPr>
          <w:rFonts w:hint="eastAsia"/>
          <w:kern w:val="0"/>
          <w:sz w:val="24"/>
        </w:rPr>
        <w:t>经办注册会计师：蒋燕华、费泽旭</w:t>
      </w:r>
    </w:p>
    <w:p w14:paraId="638E64CF">
      <w:pPr>
        <w:widowControl/>
        <w:adjustRightInd w:val="0"/>
        <w:snapToGrid w:val="0"/>
        <w:spacing w:before="143" w:beforeLines="50" w:after="143" w:afterLines="50" w:line="360" w:lineRule="auto"/>
        <w:ind w:firstLine="360" w:firstLineChars="150"/>
        <w:jc w:val="center"/>
        <w:outlineLvl w:val="0"/>
        <w:rPr>
          <w:rFonts w:hint="eastAsia" w:ascii="宋体" w:hAnsi="宋体"/>
          <w:b/>
          <w:kern w:val="0"/>
          <w:sz w:val="30"/>
        </w:rPr>
      </w:pPr>
      <w:r>
        <w:rPr>
          <w:kern w:val="0"/>
          <w:sz w:val="24"/>
        </w:rPr>
        <w:br w:type="page"/>
      </w:r>
      <w:bookmarkStart w:id="16" w:name="_Toc56690586"/>
      <w:bookmarkStart w:id="17" w:name="_Hlk195284380"/>
      <w:r>
        <w:rPr>
          <w:rFonts w:hint="eastAsia" w:ascii="宋体" w:hAnsi="宋体"/>
          <w:b/>
          <w:kern w:val="0"/>
          <w:sz w:val="30"/>
        </w:rPr>
        <w:t>六、基金的募集</w:t>
      </w:r>
      <w:bookmarkEnd w:id="16"/>
    </w:p>
    <w:p w14:paraId="7E08F035">
      <w:pPr>
        <w:widowControl/>
        <w:adjustRightInd w:val="0"/>
        <w:snapToGrid w:val="0"/>
        <w:spacing w:line="360" w:lineRule="auto"/>
        <w:ind w:firstLine="482" w:firstLineChars="200"/>
        <w:rPr>
          <w:b/>
          <w:kern w:val="0"/>
          <w:sz w:val="24"/>
        </w:rPr>
      </w:pPr>
      <w:r>
        <w:rPr>
          <w:b/>
          <w:kern w:val="0"/>
          <w:sz w:val="24"/>
        </w:rPr>
        <w:t>（一）基金募集的依据</w:t>
      </w:r>
    </w:p>
    <w:p w14:paraId="46E2F193">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基金合同及其他有关规定，并经中国证监会202</w:t>
      </w:r>
      <w:r>
        <w:rPr>
          <w:rFonts w:hint="eastAsia"/>
          <w:kern w:val="0"/>
          <w:sz w:val="24"/>
          <w:lang w:val="en-US" w:eastAsia="zh-CN"/>
        </w:rPr>
        <w:t>6</w:t>
      </w:r>
      <w:r>
        <w:rPr>
          <w:rFonts w:hAnsi="宋体"/>
          <w:kern w:val="0"/>
          <w:sz w:val="24"/>
        </w:rPr>
        <w:t>年</w:t>
      </w:r>
      <w:r>
        <w:rPr>
          <w:rFonts w:hint="eastAsia" w:hAnsi="宋体"/>
          <w:kern w:val="0"/>
          <w:sz w:val="24"/>
          <w:lang w:val="en-US" w:eastAsia="zh-CN"/>
        </w:rPr>
        <w:t>5</w:t>
      </w:r>
      <w:r>
        <w:rPr>
          <w:rFonts w:hAnsi="宋体"/>
          <w:kern w:val="0"/>
          <w:sz w:val="24"/>
        </w:rPr>
        <w:t>月</w:t>
      </w:r>
      <w:r>
        <w:rPr>
          <w:rFonts w:hint="eastAsia" w:hAnsi="宋体"/>
          <w:kern w:val="0"/>
          <w:sz w:val="24"/>
          <w:lang w:val="en-US" w:eastAsia="zh-CN"/>
        </w:rPr>
        <w:t>28</w:t>
      </w:r>
      <w:r>
        <w:rPr>
          <w:rFonts w:hAnsi="宋体"/>
          <w:kern w:val="0"/>
          <w:sz w:val="24"/>
        </w:rPr>
        <w:t>日</w:t>
      </w:r>
      <w:r>
        <w:rPr>
          <w:kern w:val="0"/>
          <w:sz w:val="24"/>
        </w:rPr>
        <w:t>证监许可</w:t>
      </w:r>
      <w:r>
        <w:rPr>
          <w:rFonts w:hint="eastAsia"/>
          <w:kern w:val="0"/>
          <w:sz w:val="24"/>
        </w:rPr>
        <w:t>【2</w:t>
      </w:r>
      <w:r>
        <w:rPr>
          <w:kern w:val="0"/>
          <w:sz w:val="24"/>
        </w:rPr>
        <w:t>02</w:t>
      </w:r>
      <w:r>
        <w:rPr>
          <w:rFonts w:hint="eastAsia"/>
          <w:kern w:val="0"/>
          <w:sz w:val="24"/>
          <w:lang w:val="en-US" w:eastAsia="zh-CN"/>
        </w:rPr>
        <w:t>6</w:t>
      </w:r>
      <w:r>
        <w:rPr>
          <w:kern w:val="0"/>
          <w:sz w:val="24"/>
        </w:rPr>
        <w:t>】</w:t>
      </w:r>
      <w:r>
        <w:rPr>
          <w:rFonts w:hint="eastAsia"/>
          <w:kern w:val="0"/>
          <w:sz w:val="24"/>
          <w:lang w:val="en-US" w:eastAsia="zh-CN"/>
        </w:rPr>
        <w:t>1299</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14:paraId="19EF4DFE">
      <w:pPr>
        <w:widowControl/>
        <w:adjustRightInd w:val="0"/>
        <w:snapToGrid w:val="0"/>
        <w:spacing w:line="360" w:lineRule="auto"/>
        <w:ind w:firstLine="482" w:firstLineChars="200"/>
        <w:rPr>
          <w:b/>
          <w:kern w:val="0"/>
          <w:sz w:val="24"/>
        </w:rPr>
      </w:pPr>
      <w:r>
        <w:rPr>
          <w:b/>
          <w:kern w:val="0"/>
          <w:sz w:val="24"/>
        </w:rPr>
        <w:t>（二）基金类</w:t>
      </w:r>
      <w:r>
        <w:rPr>
          <w:rFonts w:hint="eastAsia"/>
          <w:b/>
          <w:kern w:val="0"/>
          <w:sz w:val="24"/>
        </w:rPr>
        <w:t>别</w:t>
      </w:r>
    </w:p>
    <w:p w14:paraId="66FE93E3">
      <w:pPr>
        <w:widowControl/>
        <w:adjustRightInd w:val="0"/>
        <w:snapToGrid w:val="0"/>
        <w:spacing w:line="360" w:lineRule="auto"/>
        <w:ind w:firstLine="480" w:firstLineChars="200"/>
        <w:rPr>
          <w:kern w:val="0"/>
          <w:sz w:val="24"/>
        </w:rPr>
      </w:pPr>
      <w:r>
        <w:rPr>
          <w:rFonts w:hint="eastAsia"/>
          <w:kern w:val="0"/>
          <w:sz w:val="24"/>
        </w:rPr>
        <w:t>混合型基金中基金（FOF）</w:t>
      </w:r>
    </w:p>
    <w:p w14:paraId="137B1CD7">
      <w:pPr>
        <w:widowControl/>
        <w:adjustRightInd w:val="0"/>
        <w:snapToGrid w:val="0"/>
        <w:spacing w:line="360" w:lineRule="auto"/>
        <w:ind w:firstLine="482" w:firstLineChars="200"/>
        <w:rPr>
          <w:b/>
          <w:kern w:val="0"/>
          <w:sz w:val="24"/>
        </w:rPr>
      </w:pPr>
      <w:r>
        <w:rPr>
          <w:b/>
          <w:kern w:val="0"/>
          <w:sz w:val="24"/>
        </w:rPr>
        <w:t>（三）基金运作方式</w:t>
      </w:r>
    </w:p>
    <w:p w14:paraId="7B5A321C">
      <w:pPr>
        <w:widowControl/>
        <w:adjustRightInd w:val="0"/>
        <w:snapToGrid w:val="0"/>
        <w:spacing w:line="360" w:lineRule="auto"/>
        <w:ind w:firstLine="480"/>
        <w:rPr>
          <w:kern w:val="0"/>
          <w:sz w:val="24"/>
        </w:rPr>
      </w:pPr>
      <w:r>
        <w:rPr>
          <w:kern w:val="0"/>
          <w:sz w:val="24"/>
        </w:rPr>
        <w:t>契约型开放式</w:t>
      </w:r>
    </w:p>
    <w:p w14:paraId="56301D46">
      <w:pPr>
        <w:widowControl/>
        <w:adjustRightInd w:val="0"/>
        <w:snapToGrid w:val="0"/>
        <w:spacing w:line="360" w:lineRule="auto"/>
        <w:ind w:firstLine="480"/>
        <w:rPr>
          <w:kern w:val="0"/>
          <w:sz w:val="24"/>
        </w:rPr>
      </w:pPr>
      <w:r>
        <w:rPr>
          <w:rFonts w:hint="eastAsia"/>
          <w:bCs/>
          <w:sz w:val="24"/>
        </w:rPr>
        <w:t>本基金每份基金份额的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w:t>
      </w:r>
    </w:p>
    <w:p w14:paraId="7B77CC1C">
      <w:pPr>
        <w:widowControl/>
        <w:adjustRightInd w:val="0"/>
        <w:snapToGrid w:val="0"/>
        <w:spacing w:line="360" w:lineRule="auto"/>
        <w:ind w:firstLine="482" w:firstLineChars="200"/>
        <w:rPr>
          <w:b/>
          <w:kern w:val="0"/>
          <w:sz w:val="24"/>
        </w:rPr>
      </w:pPr>
      <w:r>
        <w:rPr>
          <w:b/>
          <w:kern w:val="0"/>
          <w:sz w:val="24"/>
        </w:rPr>
        <w:t>（四）基金存续期限</w:t>
      </w:r>
    </w:p>
    <w:p w14:paraId="54B1849B">
      <w:pPr>
        <w:widowControl/>
        <w:adjustRightInd w:val="0"/>
        <w:snapToGrid w:val="0"/>
        <w:spacing w:line="360" w:lineRule="auto"/>
        <w:ind w:firstLine="480"/>
        <w:rPr>
          <w:kern w:val="0"/>
          <w:sz w:val="24"/>
        </w:rPr>
      </w:pPr>
      <w:r>
        <w:rPr>
          <w:kern w:val="0"/>
          <w:sz w:val="24"/>
        </w:rPr>
        <w:t>不定期</w:t>
      </w:r>
    </w:p>
    <w:p w14:paraId="0D88F22B">
      <w:pPr>
        <w:widowControl/>
        <w:adjustRightInd w:val="0"/>
        <w:snapToGrid w:val="0"/>
        <w:spacing w:line="360" w:lineRule="auto"/>
        <w:ind w:firstLine="482" w:firstLineChars="200"/>
        <w:rPr>
          <w:b/>
          <w:kern w:val="0"/>
          <w:sz w:val="24"/>
        </w:rPr>
      </w:pPr>
      <w:r>
        <w:rPr>
          <w:b/>
          <w:kern w:val="0"/>
          <w:sz w:val="24"/>
        </w:rPr>
        <w:t>（</w:t>
      </w:r>
      <w:r>
        <w:rPr>
          <w:rFonts w:hint="eastAsia"/>
          <w:b/>
          <w:kern w:val="0"/>
          <w:sz w:val="24"/>
        </w:rPr>
        <w:t>五</w:t>
      </w:r>
      <w:r>
        <w:rPr>
          <w:b/>
          <w:kern w:val="0"/>
          <w:sz w:val="24"/>
        </w:rPr>
        <w:t>）基金</w:t>
      </w:r>
      <w:r>
        <w:rPr>
          <w:rFonts w:hint="eastAsia"/>
          <w:b/>
          <w:kern w:val="0"/>
          <w:sz w:val="24"/>
        </w:rPr>
        <w:t>份额类别</w:t>
      </w:r>
    </w:p>
    <w:p w14:paraId="558E3AA4">
      <w:pPr>
        <w:widowControl/>
        <w:adjustRightInd w:val="0"/>
        <w:snapToGrid w:val="0"/>
        <w:spacing w:line="360" w:lineRule="auto"/>
        <w:ind w:firstLine="480"/>
        <w:rPr>
          <w:kern w:val="0"/>
          <w:sz w:val="24"/>
        </w:rPr>
      </w:pPr>
      <w:r>
        <w:rPr>
          <w:rFonts w:hint="eastAsia"/>
          <w:kern w:val="0"/>
          <w:sz w:val="24"/>
        </w:rPr>
        <w:t>在不违反法律法规、基金合同的约定以及对基金份额持有人利益无实质性不利影响的情况下，根据基金实际运作情况，基金管理人</w:t>
      </w:r>
      <w:r>
        <w:rPr>
          <w:rFonts w:hint="eastAsia"/>
          <w:bCs/>
          <w:sz w:val="24"/>
        </w:rPr>
        <w:t>和基金托管人协商一致后，</w:t>
      </w:r>
      <w:r>
        <w:rPr>
          <w:rFonts w:hint="eastAsia"/>
          <w:kern w:val="0"/>
          <w:sz w:val="24"/>
        </w:rPr>
        <w:t>可增加、减少或调整基金份额类别设置、对基金份额分类办法及规则进行调整并在调整实施前依照《信息披露办法》的有关规定在规定媒介上公告，而无需召开基金份额持有人大会。</w:t>
      </w:r>
    </w:p>
    <w:p w14:paraId="7BF2A7B3">
      <w:pPr>
        <w:widowControl/>
        <w:adjustRightInd w:val="0"/>
        <w:snapToGrid w:val="0"/>
        <w:spacing w:line="360" w:lineRule="auto"/>
        <w:ind w:firstLine="482" w:firstLineChars="200"/>
        <w:rPr>
          <w:b/>
          <w:kern w:val="0"/>
          <w:sz w:val="24"/>
        </w:rPr>
      </w:pPr>
      <w:r>
        <w:rPr>
          <w:b/>
          <w:kern w:val="0"/>
          <w:sz w:val="24"/>
        </w:rPr>
        <w:t>（</w:t>
      </w:r>
      <w:r>
        <w:rPr>
          <w:rFonts w:hint="eastAsia"/>
          <w:b/>
          <w:kern w:val="0"/>
          <w:sz w:val="24"/>
        </w:rPr>
        <w:t>六</w:t>
      </w:r>
      <w:r>
        <w:rPr>
          <w:b/>
          <w:kern w:val="0"/>
          <w:sz w:val="24"/>
        </w:rPr>
        <w:t>）基金份额的认购</w:t>
      </w:r>
    </w:p>
    <w:p w14:paraId="2607B992">
      <w:pPr>
        <w:widowControl/>
        <w:adjustRightInd w:val="0"/>
        <w:snapToGrid w:val="0"/>
        <w:spacing w:line="360" w:lineRule="auto"/>
        <w:ind w:firstLine="480"/>
        <w:rPr>
          <w:kern w:val="0"/>
          <w:sz w:val="24"/>
        </w:rPr>
      </w:pPr>
      <w:r>
        <w:rPr>
          <w:kern w:val="0"/>
          <w:sz w:val="24"/>
        </w:rPr>
        <w:t>基金募集期内，基金份额通过各销售机构向投资人公开发售。募集期间个人投资者可以通过</w:t>
      </w:r>
      <w:r>
        <w:rPr>
          <w:rFonts w:hint="eastAsia"/>
          <w:kern w:val="0"/>
          <w:sz w:val="24"/>
        </w:rPr>
        <w:t>基金管理人</w:t>
      </w:r>
      <w:r>
        <w:rPr>
          <w:kern w:val="0"/>
          <w:sz w:val="24"/>
        </w:rPr>
        <w:t>网上直销交易平台办理开户和本基金的认购业务</w:t>
      </w:r>
      <w:r>
        <w:rPr>
          <w:rFonts w:hint="eastAsia"/>
          <w:kern w:val="0"/>
          <w:sz w:val="24"/>
        </w:rPr>
        <w:t>，</w:t>
      </w:r>
      <w:r>
        <w:rPr>
          <w:kern w:val="0"/>
          <w:sz w:val="24"/>
        </w:rPr>
        <w:t>具体请见基金份额发售公告以及基金管理人</w:t>
      </w:r>
      <w:r>
        <w:rPr>
          <w:rFonts w:hint="eastAsia"/>
          <w:kern w:val="0"/>
          <w:sz w:val="24"/>
        </w:rPr>
        <w:t>网站</w:t>
      </w:r>
      <w:r>
        <w:rPr>
          <w:kern w:val="0"/>
          <w:sz w:val="24"/>
        </w:rPr>
        <w:t>。除法律法规或中国证监会另有规定外，任何与基金份额发售有关的当事人不得预留和提前发售基金份额。</w:t>
      </w:r>
    </w:p>
    <w:p w14:paraId="7C3D4A34">
      <w:pPr>
        <w:widowControl/>
        <w:adjustRightInd w:val="0"/>
        <w:snapToGrid w:val="0"/>
        <w:spacing w:line="360" w:lineRule="auto"/>
        <w:ind w:firstLine="480"/>
        <w:rPr>
          <w:kern w:val="0"/>
          <w:sz w:val="24"/>
        </w:rPr>
      </w:pPr>
      <w:r>
        <w:rPr>
          <w:kern w:val="0"/>
          <w:sz w:val="24"/>
        </w:rPr>
        <w:t>1、基金份额的发售时间、方式和对象</w:t>
      </w:r>
    </w:p>
    <w:p w14:paraId="3082621F">
      <w:pPr>
        <w:widowControl/>
        <w:adjustRightInd w:val="0"/>
        <w:snapToGrid w:val="0"/>
        <w:spacing w:line="360" w:lineRule="auto"/>
        <w:ind w:firstLine="480"/>
        <w:rPr>
          <w:kern w:val="0"/>
          <w:sz w:val="24"/>
        </w:rPr>
      </w:pPr>
      <w:r>
        <w:rPr>
          <w:kern w:val="0"/>
          <w:sz w:val="24"/>
        </w:rPr>
        <w:t>（1）募集期限：自基金份额发售之日起不超过3个月。本基金自202</w:t>
      </w:r>
      <w:r>
        <w:rPr>
          <w:rFonts w:hint="eastAsia"/>
          <w:kern w:val="0"/>
          <w:sz w:val="24"/>
          <w:lang w:val="en-US" w:eastAsia="zh-CN"/>
        </w:rPr>
        <w:t>6</w:t>
      </w:r>
      <w:r>
        <w:rPr>
          <w:rFonts w:hAnsi="宋体"/>
          <w:kern w:val="0"/>
          <w:sz w:val="24"/>
        </w:rPr>
        <w:t>年</w:t>
      </w:r>
      <w:r>
        <w:rPr>
          <w:rFonts w:hint="eastAsia" w:hAnsi="宋体"/>
          <w:kern w:val="0"/>
          <w:sz w:val="24"/>
          <w:lang w:val="en-US" w:eastAsia="zh-CN"/>
        </w:rPr>
        <w:t>7</w:t>
      </w:r>
      <w:r>
        <w:rPr>
          <w:rFonts w:hAnsi="宋体"/>
          <w:kern w:val="0"/>
          <w:sz w:val="24"/>
        </w:rPr>
        <w:t>月</w:t>
      </w:r>
      <w:r>
        <w:rPr>
          <w:rFonts w:hint="eastAsia" w:hAnsi="宋体"/>
          <w:kern w:val="0"/>
          <w:sz w:val="24"/>
          <w:lang w:val="en-US" w:eastAsia="zh-CN"/>
        </w:rPr>
        <w:t>27</w:t>
      </w:r>
      <w:r>
        <w:rPr>
          <w:rFonts w:hAnsi="宋体"/>
          <w:kern w:val="0"/>
          <w:sz w:val="24"/>
        </w:rPr>
        <w:t>日</w:t>
      </w:r>
      <w:r>
        <w:rPr>
          <w:kern w:val="0"/>
          <w:sz w:val="24"/>
        </w:rPr>
        <w:t>起至202</w:t>
      </w:r>
      <w:r>
        <w:rPr>
          <w:rFonts w:hint="eastAsia"/>
          <w:kern w:val="0"/>
          <w:sz w:val="24"/>
          <w:lang w:val="en-US" w:eastAsia="zh-CN"/>
        </w:rPr>
        <w:t>6</w:t>
      </w:r>
      <w:r>
        <w:rPr>
          <w:rFonts w:hAnsi="宋体"/>
          <w:kern w:val="0"/>
          <w:sz w:val="24"/>
        </w:rPr>
        <w:t>年</w:t>
      </w:r>
      <w:r>
        <w:rPr>
          <w:rFonts w:hint="eastAsia" w:hAnsi="宋体"/>
          <w:kern w:val="0"/>
          <w:sz w:val="24"/>
          <w:lang w:val="en-US" w:eastAsia="zh-CN"/>
        </w:rPr>
        <w:t>8</w:t>
      </w:r>
      <w:r>
        <w:rPr>
          <w:rFonts w:hAnsi="宋体"/>
          <w:kern w:val="0"/>
          <w:sz w:val="24"/>
        </w:rPr>
        <w:t>月</w:t>
      </w:r>
      <w:r>
        <w:rPr>
          <w:rFonts w:hint="eastAsia" w:hAnsi="宋体"/>
          <w:kern w:val="0"/>
          <w:sz w:val="24"/>
          <w:lang w:val="en-US" w:eastAsia="zh-CN"/>
        </w:rPr>
        <w:t>21</w:t>
      </w:r>
      <w:r>
        <w:rPr>
          <w:rFonts w:hAnsi="宋体"/>
          <w:kern w:val="0"/>
          <w:sz w:val="24"/>
        </w:rPr>
        <w:t>日</w:t>
      </w:r>
      <w:r>
        <w:rPr>
          <w:kern w:val="0"/>
          <w:sz w:val="24"/>
        </w:rPr>
        <w:t>止通过销售机构公开发售（详见基金份额发售公告及</w:t>
      </w:r>
      <w:r>
        <w:rPr>
          <w:rFonts w:hint="eastAsia"/>
          <w:kern w:val="0"/>
          <w:sz w:val="24"/>
        </w:rPr>
        <w:t>销售</w:t>
      </w:r>
      <w:r>
        <w:rPr>
          <w:kern w:val="0"/>
          <w:sz w:val="24"/>
        </w:rPr>
        <w:t>机构相关公告）。</w:t>
      </w:r>
      <w:r>
        <w:rPr>
          <w:rFonts w:hint="eastAsia"/>
          <w:kern w:val="0"/>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59CECBAE">
      <w:pPr>
        <w:widowControl/>
        <w:adjustRightInd w:val="0"/>
        <w:snapToGrid w:val="0"/>
        <w:spacing w:line="360" w:lineRule="auto"/>
        <w:ind w:firstLine="480"/>
      </w:pPr>
      <w:r>
        <w:rPr>
          <w:kern w:val="0"/>
          <w:sz w:val="24"/>
        </w:rPr>
        <w:t>（2）销售渠道：</w:t>
      </w:r>
      <w:r>
        <w:rPr>
          <w:rFonts w:hint="eastAsia"/>
          <w:kern w:val="0"/>
          <w:sz w:val="24"/>
        </w:rPr>
        <w:t>销售机构</w:t>
      </w:r>
      <w:r>
        <w:rPr>
          <w:kern w:val="0"/>
          <w:sz w:val="24"/>
        </w:rPr>
        <w:t>具体名单见基金份额发售公告</w:t>
      </w:r>
      <w:r>
        <w:rPr>
          <w:rFonts w:hint="eastAsia"/>
          <w:kern w:val="0"/>
          <w:sz w:val="24"/>
        </w:rPr>
        <w:t>以及基金管理人网站</w:t>
      </w:r>
      <w:r>
        <w:t>。</w:t>
      </w:r>
    </w:p>
    <w:p w14:paraId="1CEB7EDF">
      <w:pPr>
        <w:widowControl/>
        <w:adjustRightInd w:val="0"/>
        <w:snapToGrid w:val="0"/>
        <w:spacing w:line="360" w:lineRule="auto"/>
        <w:ind w:firstLine="480"/>
        <w:rPr>
          <w:kern w:val="0"/>
          <w:sz w:val="24"/>
        </w:rPr>
      </w:pPr>
      <w:r>
        <w:rPr>
          <w:kern w:val="0"/>
          <w:sz w:val="24"/>
        </w:rPr>
        <w:t>（3）销售对象：符合法律法规规定的可投资于证券投资基金的个人投资者、机构投资者</w:t>
      </w:r>
      <w:r>
        <w:rPr>
          <w:rFonts w:hint="eastAsia"/>
          <w:kern w:val="0"/>
          <w:sz w:val="24"/>
        </w:rPr>
        <w:t>、</w:t>
      </w:r>
      <w:r>
        <w:rPr>
          <w:kern w:val="0"/>
          <w:sz w:val="24"/>
        </w:rPr>
        <w:t>合格境外投资者以及法律法规或中国证监会允许购买证券投资基金的其他投资人。</w:t>
      </w:r>
    </w:p>
    <w:p w14:paraId="1C2DD58A">
      <w:pPr>
        <w:widowControl/>
        <w:adjustRightInd w:val="0"/>
        <w:snapToGrid w:val="0"/>
        <w:spacing w:line="360" w:lineRule="auto"/>
        <w:ind w:firstLine="480"/>
        <w:rPr>
          <w:kern w:val="0"/>
          <w:sz w:val="24"/>
        </w:rPr>
      </w:pPr>
      <w:r>
        <w:rPr>
          <w:kern w:val="0"/>
          <w:sz w:val="24"/>
        </w:rPr>
        <w:t>2、基金份额的认购和持有限制</w:t>
      </w:r>
    </w:p>
    <w:p w14:paraId="1E49A6CA">
      <w:pPr>
        <w:widowControl/>
        <w:adjustRightInd w:val="0"/>
        <w:snapToGrid w:val="0"/>
        <w:spacing w:line="360" w:lineRule="auto"/>
        <w:ind w:firstLine="480"/>
        <w:rPr>
          <w:kern w:val="0"/>
          <w:sz w:val="24"/>
        </w:rPr>
      </w:pPr>
      <w:r>
        <w:rPr>
          <w:kern w:val="0"/>
          <w:sz w:val="24"/>
        </w:rPr>
        <w:t>（1）基金份额的认购采用金额认购方式。</w:t>
      </w:r>
    </w:p>
    <w:p w14:paraId="4A339777">
      <w:pPr>
        <w:widowControl/>
        <w:adjustRightInd w:val="0"/>
        <w:snapToGrid w:val="0"/>
        <w:spacing w:line="360" w:lineRule="auto"/>
        <w:ind w:firstLine="480"/>
        <w:rPr>
          <w:kern w:val="0"/>
          <w:sz w:val="24"/>
        </w:rPr>
      </w:pPr>
      <w:r>
        <w:rPr>
          <w:kern w:val="0"/>
          <w:sz w:val="24"/>
        </w:rPr>
        <w:t>（2）投资人认购基金份额采用全额缴款的认购方式。投资人认购</w:t>
      </w:r>
      <w:r>
        <w:rPr>
          <w:rFonts w:hint="eastAsia"/>
          <w:kern w:val="0"/>
          <w:sz w:val="24"/>
        </w:rPr>
        <w:t>时</w:t>
      </w:r>
      <w:r>
        <w:rPr>
          <w:kern w:val="0"/>
          <w:sz w:val="24"/>
        </w:rPr>
        <w:t>，需按销售机构规定的方式备足认购的金额。</w:t>
      </w:r>
    </w:p>
    <w:p w14:paraId="2EB6BFC6">
      <w:pPr>
        <w:widowControl/>
        <w:adjustRightInd w:val="0"/>
        <w:snapToGrid w:val="0"/>
        <w:spacing w:line="360" w:lineRule="auto"/>
        <w:ind w:firstLine="480"/>
        <w:rPr>
          <w:kern w:val="0"/>
          <w:sz w:val="24"/>
        </w:rPr>
      </w:pPr>
      <w:r>
        <w:rPr>
          <w:kern w:val="0"/>
          <w:sz w:val="24"/>
        </w:rPr>
        <w:t>（3）投资人在募集期内可以多次认购基金份额，认购</w:t>
      </w:r>
      <w:r>
        <w:rPr>
          <w:rFonts w:hint="eastAsia"/>
          <w:kern w:val="0"/>
          <w:sz w:val="24"/>
        </w:rPr>
        <w:t>申请</w:t>
      </w:r>
      <w:r>
        <w:rPr>
          <w:kern w:val="0"/>
          <w:sz w:val="24"/>
        </w:rPr>
        <w:t>一经登记机构受理不得撤销。</w:t>
      </w:r>
    </w:p>
    <w:p w14:paraId="299A3D6E">
      <w:pPr>
        <w:widowControl/>
        <w:adjustRightInd w:val="0"/>
        <w:snapToGrid w:val="0"/>
        <w:spacing w:line="360" w:lineRule="auto"/>
        <w:ind w:firstLine="480" w:firstLineChars="200"/>
        <w:rPr>
          <w:kern w:val="0"/>
          <w:sz w:val="24"/>
        </w:rPr>
      </w:pPr>
      <w:r>
        <w:rPr>
          <w:kern w:val="0"/>
          <w:sz w:val="24"/>
        </w:rPr>
        <w:t>（4）直销机构接受首次认购申请的最低金额为单笔100</w:t>
      </w:r>
      <w:r>
        <w:rPr>
          <w:rFonts w:hint="eastAsia"/>
          <w:sz w:val="24"/>
        </w:rPr>
        <w:t>万</w:t>
      </w:r>
      <w:r>
        <w:rPr>
          <w:kern w:val="0"/>
          <w:sz w:val="24"/>
        </w:rPr>
        <w:t>元，追加认购的最低金额为单笔10</w:t>
      </w:r>
      <w:r>
        <w:rPr>
          <w:rFonts w:hint="eastAsia"/>
          <w:sz w:val="24"/>
        </w:rPr>
        <w:t>万</w:t>
      </w:r>
      <w:r>
        <w:rPr>
          <w:kern w:val="0"/>
          <w:sz w:val="24"/>
        </w:rPr>
        <w:t>元；已在直销机构有认购或申购过本基金管理人管理的其他基金记录的投资人不受首次认购最低金额的限制。通过</w:t>
      </w:r>
      <w:r>
        <w:rPr>
          <w:rFonts w:hint="eastAsia"/>
          <w:kern w:val="0"/>
          <w:sz w:val="24"/>
        </w:rPr>
        <w:t>基金管理人</w:t>
      </w:r>
      <w:r>
        <w:rPr>
          <w:kern w:val="0"/>
          <w:sz w:val="24"/>
        </w:rPr>
        <w:t>网上直销交易平台办理本基金认购业务的不受直销机构最低认购金额的限制，认购最低金额为单笔1元。本基金直销机构单笔认购最低金额可由基金管理人酌情调整。</w:t>
      </w:r>
      <w:r>
        <w:rPr>
          <w:rFonts w:hint="eastAsia"/>
          <w:kern w:val="0"/>
          <w:sz w:val="24"/>
        </w:rPr>
        <w:t>其他销售</w:t>
      </w:r>
      <w:r>
        <w:rPr>
          <w:kern w:val="0"/>
          <w:sz w:val="24"/>
        </w:rPr>
        <w:t>机构接受认购申请的最低金额为单笔1元，如果</w:t>
      </w:r>
      <w:r>
        <w:rPr>
          <w:rFonts w:hint="eastAsia"/>
          <w:kern w:val="0"/>
          <w:sz w:val="24"/>
        </w:rPr>
        <w:t>销售</w:t>
      </w:r>
      <w:r>
        <w:rPr>
          <w:kern w:val="0"/>
          <w:sz w:val="24"/>
        </w:rPr>
        <w:t>机构业务规则规定的最低单笔认购金额高于1元，以</w:t>
      </w:r>
      <w:r>
        <w:rPr>
          <w:rFonts w:hint="eastAsia"/>
          <w:kern w:val="0"/>
          <w:sz w:val="24"/>
        </w:rPr>
        <w:t>该销售</w:t>
      </w:r>
      <w:r>
        <w:rPr>
          <w:kern w:val="0"/>
          <w:sz w:val="24"/>
        </w:rPr>
        <w:t>机构的规定为准。</w:t>
      </w:r>
    </w:p>
    <w:p w14:paraId="0B615A72">
      <w:pPr>
        <w:widowControl/>
        <w:adjustRightInd w:val="0"/>
        <w:snapToGrid w:val="0"/>
        <w:spacing w:line="360" w:lineRule="auto"/>
        <w:ind w:firstLine="480" w:firstLineChars="200"/>
        <w:rPr>
          <w:kern w:val="0"/>
          <w:sz w:val="24"/>
        </w:rPr>
      </w:pPr>
      <w:r>
        <w:rPr>
          <w:kern w:val="0"/>
          <w:sz w:val="24"/>
        </w:rPr>
        <w:t>（5）</w:t>
      </w:r>
      <w:r>
        <w:rPr>
          <w:rFonts w:hint="eastAsia"/>
          <w:kern w:val="0"/>
          <w:sz w:val="24"/>
        </w:rPr>
        <w:t>基金管理人可以对募集期间的单个投资人的累计认购金额进行限制，具体限制和处理方法请参看相关公告。</w:t>
      </w:r>
    </w:p>
    <w:p w14:paraId="5E623C58">
      <w:pPr>
        <w:widowControl/>
        <w:adjustRightInd w:val="0"/>
        <w:snapToGrid w:val="0"/>
        <w:spacing w:line="360" w:lineRule="auto"/>
        <w:ind w:firstLine="480" w:firstLineChars="200"/>
        <w:rPr>
          <w:kern w:val="0"/>
          <w:sz w:val="24"/>
        </w:rPr>
      </w:pPr>
      <w:r>
        <w:rPr>
          <w:rFonts w:hint="eastAsia"/>
          <w:kern w:val="0"/>
          <w:sz w:val="24"/>
        </w:rPr>
        <w:t>（6）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00B757D5">
      <w:pPr>
        <w:widowControl/>
        <w:adjustRightInd w:val="0"/>
        <w:snapToGrid w:val="0"/>
        <w:spacing w:line="360" w:lineRule="auto"/>
        <w:ind w:firstLine="480" w:firstLineChars="200"/>
        <w:rPr>
          <w:kern w:val="0"/>
          <w:sz w:val="24"/>
        </w:rPr>
      </w:pPr>
      <w:r>
        <w:rPr>
          <w:rFonts w:hint="eastAsia"/>
          <w:kern w:val="0"/>
          <w:sz w:val="24"/>
        </w:rPr>
        <w:t>（7）基金管理人可以对募集期间的本基金募集规模设置上限。募集期内超过募集规模上限时，基金管理人可以采用比例确认或其他方式进行确认，具体办法参见基金份额发售公告。</w:t>
      </w:r>
    </w:p>
    <w:p w14:paraId="0E369D3B">
      <w:pPr>
        <w:widowControl/>
        <w:adjustRightInd w:val="0"/>
        <w:snapToGrid w:val="0"/>
        <w:spacing w:line="360" w:lineRule="auto"/>
        <w:ind w:firstLine="480" w:firstLineChars="200"/>
        <w:rPr>
          <w:kern w:val="0"/>
          <w:sz w:val="24"/>
        </w:rPr>
      </w:pPr>
      <w:r>
        <w:rPr>
          <w:kern w:val="0"/>
          <w:sz w:val="24"/>
        </w:rPr>
        <w:t>3、基金份额的</w:t>
      </w:r>
      <w:r>
        <w:rPr>
          <w:rFonts w:hint="eastAsia"/>
          <w:kern w:val="0"/>
          <w:sz w:val="24"/>
        </w:rPr>
        <w:t>面值</w:t>
      </w:r>
      <w:r>
        <w:rPr>
          <w:kern w:val="0"/>
          <w:sz w:val="24"/>
        </w:rPr>
        <w:t>、认购费用、认购价格及认购份额的计算公式</w:t>
      </w:r>
    </w:p>
    <w:p w14:paraId="34972C73">
      <w:pPr>
        <w:widowControl/>
        <w:adjustRightInd w:val="0"/>
        <w:snapToGrid w:val="0"/>
        <w:spacing w:line="360" w:lineRule="auto"/>
        <w:ind w:firstLine="480" w:firstLineChars="200"/>
        <w:rPr>
          <w:kern w:val="0"/>
          <w:sz w:val="24"/>
        </w:rPr>
      </w:pPr>
      <w:r>
        <w:rPr>
          <w:kern w:val="0"/>
          <w:sz w:val="24"/>
        </w:rPr>
        <w:t>（1）</w:t>
      </w:r>
      <w:r>
        <w:rPr>
          <w:rFonts w:hint="eastAsia"/>
          <w:kern w:val="0"/>
          <w:sz w:val="24"/>
        </w:rPr>
        <w:t>面值、</w:t>
      </w:r>
      <w:r>
        <w:rPr>
          <w:kern w:val="0"/>
          <w:sz w:val="24"/>
        </w:rPr>
        <w:t>认购价格：本</w:t>
      </w:r>
      <w:r>
        <w:rPr>
          <w:rFonts w:hint="eastAsia"/>
          <w:kern w:val="0"/>
          <w:sz w:val="24"/>
        </w:rPr>
        <w:t>基金</w:t>
      </w:r>
      <w:r>
        <w:rPr>
          <w:kern w:val="0"/>
          <w:sz w:val="24"/>
        </w:rPr>
        <w:t>基金份额</w:t>
      </w:r>
      <w:r>
        <w:rPr>
          <w:rFonts w:hint="eastAsia"/>
          <w:kern w:val="0"/>
          <w:sz w:val="24"/>
        </w:rPr>
        <w:t>的初始面值、</w:t>
      </w:r>
      <w:r>
        <w:rPr>
          <w:kern w:val="0"/>
          <w:sz w:val="24"/>
        </w:rPr>
        <w:t>认购价</w:t>
      </w:r>
      <w:r>
        <w:rPr>
          <w:sz w:val="24"/>
        </w:rPr>
        <w:t>格为1.00元/</w:t>
      </w:r>
      <w:r>
        <w:rPr>
          <w:kern w:val="0"/>
          <w:sz w:val="24"/>
        </w:rPr>
        <w:t>份。</w:t>
      </w:r>
    </w:p>
    <w:p w14:paraId="36C4D920">
      <w:pPr>
        <w:widowControl/>
        <w:adjustRightInd w:val="0"/>
        <w:snapToGrid w:val="0"/>
        <w:spacing w:line="360" w:lineRule="auto"/>
        <w:ind w:firstLine="480" w:firstLineChars="200"/>
        <w:rPr>
          <w:kern w:val="0"/>
          <w:sz w:val="24"/>
        </w:rPr>
      </w:pPr>
      <w:r>
        <w:rPr>
          <w:kern w:val="0"/>
          <w:sz w:val="24"/>
        </w:rPr>
        <w:t>（2）认购费率</w:t>
      </w:r>
    </w:p>
    <w:p w14:paraId="1BA64A16">
      <w:pPr>
        <w:widowControl/>
        <w:adjustRightInd w:val="0"/>
        <w:snapToGrid w:val="0"/>
        <w:spacing w:line="360" w:lineRule="auto"/>
        <w:ind w:firstLine="480" w:firstLineChars="200"/>
        <w:rPr>
          <w:kern w:val="0"/>
          <w:sz w:val="24"/>
        </w:rPr>
      </w:pPr>
      <w:r>
        <w:rPr>
          <w:rFonts w:hint="eastAsia"/>
          <w:kern w:val="0"/>
          <w:sz w:val="24"/>
        </w:rPr>
        <w:t>通过直销机构认购本基金不收取认购费；通过其他销售机构认购本基金的，认购费用由认购基金份额的投资人承担，募集期内投资人可以多次认购本基金，认购费用按每笔认购申请单独计算。认购费用不列入基金财产，主要用于基金的市场推广、销售等募集期间发生的各项费用。</w:t>
      </w:r>
    </w:p>
    <w:p w14:paraId="55DC8E3D">
      <w:pPr>
        <w:widowControl/>
        <w:adjustRightInd w:val="0"/>
        <w:snapToGrid w:val="0"/>
        <w:spacing w:line="360" w:lineRule="auto"/>
        <w:ind w:firstLine="480" w:firstLineChars="200"/>
        <w:rPr>
          <w:kern w:val="0"/>
          <w:sz w:val="24"/>
        </w:rPr>
      </w:pPr>
      <w:r>
        <w:rPr>
          <w:rFonts w:hint="eastAsia"/>
          <w:kern w:val="0"/>
          <w:sz w:val="24"/>
        </w:rPr>
        <w:t>通过其他销售机构认购本基金的认购费率如下表：</w:t>
      </w:r>
    </w:p>
    <w:tbl>
      <w:tblPr>
        <w:tblStyle w:val="28"/>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14"/>
        <w:gridCol w:w="3002"/>
      </w:tblGrid>
      <w:tr w14:paraId="0C1A3B8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414" w:type="dxa"/>
            <w:shd w:val="clear" w:color="auto" w:fill="FFFFFF"/>
            <w:vAlign w:val="center"/>
          </w:tcPr>
          <w:p w14:paraId="46352CBD">
            <w:pPr>
              <w:adjustRightInd w:val="0"/>
              <w:snapToGrid w:val="0"/>
              <w:jc w:val="center"/>
              <w:rPr>
                <w:b/>
                <w:sz w:val="24"/>
              </w:rPr>
            </w:pPr>
            <w:r>
              <w:rPr>
                <w:b/>
                <w:sz w:val="24"/>
              </w:rPr>
              <w:t>认购金额（含认购费）</w:t>
            </w:r>
          </w:p>
        </w:tc>
        <w:tc>
          <w:tcPr>
            <w:tcW w:w="3002" w:type="dxa"/>
            <w:shd w:val="clear" w:color="auto" w:fill="FFFFFF"/>
            <w:vAlign w:val="center"/>
          </w:tcPr>
          <w:p w14:paraId="3C5E2272">
            <w:pPr>
              <w:adjustRightInd w:val="0"/>
              <w:snapToGrid w:val="0"/>
              <w:jc w:val="center"/>
              <w:rPr>
                <w:b/>
                <w:sz w:val="24"/>
              </w:rPr>
            </w:pPr>
            <w:r>
              <w:rPr>
                <w:b/>
                <w:sz w:val="24"/>
              </w:rPr>
              <w:t>认购费率</w:t>
            </w:r>
          </w:p>
        </w:tc>
      </w:tr>
      <w:tr w14:paraId="11A3C87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06E370F5">
            <w:pPr>
              <w:adjustRightInd w:val="0"/>
              <w:snapToGrid w:val="0"/>
              <w:rPr>
                <w:sz w:val="24"/>
              </w:rPr>
            </w:pPr>
            <w:r>
              <w:rPr>
                <w:rFonts w:hint="eastAsia"/>
                <w:sz w:val="24"/>
              </w:rPr>
              <w:t>5</w:t>
            </w:r>
            <w:r>
              <w:rPr>
                <w:sz w:val="24"/>
              </w:rPr>
              <w:t>00万元以下</w:t>
            </w:r>
          </w:p>
        </w:tc>
        <w:tc>
          <w:tcPr>
            <w:tcW w:w="3002" w:type="dxa"/>
          </w:tcPr>
          <w:p w14:paraId="5E78A48D">
            <w:pPr>
              <w:adjustRightInd w:val="0"/>
              <w:snapToGrid w:val="0"/>
              <w:jc w:val="center"/>
              <w:rPr>
                <w:sz w:val="24"/>
              </w:rPr>
            </w:pPr>
            <w:r>
              <w:rPr>
                <w:sz w:val="24"/>
              </w:rPr>
              <w:t>0.</w:t>
            </w:r>
            <w:r>
              <w:rPr>
                <w:rFonts w:hint="eastAsia"/>
                <w:sz w:val="24"/>
              </w:rPr>
              <w:t>5</w:t>
            </w:r>
            <w:r>
              <w:rPr>
                <w:sz w:val="24"/>
              </w:rPr>
              <w:t>%</w:t>
            </w:r>
          </w:p>
        </w:tc>
      </w:tr>
      <w:tr w14:paraId="785BB8D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1A4497E9">
            <w:pPr>
              <w:adjustRightInd w:val="0"/>
              <w:snapToGrid w:val="0"/>
              <w:rPr>
                <w:sz w:val="24"/>
              </w:rPr>
            </w:pPr>
            <w:r>
              <w:rPr>
                <w:rFonts w:hint="eastAsia"/>
                <w:sz w:val="24"/>
              </w:rPr>
              <w:t>500万元（含）至1000万元</w:t>
            </w:r>
          </w:p>
        </w:tc>
        <w:tc>
          <w:tcPr>
            <w:tcW w:w="3002" w:type="dxa"/>
          </w:tcPr>
          <w:p w14:paraId="61B0DD30">
            <w:pPr>
              <w:adjustRightInd w:val="0"/>
              <w:snapToGrid w:val="0"/>
              <w:jc w:val="center"/>
              <w:rPr>
                <w:sz w:val="24"/>
              </w:rPr>
            </w:pPr>
            <w:r>
              <w:rPr>
                <w:sz w:val="24"/>
              </w:rPr>
              <w:t>0.</w:t>
            </w:r>
            <w:r>
              <w:rPr>
                <w:rFonts w:hint="eastAsia"/>
                <w:sz w:val="24"/>
              </w:rPr>
              <w:t>3%</w:t>
            </w:r>
          </w:p>
        </w:tc>
      </w:tr>
      <w:tr w14:paraId="67DF003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0FE27F0D">
            <w:pPr>
              <w:adjustRightInd w:val="0"/>
              <w:snapToGrid w:val="0"/>
              <w:rPr>
                <w:sz w:val="24"/>
              </w:rPr>
            </w:pPr>
            <w:r>
              <w:rPr>
                <w:rFonts w:hint="eastAsia"/>
                <w:sz w:val="24"/>
              </w:rPr>
              <w:t>10</w:t>
            </w:r>
            <w:r>
              <w:rPr>
                <w:sz w:val="24"/>
              </w:rPr>
              <w:t>00万元以上（含</w:t>
            </w:r>
            <w:r>
              <w:rPr>
                <w:rFonts w:hint="eastAsia"/>
                <w:sz w:val="24"/>
              </w:rPr>
              <w:t>10</w:t>
            </w:r>
            <w:r>
              <w:rPr>
                <w:sz w:val="24"/>
              </w:rPr>
              <w:t>00万元）</w:t>
            </w:r>
          </w:p>
        </w:tc>
        <w:tc>
          <w:tcPr>
            <w:tcW w:w="3002" w:type="dxa"/>
          </w:tcPr>
          <w:p w14:paraId="6594E23D">
            <w:pPr>
              <w:adjustRightInd w:val="0"/>
              <w:snapToGrid w:val="0"/>
              <w:jc w:val="center"/>
              <w:rPr>
                <w:sz w:val="24"/>
              </w:rPr>
            </w:pPr>
            <w:r>
              <w:rPr>
                <w:sz w:val="24"/>
              </w:rPr>
              <w:t>每笔交易1000元</w:t>
            </w:r>
          </w:p>
        </w:tc>
      </w:tr>
    </w:tbl>
    <w:p w14:paraId="7C347DA8">
      <w:pPr>
        <w:widowControl/>
        <w:adjustRightInd w:val="0"/>
        <w:snapToGrid w:val="0"/>
        <w:spacing w:line="360" w:lineRule="auto"/>
        <w:ind w:firstLine="480" w:firstLineChars="200"/>
        <w:rPr>
          <w:kern w:val="0"/>
          <w:sz w:val="24"/>
        </w:rPr>
      </w:pPr>
      <w:r>
        <w:rPr>
          <w:kern w:val="0"/>
          <w:sz w:val="24"/>
        </w:rPr>
        <w:t>（3）认购份额的计算</w:t>
      </w:r>
    </w:p>
    <w:p w14:paraId="7C117665">
      <w:pPr>
        <w:widowControl/>
        <w:adjustRightInd w:val="0"/>
        <w:snapToGrid w:val="0"/>
        <w:spacing w:line="360" w:lineRule="auto"/>
        <w:ind w:firstLine="480" w:firstLineChars="200"/>
        <w:rPr>
          <w:color w:val="000000"/>
          <w:kern w:val="0"/>
          <w:sz w:val="24"/>
        </w:rPr>
      </w:pPr>
      <w:r>
        <w:rPr>
          <w:rFonts w:hint="eastAsia"/>
          <w:color w:val="000000"/>
          <w:kern w:val="0"/>
          <w:sz w:val="24"/>
        </w:rPr>
        <w:t>基金认购采用</w:t>
      </w:r>
      <w:r>
        <w:rPr>
          <w:color w:val="000000"/>
          <w:kern w:val="0"/>
          <w:sz w:val="24"/>
        </w:rPr>
        <w:t>金额</w:t>
      </w:r>
      <w:r>
        <w:rPr>
          <w:rFonts w:hint="eastAsia"/>
          <w:color w:val="000000"/>
          <w:kern w:val="0"/>
          <w:sz w:val="24"/>
        </w:rPr>
        <w:t>认购的方式。</w:t>
      </w:r>
    </w:p>
    <w:p w14:paraId="480E3509">
      <w:pPr>
        <w:widowControl/>
        <w:adjustRightInd w:val="0"/>
        <w:snapToGrid w:val="0"/>
        <w:spacing w:line="360" w:lineRule="auto"/>
        <w:ind w:firstLine="480" w:firstLineChars="200"/>
        <w:rPr>
          <w:color w:val="000000"/>
          <w:kern w:val="0"/>
          <w:sz w:val="24"/>
        </w:rPr>
      </w:pPr>
      <w:r>
        <w:rPr>
          <w:rFonts w:hint="eastAsia"/>
          <w:color w:val="000000"/>
          <w:kern w:val="0"/>
          <w:sz w:val="24"/>
        </w:rPr>
        <w:t>1）基金份额的认购</w:t>
      </w:r>
    </w:p>
    <w:p w14:paraId="1E64B660">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6BDB9B07">
      <w:pPr>
        <w:widowControl/>
        <w:adjustRightInd w:val="0"/>
        <w:snapToGrid w:val="0"/>
        <w:spacing w:line="360" w:lineRule="auto"/>
        <w:ind w:firstLine="480" w:firstLineChars="200"/>
        <w:rPr>
          <w:sz w:val="24"/>
        </w:rPr>
      </w:pPr>
      <w:r>
        <w:rPr>
          <w:sz w:val="24"/>
        </w:rPr>
        <w:t>认购总金额=申请总金额</w:t>
      </w:r>
    </w:p>
    <w:p w14:paraId="14C0414C">
      <w:pPr>
        <w:widowControl/>
        <w:adjustRightInd w:val="0"/>
        <w:snapToGrid w:val="0"/>
        <w:spacing w:line="360" w:lineRule="auto"/>
        <w:ind w:firstLine="480" w:firstLineChars="200"/>
        <w:rPr>
          <w:sz w:val="24"/>
        </w:rPr>
      </w:pPr>
      <w:r>
        <w:rPr>
          <w:sz w:val="24"/>
        </w:rPr>
        <w:t>净认购金额=认购总金额/（1+认购费率）</w:t>
      </w:r>
    </w:p>
    <w:p w14:paraId="725B3CCA">
      <w:pPr>
        <w:widowControl/>
        <w:adjustRightInd w:val="0"/>
        <w:snapToGrid w:val="0"/>
        <w:spacing w:line="360" w:lineRule="auto"/>
        <w:ind w:firstLine="480" w:firstLineChars="200"/>
        <w:rPr>
          <w:sz w:val="24"/>
        </w:rPr>
      </w:pPr>
      <w:r>
        <w:rPr>
          <w:sz w:val="24"/>
        </w:rPr>
        <w:t>（注：</w:t>
      </w:r>
      <w:r>
        <w:rPr>
          <w:rFonts w:hint="eastAsia"/>
          <w:sz w:val="24"/>
        </w:rPr>
        <w:t>①</w:t>
      </w:r>
      <w:r>
        <w:rPr>
          <w:sz w:val="24"/>
        </w:rPr>
        <w:t>对于适用固定金额认购费用的认购，净认购金额＝认购总金额－固定认购费用金额</w:t>
      </w:r>
      <w:r>
        <w:rPr>
          <w:rFonts w:hint="eastAsia"/>
          <w:sz w:val="24"/>
        </w:rPr>
        <w:t>；②对于通过直销机构认购的，认购费率均为0</w:t>
      </w:r>
      <w:r>
        <w:rPr>
          <w:sz w:val="24"/>
        </w:rPr>
        <w:t>）</w:t>
      </w:r>
    </w:p>
    <w:p w14:paraId="6EEE91A4">
      <w:pPr>
        <w:widowControl/>
        <w:adjustRightInd w:val="0"/>
        <w:snapToGrid w:val="0"/>
        <w:spacing w:line="360" w:lineRule="auto"/>
        <w:ind w:firstLine="480" w:firstLineChars="200"/>
        <w:rPr>
          <w:sz w:val="24"/>
        </w:rPr>
      </w:pPr>
      <w:r>
        <w:rPr>
          <w:sz w:val="24"/>
        </w:rPr>
        <w:t>认购费用=认购总金额-净认购金额</w:t>
      </w:r>
    </w:p>
    <w:p w14:paraId="13CD97E1">
      <w:pPr>
        <w:widowControl/>
        <w:adjustRightInd w:val="0"/>
        <w:snapToGrid w:val="0"/>
        <w:spacing w:line="360" w:lineRule="auto"/>
        <w:ind w:firstLine="480" w:firstLineChars="200"/>
        <w:rPr>
          <w:sz w:val="24"/>
        </w:rPr>
      </w:pPr>
      <w:r>
        <w:rPr>
          <w:sz w:val="24"/>
        </w:rPr>
        <w:t>（注：对于适用固定金额认购费用的认购，认购费用＝固定认购费用金额）</w:t>
      </w:r>
    </w:p>
    <w:p w14:paraId="061923A5">
      <w:pPr>
        <w:widowControl/>
        <w:adjustRightInd w:val="0"/>
        <w:snapToGrid w:val="0"/>
        <w:spacing w:line="360" w:lineRule="auto"/>
        <w:ind w:firstLine="480" w:firstLineChars="200"/>
        <w:rPr>
          <w:sz w:val="24"/>
        </w:rPr>
      </w:pPr>
      <w:r>
        <w:rPr>
          <w:sz w:val="24"/>
        </w:rPr>
        <w:t>认购份额=净认购金额/基金份额初始面值+认购</w:t>
      </w:r>
      <w:r>
        <w:rPr>
          <w:rFonts w:hint="eastAsia"/>
          <w:sz w:val="24"/>
        </w:rPr>
        <w:t>资金</w:t>
      </w:r>
      <w:r>
        <w:rPr>
          <w:sz w:val="24"/>
        </w:rPr>
        <w:t>利息/基金份额初始面值</w:t>
      </w:r>
    </w:p>
    <w:p w14:paraId="42884046">
      <w:pPr>
        <w:widowControl/>
        <w:adjustRightInd w:val="0"/>
        <w:snapToGrid w:val="0"/>
        <w:spacing w:line="360" w:lineRule="auto"/>
        <w:ind w:firstLine="480" w:firstLineChars="200"/>
        <w:rPr>
          <w:sz w:val="24"/>
        </w:rPr>
      </w:pPr>
      <w:r>
        <w:rPr>
          <w:sz w:val="24"/>
        </w:rPr>
        <w:t>认购份额的计算</w:t>
      </w:r>
      <w:r>
        <w:rPr>
          <w:rFonts w:hint="eastAsia"/>
          <w:sz w:val="24"/>
        </w:rPr>
        <w:t>结果</w:t>
      </w:r>
      <w:r>
        <w:rPr>
          <w:sz w:val="24"/>
        </w:rPr>
        <w:t>保留到小数点后2位，小数点2位以后的部分四舍五入，由此误差产生的收益或损失由基金财产承担。</w:t>
      </w:r>
    </w:p>
    <w:p w14:paraId="112E4D3E">
      <w:pPr>
        <w:widowControl/>
        <w:adjustRightInd w:val="0"/>
        <w:snapToGrid w:val="0"/>
        <w:spacing w:line="360" w:lineRule="auto"/>
        <w:ind w:firstLine="480" w:firstLineChars="200"/>
        <w:rPr>
          <w:sz w:val="24"/>
        </w:rPr>
      </w:pPr>
      <w:r>
        <w:rPr>
          <w:rFonts w:hint="eastAsia"/>
          <w:sz w:val="24"/>
        </w:rPr>
        <w:t>例一：某投资者通过直销机构认购本基金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元，认购费率为</w:t>
      </w:r>
      <w:r>
        <w:rPr>
          <w:sz w:val="24"/>
        </w:rPr>
        <w:t>0</w:t>
      </w:r>
      <w:r>
        <w:rPr>
          <w:rFonts w:hint="eastAsia"/>
          <w:sz w:val="24"/>
        </w:rPr>
        <w:t>，则可认购基金份额为：</w:t>
      </w:r>
    </w:p>
    <w:p w14:paraId="08C599D1">
      <w:pPr>
        <w:widowControl/>
        <w:adjustRightInd w:val="0"/>
        <w:snapToGrid w:val="0"/>
        <w:spacing w:line="360" w:lineRule="auto"/>
        <w:ind w:firstLine="480" w:firstLineChars="200"/>
        <w:rPr>
          <w:sz w:val="24"/>
        </w:rPr>
      </w:pPr>
      <w:r>
        <w:rPr>
          <w:rFonts w:hint="eastAsia"/>
          <w:sz w:val="24"/>
        </w:rPr>
        <w:t>认购总金额</w:t>
      </w:r>
      <w:r>
        <w:rPr>
          <w:sz w:val="24"/>
        </w:rPr>
        <w:t>=100,000.00</w:t>
      </w:r>
      <w:r>
        <w:rPr>
          <w:rFonts w:hint="eastAsia"/>
          <w:sz w:val="24"/>
        </w:rPr>
        <w:t>元</w:t>
      </w:r>
    </w:p>
    <w:p w14:paraId="3A7AEA25">
      <w:pPr>
        <w:widowControl/>
        <w:adjustRightInd w:val="0"/>
        <w:snapToGrid w:val="0"/>
        <w:spacing w:line="360" w:lineRule="auto"/>
        <w:ind w:firstLine="480" w:firstLineChars="200"/>
        <w:rPr>
          <w:sz w:val="24"/>
        </w:rPr>
      </w:pPr>
      <w:r>
        <w:rPr>
          <w:rFonts w:hint="eastAsia"/>
          <w:sz w:val="24"/>
        </w:rPr>
        <w:t>净认购金额＝</w:t>
      </w:r>
      <w:r>
        <w:rPr>
          <w:sz w:val="24"/>
        </w:rPr>
        <w:t>100,000.00/</w:t>
      </w:r>
      <w:r>
        <w:rPr>
          <w:rFonts w:hint="eastAsia"/>
          <w:sz w:val="24"/>
        </w:rPr>
        <w:t>（</w:t>
      </w:r>
      <w:r>
        <w:rPr>
          <w:sz w:val="24"/>
        </w:rPr>
        <w:t>1</w:t>
      </w:r>
      <w:r>
        <w:rPr>
          <w:rFonts w:hint="eastAsia"/>
          <w:sz w:val="24"/>
        </w:rPr>
        <w:t>＋</w:t>
      </w:r>
      <w:r>
        <w:rPr>
          <w:sz w:val="24"/>
        </w:rPr>
        <w:t>0</w:t>
      </w:r>
      <w:r>
        <w:rPr>
          <w:rFonts w:hint="eastAsia"/>
          <w:sz w:val="24"/>
        </w:rPr>
        <w:t>）＝</w:t>
      </w:r>
      <w:r>
        <w:rPr>
          <w:sz w:val="24"/>
        </w:rPr>
        <w:t>100,000.00</w:t>
      </w:r>
      <w:r>
        <w:rPr>
          <w:rFonts w:hint="eastAsia"/>
          <w:sz w:val="24"/>
        </w:rPr>
        <w:t>元</w:t>
      </w:r>
    </w:p>
    <w:p w14:paraId="5607E61E">
      <w:pPr>
        <w:widowControl/>
        <w:adjustRightInd w:val="0"/>
        <w:snapToGrid w:val="0"/>
        <w:spacing w:line="360" w:lineRule="auto"/>
        <w:ind w:firstLine="480" w:firstLineChars="200"/>
        <w:rPr>
          <w:sz w:val="24"/>
        </w:rPr>
      </w:pPr>
      <w:r>
        <w:rPr>
          <w:rFonts w:hint="eastAsia"/>
          <w:sz w:val="24"/>
        </w:rPr>
        <w:t>认购费用＝</w:t>
      </w:r>
      <w:r>
        <w:rPr>
          <w:sz w:val="24"/>
        </w:rPr>
        <w:t>100,000.00-100,000.00=0.00</w:t>
      </w:r>
      <w:r>
        <w:rPr>
          <w:rFonts w:hint="eastAsia"/>
          <w:sz w:val="24"/>
        </w:rPr>
        <w:t>元</w:t>
      </w:r>
    </w:p>
    <w:p w14:paraId="367604DC">
      <w:pPr>
        <w:widowControl/>
        <w:adjustRightInd w:val="0"/>
        <w:snapToGrid w:val="0"/>
        <w:spacing w:line="360" w:lineRule="auto"/>
        <w:ind w:firstLine="480" w:firstLineChars="200"/>
        <w:rPr>
          <w:sz w:val="24"/>
        </w:rPr>
      </w:pPr>
      <w:r>
        <w:rPr>
          <w:rFonts w:hint="eastAsia"/>
          <w:sz w:val="24"/>
        </w:rPr>
        <w:t>认购份额＝</w:t>
      </w:r>
      <w:r>
        <w:rPr>
          <w:sz w:val="24"/>
        </w:rPr>
        <w:t>100,000.00/1.00</w:t>
      </w:r>
      <w:r>
        <w:rPr>
          <w:rFonts w:hint="eastAsia"/>
          <w:sz w:val="24"/>
        </w:rPr>
        <w:t>＋</w:t>
      </w:r>
      <w:r>
        <w:rPr>
          <w:sz w:val="24"/>
        </w:rPr>
        <w:t>10.00/1.00</w:t>
      </w:r>
      <w:r>
        <w:rPr>
          <w:rFonts w:hint="eastAsia"/>
          <w:sz w:val="24"/>
        </w:rPr>
        <w:t>＝</w:t>
      </w:r>
      <w:r>
        <w:rPr>
          <w:sz w:val="24"/>
        </w:rPr>
        <w:t>100,010.00</w:t>
      </w:r>
      <w:r>
        <w:rPr>
          <w:rFonts w:hint="eastAsia"/>
          <w:sz w:val="24"/>
        </w:rPr>
        <w:t>份</w:t>
      </w:r>
    </w:p>
    <w:p w14:paraId="621874CA">
      <w:pPr>
        <w:widowControl/>
        <w:adjustRightInd w:val="0"/>
        <w:snapToGrid w:val="0"/>
        <w:spacing w:line="360" w:lineRule="auto"/>
        <w:ind w:firstLine="480" w:firstLineChars="200"/>
        <w:rPr>
          <w:sz w:val="24"/>
        </w:rPr>
      </w:pPr>
      <w:r>
        <w:rPr>
          <w:rFonts w:hint="eastAsia"/>
          <w:sz w:val="24"/>
        </w:rPr>
        <w:t>即：若该投资者通过直销机构认购本基金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元，则可得到</w:t>
      </w:r>
      <w:r>
        <w:rPr>
          <w:sz w:val="24"/>
        </w:rPr>
        <w:t>100,010.00</w:t>
      </w:r>
      <w:r>
        <w:rPr>
          <w:rFonts w:hint="eastAsia"/>
          <w:sz w:val="24"/>
        </w:rPr>
        <w:t>份基金份额。</w:t>
      </w:r>
    </w:p>
    <w:p w14:paraId="48C80991">
      <w:pPr>
        <w:widowControl/>
        <w:adjustRightInd w:val="0"/>
        <w:snapToGrid w:val="0"/>
        <w:spacing w:line="360" w:lineRule="auto"/>
        <w:ind w:firstLine="480" w:firstLineChars="200"/>
        <w:rPr>
          <w:sz w:val="24"/>
        </w:rPr>
      </w:pPr>
      <w:r>
        <w:rPr>
          <w:rFonts w:hint="eastAsia"/>
          <w:sz w:val="24"/>
        </w:rPr>
        <w:t>例二：某投资者通过其他销售机构认购本基金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元，认购费率为</w:t>
      </w:r>
      <w:r>
        <w:rPr>
          <w:sz w:val="24"/>
        </w:rPr>
        <w:t>0.</w:t>
      </w:r>
      <w:r>
        <w:rPr>
          <w:rFonts w:hint="eastAsia"/>
          <w:sz w:val="24"/>
        </w:rPr>
        <w:t>5%，则可认购基金份额为：</w:t>
      </w:r>
    </w:p>
    <w:p w14:paraId="1E30F7E9">
      <w:pPr>
        <w:widowControl/>
        <w:adjustRightInd w:val="0"/>
        <w:snapToGrid w:val="0"/>
        <w:spacing w:line="360" w:lineRule="auto"/>
        <w:ind w:firstLine="480" w:firstLineChars="200"/>
        <w:rPr>
          <w:sz w:val="24"/>
        </w:rPr>
      </w:pPr>
      <w:r>
        <w:rPr>
          <w:rFonts w:hint="eastAsia"/>
          <w:sz w:val="24"/>
        </w:rPr>
        <w:t>认购总金额=100,000.00元</w:t>
      </w:r>
    </w:p>
    <w:p w14:paraId="6AF1A90E">
      <w:pPr>
        <w:widowControl/>
        <w:adjustRightInd w:val="0"/>
        <w:snapToGrid w:val="0"/>
        <w:spacing w:line="360" w:lineRule="auto"/>
        <w:ind w:firstLine="480" w:firstLineChars="200"/>
        <w:rPr>
          <w:sz w:val="24"/>
        </w:rPr>
      </w:pPr>
      <w:r>
        <w:rPr>
          <w:rFonts w:hint="eastAsia"/>
          <w:sz w:val="24"/>
        </w:rPr>
        <w:t>净认购金额＝100,000.00/（1＋0.5%）＝99,502.49元</w:t>
      </w:r>
    </w:p>
    <w:p w14:paraId="552A9654">
      <w:pPr>
        <w:widowControl/>
        <w:adjustRightInd w:val="0"/>
        <w:snapToGrid w:val="0"/>
        <w:spacing w:line="360" w:lineRule="auto"/>
        <w:ind w:firstLine="480" w:firstLineChars="200"/>
        <w:rPr>
          <w:sz w:val="24"/>
        </w:rPr>
      </w:pPr>
      <w:r>
        <w:rPr>
          <w:rFonts w:hint="eastAsia"/>
          <w:sz w:val="24"/>
        </w:rPr>
        <w:t>认购费用＝</w:t>
      </w:r>
      <w:bookmarkStart w:id="18" w:name="OLE_LINK3"/>
      <w:r>
        <w:rPr>
          <w:rFonts w:hint="eastAsia"/>
          <w:sz w:val="24"/>
        </w:rPr>
        <w:t>100,000.00-99,502.49</w:t>
      </w:r>
      <w:bookmarkEnd w:id="18"/>
      <w:r>
        <w:rPr>
          <w:rFonts w:hint="eastAsia"/>
          <w:sz w:val="24"/>
        </w:rPr>
        <w:t>＝497.51元</w:t>
      </w:r>
    </w:p>
    <w:p w14:paraId="54BB4106">
      <w:pPr>
        <w:widowControl/>
        <w:adjustRightInd w:val="0"/>
        <w:snapToGrid w:val="0"/>
        <w:spacing w:line="360" w:lineRule="auto"/>
        <w:ind w:firstLine="480" w:firstLineChars="200"/>
        <w:rPr>
          <w:sz w:val="24"/>
        </w:rPr>
      </w:pPr>
      <w:r>
        <w:rPr>
          <w:rFonts w:hint="eastAsia"/>
          <w:sz w:val="24"/>
        </w:rPr>
        <w:t>认购份额＝99,502.49/1.00＋10.00/1.00＝99,512.49份</w:t>
      </w:r>
    </w:p>
    <w:p w14:paraId="4BB53676">
      <w:pPr>
        <w:widowControl/>
        <w:adjustRightInd w:val="0"/>
        <w:snapToGrid w:val="0"/>
        <w:spacing w:line="360" w:lineRule="auto"/>
        <w:ind w:firstLine="480" w:firstLineChars="200"/>
        <w:rPr>
          <w:sz w:val="24"/>
        </w:rPr>
      </w:pPr>
      <w:r>
        <w:rPr>
          <w:rFonts w:hint="eastAsia"/>
          <w:sz w:val="24"/>
        </w:rPr>
        <w:t>即：若该投资者通过其他销售机构认购本基金100,000.00元，且该认购申请被全额确认，假定该笔认购金额产生的利息为10.00元，则投资100,000.00元本金可得到99,512.49份基金份额。</w:t>
      </w:r>
    </w:p>
    <w:p w14:paraId="473DC064">
      <w:pPr>
        <w:widowControl/>
        <w:adjustRightInd w:val="0"/>
        <w:snapToGrid w:val="0"/>
        <w:spacing w:line="360" w:lineRule="auto"/>
        <w:ind w:firstLine="480" w:firstLineChars="200"/>
        <w:rPr>
          <w:sz w:val="24"/>
          <w:szCs w:val="21"/>
        </w:rPr>
      </w:pPr>
      <w:r>
        <w:rPr>
          <w:sz w:val="24"/>
          <w:szCs w:val="21"/>
        </w:rPr>
        <w:t>4、认购的程序</w:t>
      </w:r>
    </w:p>
    <w:p w14:paraId="61238907">
      <w:pPr>
        <w:widowControl/>
        <w:adjustRightInd w:val="0"/>
        <w:snapToGrid w:val="0"/>
        <w:spacing w:line="360" w:lineRule="auto"/>
        <w:ind w:firstLine="480" w:firstLineChars="200"/>
        <w:rPr>
          <w:sz w:val="24"/>
          <w:szCs w:val="21"/>
        </w:rPr>
      </w:pPr>
      <w:r>
        <w:rPr>
          <w:sz w:val="24"/>
          <w:szCs w:val="21"/>
        </w:rPr>
        <w:t>（1）申请方式：书面申请或基金管理人公告的其他方式。</w:t>
      </w:r>
    </w:p>
    <w:p w14:paraId="33A37E58">
      <w:pPr>
        <w:widowControl/>
        <w:adjustRightInd w:val="0"/>
        <w:snapToGrid w:val="0"/>
        <w:spacing w:line="360" w:lineRule="auto"/>
        <w:ind w:firstLine="480" w:firstLineChars="200"/>
        <w:rPr>
          <w:sz w:val="24"/>
          <w:szCs w:val="21"/>
        </w:rPr>
      </w:pPr>
      <w:r>
        <w:rPr>
          <w:sz w:val="24"/>
          <w:szCs w:val="21"/>
        </w:rPr>
        <w:t>（2）认购款项支付：投资人认购时，采用全额缴款方式。</w:t>
      </w:r>
    </w:p>
    <w:p w14:paraId="65CE3853">
      <w:pPr>
        <w:widowControl/>
        <w:adjustRightInd w:val="0"/>
        <w:snapToGrid w:val="0"/>
        <w:spacing w:line="360" w:lineRule="auto"/>
        <w:ind w:firstLine="480" w:firstLineChars="200"/>
        <w:rPr>
          <w:sz w:val="24"/>
          <w:szCs w:val="21"/>
        </w:rPr>
      </w:pPr>
      <w:r>
        <w:rPr>
          <w:sz w:val="24"/>
          <w:szCs w:val="21"/>
        </w:rPr>
        <w:t>5、认购的确认</w:t>
      </w:r>
    </w:p>
    <w:p w14:paraId="7CC75414">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w:t>
      </w:r>
      <w:r>
        <w:rPr>
          <w:rFonts w:hint="eastAsia"/>
          <w:sz w:val="24"/>
          <w:szCs w:val="21"/>
        </w:rPr>
        <w:t>基金销售机构对认购申请的受理并不代表该申请一定成功，而仅代表销售机构确实接收到认购申请。认购的确认以登记机构的确认结果为准。对于认购申请及认购份额的确认情况，投资人应及时查询</w:t>
      </w:r>
      <w:r>
        <w:rPr>
          <w:rFonts w:hAnsi="宋体"/>
          <w:sz w:val="24"/>
        </w:rPr>
        <w:t>。</w:t>
      </w:r>
      <w:r>
        <w:rPr>
          <w:sz w:val="24"/>
          <w:szCs w:val="21"/>
        </w:rPr>
        <w:t>投资人可以在基金合同生效后到原认购网点打印认购成交确认凭证。</w:t>
      </w:r>
    </w:p>
    <w:p w14:paraId="58F9CFF1">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14:paraId="36EBDCD0">
      <w:pPr>
        <w:widowControl/>
        <w:adjustRightInd w:val="0"/>
        <w:snapToGrid w:val="0"/>
        <w:spacing w:line="360" w:lineRule="auto"/>
        <w:ind w:firstLine="480" w:firstLineChars="200"/>
        <w:rPr>
          <w:sz w:val="24"/>
          <w:szCs w:val="21"/>
        </w:rPr>
      </w:pPr>
      <w:r>
        <w:rPr>
          <w:sz w:val="24"/>
          <w:szCs w:val="21"/>
        </w:rPr>
        <w:t>6、募集期利息的处理方式</w:t>
      </w:r>
    </w:p>
    <w:p w14:paraId="41787B13">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本基金基金合同生效前，投资人的有效认购款项只能存入专门账户，任何人不得动用。有效认购款项在募集期间产生的利息将折算为基金份额归基金份额持有人所有。</w:t>
      </w:r>
    </w:p>
    <w:p w14:paraId="1003F220">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9" w:name="_Hlt91148053"/>
      <w:bookmarkEnd w:id="19"/>
      <w:bookmarkStart w:id="20" w:name="_Hlt90801570"/>
      <w:bookmarkEnd w:id="20"/>
      <w:bookmarkStart w:id="21" w:name="_Hlt91264042"/>
      <w:bookmarkEnd w:id="21"/>
      <w:bookmarkStart w:id="22" w:name="_Hlt91264078"/>
      <w:bookmarkEnd w:id="22"/>
      <w:bookmarkStart w:id="23" w:name="_Hlt90455312"/>
      <w:bookmarkEnd w:id="23"/>
      <w:bookmarkStart w:id="24" w:name="_Toc109537384"/>
      <w:r>
        <w:rPr>
          <w:sz w:val="24"/>
          <w:szCs w:val="21"/>
        </w:rPr>
        <w:t>。</w:t>
      </w:r>
    </w:p>
    <w:p w14:paraId="71C5D795">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17"/>
      <w:bookmarkStart w:id="25" w:name="_Toc56690587"/>
      <w:bookmarkStart w:id="26" w:name="_Hlk195284386"/>
      <w:r>
        <w:rPr>
          <w:rFonts w:hint="eastAsia" w:ascii="宋体" w:hAnsi="宋体"/>
          <w:b/>
          <w:kern w:val="0"/>
          <w:sz w:val="30"/>
        </w:rPr>
        <w:t>七、基金合同的生效</w:t>
      </w:r>
      <w:bookmarkEnd w:id="25"/>
    </w:p>
    <w:bookmarkEnd w:id="24"/>
    <w:p w14:paraId="1A074B48">
      <w:pPr>
        <w:pStyle w:val="4"/>
        <w:autoSpaceDE w:val="0"/>
        <w:autoSpaceDN w:val="0"/>
        <w:adjustRightInd w:val="0"/>
        <w:snapToGrid w:val="0"/>
        <w:spacing w:line="360" w:lineRule="auto"/>
        <w:ind w:firstLine="482"/>
        <w:rPr>
          <w:b/>
          <w:sz w:val="24"/>
        </w:rPr>
      </w:pPr>
      <w:bookmarkStart w:id="27" w:name="_Hlt88901074"/>
      <w:bookmarkEnd w:id="27"/>
      <w:bookmarkStart w:id="28" w:name="_Toc79392603"/>
      <w:bookmarkStart w:id="29" w:name="_Toc57530272"/>
      <w:bookmarkStart w:id="30" w:name="_Toc15118260"/>
      <w:bookmarkStart w:id="31" w:name="_Toc109537386"/>
      <w:r>
        <w:rPr>
          <w:rFonts w:hAnsi="宋体"/>
          <w:b/>
          <w:sz w:val="24"/>
        </w:rPr>
        <w:t>（一）基金备案的条件</w:t>
      </w:r>
    </w:p>
    <w:p w14:paraId="1C60C724">
      <w:pPr>
        <w:adjustRightInd w:val="0"/>
        <w:snapToGrid w:val="0"/>
        <w:spacing w:line="360" w:lineRule="auto"/>
        <w:ind w:firstLine="480" w:firstLineChars="200"/>
        <w:rPr>
          <w:rFonts w:hint="eastAsia" w:hAnsi="宋体"/>
          <w:sz w:val="24"/>
        </w:rPr>
      </w:pPr>
      <w:r>
        <w:rPr>
          <w:rFonts w:hint="eastAsia" w:hAnsi="宋体"/>
          <w:sz w:val="24"/>
        </w:rPr>
        <w:t>本基金自基金份额发售之日起3个月内，</w:t>
      </w:r>
      <w:r>
        <w:rPr>
          <w:rFonts w:hint="eastAsia"/>
          <w:bCs/>
          <w:sz w:val="24"/>
        </w:rPr>
        <w:t>在基金募集份额总额不少于2亿份，基金募集金额不少于2亿元人民币且基金认购人数不少于200人的条件下</w:t>
      </w:r>
      <w:r>
        <w:rPr>
          <w:rFonts w:hint="eastAsia" w:hAnsi="宋体"/>
          <w:sz w:val="24"/>
        </w:rPr>
        <w:t>，基金募集期届满或基金管理人依据法律法规及招募说明书可以决定停止基金发售，并在10日内聘请法定验资机构验资，自收到验资报告之日起10日内，向中国证监会办理基金备案手续。</w:t>
      </w:r>
    </w:p>
    <w:p w14:paraId="44D459BF">
      <w:pPr>
        <w:adjustRightInd w:val="0"/>
        <w:snapToGrid w:val="0"/>
        <w:spacing w:line="360" w:lineRule="auto"/>
        <w:ind w:firstLine="480" w:firstLineChars="200"/>
        <w:rPr>
          <w:rFonts w:hint="eastAsia"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D94CA05">
      <w:pPr>
        <w:adjustRightInd w:val="0"/>
        <w:snapToGrid w:val="0"/>
        <w:spacing w:line="360" w:lineRule="auto"/>
        <w:ind w:firstLine="482" w:firstLineChars="200"/>
        <w:rPr>
          <w:bCs/>
          <w:sz w:val="24"/>
        </w:rPr>
      </w:pPr>
      <w:r>
        <w:rPr>
          <w:rFonts w:hAnsi="宋体"/>
          <w:b/>
          <w:sz w:val="24"/>
        </w:rPr>
        <w:t>（二）</w:t>
      </w:r>
      <w:r>
        <w:rPr>
          <w:b/>
          <w:bCs/>
          <w:sz w:val="24"/>
        </w:rPr>
        <w:t>基金合同不能生效时募集资金的处理方式</w:t>
      </w:r>
    </w:p>
    <w:p w14:paraId="7149C5F3">
      <w:pPr>
        <w:adjustRightInd w:val="0"/>
        <w:snapToGrid w:val="0"/>
        <w:spacing w:line="360" w:lineRule="auto"/>
        <w:ind w:firstLine="480" w:firstLineChars="200"/>
        <w:rPr>
          <w:rFonts w:hint="eastAsia" w:hAnsi="宋体"/>
          <w:sz w:val="24"/>
        </w:rPr>
      </w:pPr>
      <w:r>
        <w:rPr>
          <w:rFonts w:hint="eastAsia" w:hAnsi="宋体"/>
          <w:sz w:val="24"/>
        </w:rPr>
        <w:t>如果募集期限届满，未满足基金备案条件，基金管理人应当承担下列责任：</w:t>
      </w:r>
    </w:p>
    <w:p w14:paraId="007661AD">
      <w:pPr>
        <w:adjustRightInd w:val="0"/>
        <w:snapToGrid w:val="0"/>
        <w:spacing w:line="360" w:lineRule="auto"/>
        <w:ind w:firstLine="480" w:firstLineChars="200"/>
        <w:rPr>
          <w:rFonts w:hint="eastAsia" w:hAnsi="宋体"/>
          <w:sz w:val="24"/>
        </w:rPr>
      </w:pPr>
      <w:r>
        <w:rPr>
          <w:rFonts w:hint="eastAsia" w:hAnsi="宋体"/>
          <w:sz w:val="24"/>
        </w:rPr>
        <w:t>1、以其固有财产承担因募集行为而产生的债务和费用；</w:t>
      </w:r>
    </w:p>
    <w:p w14:paraId="215F2978">
      <w:pPr>
        <w:adjustRightInd w:val="0"/>
        <w:snapToGrid w:val="0"/>
        <w:spacing w:line="360" w:lineRule="auto"/>
        <w:ind w:firstLine="480" w:firstLineChars="200"/>
        <w:rPr>
          <w:rFonts w:hint="eastAsia" w:hAnsi="宋体"/>
          <w:sz w:val="24"/>
        </w:rPr>
      </w:pPr>
      <w:r>
        <w:rPr>
          <w:rFonts w:hint="eastAsia" w:hAnsi="宋体"/>
          <w:sz w:val="24"/>
        </w:rPr>
        <w:t>2、在基金募集期限届满后30日内返还投资者已缴纳的款项，并加计银行同期活期存款利息；</w:t>
      </w:r>
    </w:p>
    <w:p w14:paraId="24576590">
      <w:pPr>
        <w:adjustRightInd w:val="0"/>
        <w:snapToGrid w:val="0"/>
        <w:spacing w:line="360" w:lineRule="auto"/>
        <w:ind w:firstLine="480" w:firstLineChars="200"/>
        <w:rPr>
          <w:rFonts w:hint="eastAsia"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14:paraId="4D59350B">
      <w:pPr>
        <w:adjustRightInd w:val="0"/>
        <w:snapToGrid w:val="0"/>
        <w:spacing w:line="360" w:lineRule="auto"/>
        <w:ind w:firstLine="482" w:firstLineChars="200"/>
        <w:rPr>
          <w:b/>
          <w:sz w:val="24"/>
        </w:rPr>
      </w:pPr>
      <w:r>
        <w:rPr>
          <w:rFonts w:hAnsi="宋体"/>
          <w:b/>
          <w:sz w:val="24"/>
        </w:rPr>
        <w:t>（三）基金存续期内的基金份额持有人数量和资产规模</w:t>
      </w:r>
    </w:p>
    <w:bookmarkEnd w:id="28"/>
    <w:bookmarkEnd w:id="29"/>
    <w:bookmarkEnd w:id="30"/>
    <w:p w14:paraId="50DC1086">
      <w:pPr>
        <w:widowControl/>
        <w:adjustRightInd w:val="0"/>
        <w:snapToGrid w:val="0"/>
        <w:spacing w:line="360" w:lineRule="auto"/>
        <w:ind w:firstLine="482"/>
        <w:rPr>
          <w:rFonts w:hint="eastAsia" w:ascii="宋体" w:hAnsi="宋体"/>
          <w:kern w:val="0"/>
          <w:sz w:val="24"/>
          <w:szCs w:val="24"/>
        </w:rPr>
      </w:pPr>
      <w:r>
        <w:rPr>
          <w:rFonts w:ascii="宋体" w:hAnsi="宋体"/>
          <w:kern w:val="0"/>
          <w:sz w:val="24"/>
          <w:szCs w:val="24"/>
        </w:rPr>
        <w:t>《基金合同》生效后，连续20个工作日出现基金份额持有人数量不满200人或者基金资产净值低于5000万元情形的，基金管理人应当在定期报告中予以披露；</w:t>
      </w:r>
      <w:r>
        <w:rPr>
          <w:rFonts w:hint="eastAsia" w:ascii="宋体" w:hAnsi="宋体"/>
          <w:kern w:val="0"/>
          <w:sz w:val="24"/>
          <w:szCs w:val="24"/>
        </w:rPr>
        <w:t>连续60个工作日出现前述情形的，基金管理人应当在10个工作日内向中国证监会报告并提出解决方案，如持续运作、转换运作方式、与其他基金合并或者终止基金合同等，并在6个月内召集基金份额持有人大会</w:t>
      </w:r>
      <w:r>
        <w:rPr>
          <w:rFonts w:ascii="宋体" w:hAnsi="宋体"/>
          <w:kern w:val="0"/>
          <w:sz w:val="24"/>
          <w:szCs w:val="24"/>
        </w:rPr>
        <w:t>。</w:t>
      </w:r>
    </w:p>
    <w:p w14:paraId="39E942B0">
      <w:pPr>
        <w:widowControl/>
        <w:adjustRightInd w:val="0"/>
        <w:snapToGrid w:val="0"/>
        <w:spacing w:line="360" w:lineRule="auto"/>
        <w:ind w:firstLine="482"/>
        <w:rPr>
          <w:rFonts w:hint="eastAsia" w:ascii="宋体" w:hAnsi="宋体"/>
          <w:kern w:val="0"/>
          <w:sz w:val="24"/>
          <w:szCs w:val="24"/>
        </w:rPr>
      </w:pPr>
      <w:r>
        <w:rPr>
          <w:rFonts w:ascii="宋体" w:hAnsi="宋体"/>
          <w:kern w:val="0"/>
          <w:sz w:val="24"/>
          <w:szCs w:val="24"/>
        </w:rPr>
        <w:t>法律法规或中国证监会另有规定时，从其规定。</w:t>
      </w:r>
    </w:p>
    <w:p w14:paraId="0F59C32B"/>
    <w:p w14:paraId="4582E1A2">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26"/>
      <w:bookmarkStart w:id="32" w:name="_Toc56690588"/>
      <w:bookmarkStart w:id="33" w:name="_Hlk195284389"/>
      <w:r>
        <w:rPr>
          <w:rFonts w:hint="eastAsia" w:ascii="宋体" w:hAnsi="宋体"/>
          <w:b/>
          <w:kern w:val="0"/>
          <w:sz w:val="30"/>
        </w:rPr>
        <w:t>八、基金份额的申购与赎回</w:t>
      </w:r>
      <w:bookmarkEnd w:id="31"/>
      <w:bookmarkEnd w:id="32"/>
    </w:p>
    <w:p w14:paraId="7943AA20">
      <w:pPr>
        <w:widowControl/>
        <w:adjustRightInd w:val="0"/>
        <w:snapToGrid w:val="0"/>
        <w:spacing w:line="360" w:lineRule="auto"/>
        <w:ind w:firstLine="482" w:firstLineChars="200"/>
        <w:rPr>
          <w:b/>
          <w:kern w:val="0"/>
          <w:sz w:val="24"/>
          <w:szCs w:val="24"/>
        </w:rPr>
      </w:pPr>
      <w:r>
        <w:rPr>
          <w:rFonts w:hAnsi="宋体"/>
          <w:b/>
          <w:kern w:val="0"/>
          <w:sz w:val="24"/>
          <w:szCs w:val="24"/>
        </w:rPr>
        <w:t>（一）申购和赎回的场所</w:t>
      </w:r>
    </w:p>
    <w:p w14:paraId="7B901009">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4359EE22">
      <w:pPr>
        <w:pStyle w:val="4"/>
        <w:autoSpaceDE w:val="0"/>
        <w:autoSpaceDN w:val="0"/>
        <w:adjustRightInd w:val="0"/>
        <w:snapToGrid w:val="0"/>
        <w:spacing w:line="360" w:lineRule="auto"/>
        <w:ind w:firstLine="480"/>
        <w:rPr>
          <w:sz w:val="24"/>
          <w:szCs w:val="24"/>
        </w:rPr>
      </w:pPr>
      <w:r>
        <w:rPr>
          <w:sz w:val="24"/>
          <w:szCs w:val="24"/>
        </w:rPr>
        <w:t>1</w:t>
      </w:r>
      <w:r>
        <w:rPr>
          <w:rFonts w:hAnsi="宋体"/>
          <w:sz w:val="24"/>
          <w:szCs w:val="24"/>
        </w:rPr>
        <w:t>、本基金管理人的直销机构</w:t>
      </w:r>
    </w:p>
    <w:p w14:paraId="681C954E">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14:paraId="306E4EE7">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14:paraId="78E619E2">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14:paraId="112A351A">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14:paraId="5B0C9367">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14:paraId="2443925F">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14:paraId="0B553120">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14:paraId="08BBD64F">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14:paraId="74D99BED">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14:paraId="4AFB4B42">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14:paraId="057B5218">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14:paraId="1D65E2C6">
      <w:pPr>
        <w:pStyle w:val="4"/>
        <w:autoSpaceDE w:val="0"/>
        <w:autoSpaceDN w:val="0"/>
        <w:adjustRightInd w:val="0"/>
        <w:snapToGrid w:val="0"/>
        <w:spacing w:line="360" w:lineRule="auto"/>
        <w:ind w:firstLine="480"/>
        <w:rPr>
          <w:kern w:val="0"/>
          <w:sz w:val="24"/>
          <w:szCs w:val="24"/>
        </w:rPr>
      </w:pPr>
      <w:r>
        <w:rPr>
          <w:kern w:val="0"/>
          <w:sz w:val="24"/>
        </w:rPr>
        <w:t>2、</w:t>
      </w:r>
      <w:r>
        <w:rPr>
          <w:rFonts w:hint="eastAsia"/>
          <w:kern w:val="0"/>
          <w:sz w:val="24"/>
        </w:rPr>
        <w:t>除基金管理人之外的其他销售</w:t>
      </w:r>
      <w:r>
        <w:rPr>
          <w:kern w:val="0"/>
          <w:sz w:val="24"/>
          <w:szCs w:val="24"/>
        </w:rPr>
        <w:t>机构</w:t>
      </w:r>
    </w:p>
    <w:p w14:paraId="7E2CE41A">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14:paraId="571C0F0B">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07D8A6BC">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2D19776E">
      <w:pPr>
        <w:adjustRightInd w:val="0"/>
        <w:snapToGrid w:val="0"/>
        <w:spacing w:line="360" w:lineRule="auto"/>
        <w:ind w:firstLine="482" w:firstLineChars="200"/>
        <w:rPr>
          <w:sz w:val="24"/>
          <w:szCs w:val="24"/>
        </w:rPr>
      </w:pPr>
      <w:r>
        <w:rPr>
          <w:rFonts w:hAnsi="宋体"/>
          <w:b/>
          <w:kern w:val="0"/>
          <w:sz w:val="24"/>
          <w:szCs w:val="24"/>
        </w:rPr>
        <w:t>（二）申购和赎回的开放日及时间</w:t>
      </w:r>
    </w:p>
    <w:p w14:paraId="7D4D8F78">
      <w:pPr>
        <w:adjustRightInd w:val="0"/>
        <w:snapToGrid w:val="0"/>
        <w:spacing w:line="360" w:lineRule="auto"/>
        <w:ind w:firstLine="480" w:firstLineChars="200"/>
        <w:rPr>
          <w:bCs/>
          <w:sz w:val="24"/>
          <w:szCs w:val="24"/>
        </w:rPr>
      </w:pPr>
      <w:r>
        <w:rPr>
          <w:bCs/>
          <w:sz w:val="24"/>
          <w:szCs w:val="24"/>
        </w:rPr>
        <w:t>1、开放日及开放时间</w:t>
      </w:r>
    </w:p>
    <w:p w14:paraId="5ED58BE7">
      <w:pPr>
        <w:adjustRightInd w:val="0"/>
        <w:snapToGrid w:val="0"/>
        <w:spacing w:line="360" w:lineRule="auto"/>
        <w:ind w:firstLine="480" w:firstLineChars="200"/>
        <w:rPr>
          <w:bCs/>
          <w:sz w:val="24"/>
          <w:szCs w:val="24"/>
        </w:rPr>
      </w:pPr>
      <w:r>
        <w:rPr>
          <w:rFonts w:hint="eastAsia"/>
          <w:bCs/>
          <w:sz w:val="24"/>
          <w:szCs w:val="24"/>
        </w:rPr>
        <w:t>投资人在开放日办理基金份额的申购及/或赎回，但对于每份基金份额，基金份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int="eastAsia"/>
          <w:bCs/>
          <w:sz w:val="24"/>
          <w:szCs w:val="24"/>
        </w:rPr>
        <w:t>，但基金管理人根据法律法规、中国证监会的要求或基金合同的规定公告暂停申购、赎回时除外。</w:t>
      </w:r>
    </w:p>
    <w:p w14:paraId="270C16EB">
      <w:pPr>
        <w:adjustRightInd w:val="0"/>
        <w:snapToGrid w:val="0"/>
        <w:spacing w:line="360" w:lineRule="auto"/>
        <w:ind w:firstLine="480" w:firstLineChars="200"/>
        <w:rPr>
          <w:bCs/>
          <w:sz w:val="24"/>
          <w:szCs w:val="24"/>
        </w:rPr>
      </w:pPr>
      <w:r>
        <w:rPr>
          <w:rFonts w:hint="eastAsia"/>
          <w:bCs/>
          <w:sz w:val="24"/>
          <w:szCs w:val="24"/>
        </w:rPr>
        <w:t>基金合同生效后，若出现新的证券交易市场、</w:t>
      </w:r>
      <w:r>
        <w:rPr>
          <w:rFonts w:hint="eastAsia"/>
          <w:sz w:val="24"/>
          <w:szCs w:val="24"/>
        </w:rPr>
        <w:t>证券交易所</w:t>
      </w:r>
      <w:r>
        <w:rPr>
          <w:rFonts w:hint="eastAsia"/>
          <w:bCs/>
          <w:sz w:val="24"/>
          <w:szCs w:val="24"/>
        </w:rPr>
        <w:t>交易时间变更或其他特殊情况，基金管理人将视情况对前述开放日及开放时间进行相应的调整，但应在实施日前依照《信息披露办法》的有关规定在规定媒介上公告。</w:t>
      </w:r>
    </w:p>
    <w:p w14:paraId="479800D3">
      <w:pPr>
        <w:adjustRightInd w:val="0"/>
        <w:snapToGrid w:val="0"/>
        <w:spacing w:line="360" w:lineRule="auto"/>
        <w:ind w:firstLine="480" w:firstLineChars="200"/>
        <w:rPr>
          <w:bCs/>
          <w:sz w:val="24"/>
          <w:szCs w:val="24"/>
        </w:rPr>
      </w:pPr>
      <w:r>
        <w:rPr>
          <w:bCs/>
          <w:sz w:val="24"/>
          <w:szCs w:val="24"/>
        </w:rPr>
        <w:t>2、申购、赎回开始日及业务办理时间</w:t>
      </w:r>
    </w:p>
    <w:p w14:paraId="2446D421">
      <w:pPr>
        <w:adjustRightInd w:val="0"/>
        <w:snapToGrid w:val="0"/>
        <w:spacing w:line="360" w:lineRule="auto"/>
        <w:ind w:firstLine="480" w:firstLineChars="200"/>
        <w:rPr>
          <w:sz w:val="24"/>
          <w:szCs w:val="24"/>
        </w:rPr>
      </w:pPr>
      <w:r>
        <w:rPr>
          <w:bCs/>
          <w:sz w:val="24"/>
        </w:rPr>
        <w:t>基金管理人</w:t>
      </w:r>
      <w:r>
        <w:rPr>
          <w:rFonts w:hint="eastAsia"/>
          <w:bCs/>
          <w:sz w:val="24"/>
        </w:rPr>
        <w:t>可根据实际情况依法决定本基金开始办理申购的具体日期</w:t>
      </w:r>
      <w:r>
        <w:rPr>
          <w:rFonts w:hint="eastAsia"/>
          <w:sz w:val="24"/>
          <w:szCs w:val="24"/>
        </w:rPr>
        <w:t>，具体业务办理时间在申购开始公告中规定。</w:t>
      </w:r>
    </w:p>
    <w:p w14:paraId="76FFEBCF">
      <w:pPr>
        <w:adjustRightInd w:val="0"/>
        <w:snapToGrid w:val="0"/>
        <w:spacing w:line="360" w:lineRule="auto"/>
        <w:ind w:firstLine="480" w:firstLineChars="200"/>
        <w:rPr>
          <w:sz w:val="24"/>
          <w:szCs w:val="24"/>
        </w:rPr>
      </w:pPr>
      <w:r>
        <w:rPr>
          <w:rFonts w:hint="eastAsia"/>
          <w:sz w:val="24"/>
          <w:szCs w:val="24"/>
        </w:rPr>
        <w:t>基金管理人自基金合同生效之日起六个月后</w:t>
      </w:r>
      <w:r>
        <w:rPr>
          <w:rFonts w:hint="eastAsia"/>
          <w:bCs/>
          <w:sz w:val="24"/>
        </w:rPr>
        <w:t>月</w:t>
      </w:r>
      <w:r>
        <w:rPr>
          <w:rFonts w:hint="eastAsia"/>
          <w:sz w:val="24"/>
          <w:szCs w:val="24"/>
        </w:rPr>
        <w:t>度对日（含该日）开始办理赎回，具体业务办理时间在赎回开始公告中规定。对于每份基金份额，自其最短持有期限届满的下一工作日起（含该日），基金份额持有人方可就该基金份额提出赎回申请。</w:t>
      </w:r>
    </w:p>
    <w:p w14:paraId="4DCDF835">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1F253920">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投资人在最短持有期限内提出的赎回或转换申请，视为无效申请。</w:t>
      </w:r>
    </w:p>
    <w:p w14:paraId="680FB903">
      <w:pPr>
        <w:adjustRightInd w:val="0"/>
        <w:snapToGrid w:val="0"/>
        <w:spacing w:line="360" w:lineRule="auto"/>
        <w:ind w:firstLine="482" w:firstLineChars="200"/>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14:paraId="0DC52AF6">
      <w:pPr>
        <w:adjustRightInd w:val="0"/>
        <w:snapToGrid w:val="0"/>
        <w:spacing w:line="360" w:lineRule="auto"/>
        <w:ind w:firstLine="480" w:firstLineChars="200"/>
        <w:rPr>
          <w:sz w:val="24"/>
          <w:szCs w:val="24"/>
        </w:rPr>
      </w:pPr>
      <w:r>
        <w:rPr>
          <w:rFonts w:hint="eastAsia"/>
          <w:sz w:val="24"/>
          <w:szCs w:val="24"/>
        </w:rPr>
        <w:t>1、“未知价”原则，即申购、赎回价格以申请日的基金份额净值（非申请日当天公布的基金份额净值）为基准进行计算；</w:t>
      </w:r>
    </w:p>
    <w:p w14:paraId="69B7FD73">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14:paraId="450A3C40">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14:paraId="1E873B54">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32DCE751">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14:paraId="6C055FA1">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5F8D6235">
      <w:pPr>
        <w:widowControl/>
        <w:adjustRightInd w:val="0"/>
        <w:snapToGrid w:val="0"/>
        <w:spacing w:line="360" w:lineRule="auto"/>
        <w:ind w:firstLine="482" w:firstLineChars="200"/>
        <w:rPr>
          <w:b/>
          <w:kern w:val="0"/>
          <w:sz w:val="24"/>
          <w:szCs w:val="24"/>
        </w:rPr>
      </w:pPr>
      <w:r>
        <w:rPr>
          <w:rFonts w:hAnsi="宋体"/>
          <w:b/>
          <w:kern w:val="0"/>
          <w:sz w:val="24"/>
          <w:szCs w:val="24"/>
        </w:rPr>
        <w:t>（四）申购和赎回的数额限定</w:t>
      </w:r>
    </w:p>
    <w:p w14:paraId="1A305894">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14:paraId="6C4D4D22">
      <w:pPr>
        <w:widowControl/>
        <w:adjustRightInd w:val="0"/>
        <w:snapToGrid w:val="0"/>
        <w:spacing w:line="360" w:lineRule="auto"/>
        <w:ind w:firstLine="480" w:firstLineChars="200"/>
        <w:rPr>
          <w:rFonts w:hint="eastAsia" w:ascii="宋体" w:hAnsi="宋体"/>
          <w:kern w:val="0"/>
          <w:sz w:val="24"/>
        </w:rPr>
      </w:pPr>
      <w:r>
        <w:rPr>
          <w:kern w:val="0"/>
          <w:sz w:val="24"/>
          <w:szCs w:val="24"/>
        </w:rPr>
        <w:t>直销机构首次申购的最低金额为单笔100</w:t>
      </w:r>
      <w:r>
        <w:rPr>
          <w:rFonts w:hint="eastAsia"/>
          <w:kern w:val="0"/>
          <w:sz w:val="24"/>
          <w:szCs w:val="24"/>
        </w:rPr>
        <w:t>万</w:t>
      </w:r>
      <w:r>
        <w:rPr>
          <w:kern w:val="0"/>
          <w:sz w:val="24"/>
          <w:szCs w:val="24"/>
        </w:rPr>
        <w:t>元，追加申购的最低金额为单笔10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14:paraId="6679E06A">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14:paraId="72ABE611">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14:paraId="642E5C39">
      <w:pPr>
        <w:widowControl/>
        <w:adjustRightInd w:val="0"/>
        <w:snapToGrid w:val="0"/>
        <w:spacing w:line="360" w:lineRule="auto"/>
        <w:ind w:firstLine="480" w:firstLineChars="200"/>
        <w:rPr>
          <w:kern w:val="0"/>
          <w:sz w:val="24"/>
          <w:szCs w:val="24"/>
        </w:rPr>
      </w:pPr>
      <w:bookmarkStart w:id="34"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p w14:paraId="057D9DE7">
      <w:pPr>
        <w:widowControl/>
        <w:adjustRightInd w:val="0"/>
        <w:snapToGrid w:val="0"/>
        <w:spacing w:line="360" w:lineRule="auto"/>
        <w:ind w:firstLine="480" w:firstLineChars="200"/>
        <w:rPr>
          <w:rFonts w:hint="eastAsia" w:hAnsi="宋体"/>
          <w:sz w:val="24"/>
          <w:szCs w:val="24"/>
        </w:rPr>
      </w:pPr>
      <w:r>
        <w:rPr>
          <w:rFonts w:hint="eastAsia" w:hAnsi="宋体"/>
          <w:sz w:val="24"/>
          <w:szCs w:val="24"/>
        </w:rPr>
        <w:t>本基金暂无最低保留余额限制。</w:t>
      </w:r>
    </w:p>
    <w:p w14:paraId="32042A8F">
      <w:pPr>
        <w:widowControl/>
        <w:adjustRightInd w:val="0"/>
        <w:snapToGrid w:val="0"/>
        <w:spacing w:line="360" w:lineRule="auto"/>
        <w:ind w:firstLine="480" w:firstLineChars="200"/>
        <w:rPr>
          <w:rFonts w:hint="eastAsia" w:hAnsi="宋体"/>
          <w:sz w:val="24"/>
          <w:szCs w:val="24"/>
        </w:rPr>
      </w:pPr>
      <w:r>
        <w:rPr>
          <w:rFonts w:hAnsi="宋体"/>
          <w:sz w:val="24"/>
          <w:szCs w:val="24"/>
        </w:rPr>
        <w:t>4</w:t>
      </w:r>
      <w:r>
        <w:rPr>
          <w:rFonts w:hint="eastAsia" w:hAnsi="宋体"/>
          <w:sz w:val="24"/>
          <w:szCs w:val="24"/>
        </w:rPr>
        <w:t>、基金管理人可以规定本基金的总规模上限、单个投资人累计持有的基金份额上限，具体规定请参见相关公告。</w:t>
      </w:r>
    </w:p>
    <w:bookmarkEnd w:id="34"/>
    <w:p w14:paraId="39CD7250">
      <w:pPr>
        <w:widowControl/>
        <w:adjustRightInd w:val="0"/>
        <w:snapToGrid w:val="0"/>
        <w:spacing w:line="360" w:lineRule="auto"/>
        <w:ind w:firstLine="480" w:firstLineChars="200"/>
        <w:rPr>
          <w:rFonts w:hint="eastAsia" w:hAnsi="宋体"/>
          <w:sz w:val="24"/>
          <w:szCs w:val="24"/>
        </w:rPr>
      </w:pPr>
      <w:r>
        <w:rPr>
          <w:rFonts w:hAnsi="宋体"/>
          <w:sz w:val="24"/>
          <w:szCs w:val="24"/>
        </w:rPr>
        <w:t>5、</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2645E09">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14:paraId="6AC659DF">
      <w:pPr>
        <w:adjustRightInd w:val="0"/>
        <w:snapToGrid w:val="0"/>
        <w:spacing w:line="360" w:lineRule="auto"/>
        <w:ind w:firstLine="482" w:firstLineChars="200"/>
        <w:rPr>
          <w:sz w:val="24"/>
          <w:szCs w:val="24"/>
        </w:rPr>
      </w:pPr>
      <w:r>
        <w:rPr>
          <w:rFonts w:hAnsi="宋体"/>
          <w:b/>
          <w:kern w:val="0"/>
          <w:sz w:val="24"/>
          <w:szCs w:val="24"/>
        </w:rPr>
        <w:t>（五）申购和赎回的程序</w:t>
      </w:r>
    </w:p>
    <w:p w14:paraId="62C71E67">
      <w:pPr>
        <w:adjustRightInd w:val="0"/>
        <w:snapToGrid w:val="0"/>
        <w:spacing w:line="360" w:lineRule="auto"/>
        <w:ind w:firstLine="480" w:firstLineChars="200"/>
        <w:rPr>
          <w:sz w:val="24"/>
          <w:szCs w:val="24"/>
        </w:rPr>
      </w:pPr>
      <w:r>
        <w:rPr>
          <w:sz w:val="24"/>
          <w:szCs w:val="24"/>
        </w:rPr>
        <w:t>1</w:t>
      </w:r>
      <w:r>
        <w:rPr>
          <w:rFonts w:hAnsi="宋体"/>
          <w:sz w:val="24"/>
          <w:szCs w:val="24"/>
        </w:rPr>
        <w:t>、申购和赎回的申请方式</w:t>
      </w:r>
    </w:p>
    <w:p w14:paraId="4E88A5E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0E5E77C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14:paraId="3120B0D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16894EC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+10</w:t>
      </w:r>
      <w:r>
        <w:rPr>
          <w:rFonts w:hint="eastAsia" w:hAnsi="宋体"/>
          <w:kern w:val="0"/>
          <w:sz w:val="24"/>
          <w:szCs w:val="24"/>
        </w:rPr>
        <w:t>日（包括该日）内支付赎回款项。在发生巨额赎回或基金合同载明的其他暂停赎回或延缓支付赎回款项的情形时，款项的支付办法参照基金合同有关条款处理。</w:t>
      </w:r>
    </w:p>
    <w:p w14:paraId="4483C13E">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14:paraId="0B166030">
      <w:pPr>
        <w:pStyle w:val="4"/>
        <w:autoSpaceDE w:val="0"/>
        <w:autoSpaceDN w:val="0"/>
        <w:adjustRightInd w:val="0"/>
        <w:snapToGrid w:val="0"/>
        <w:spacing w:line="360" w:lineRule="auto"/>
        <w:ind w:firstLine="480"/>
        <w:rPr>
          <w:rFonts w:hint="eastAsia"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w:t>
      </w:r>
      <w:r>
        <w:rPr>
          <w:rFonts w:hAnsi="宋体"/>
          <w:kern w:val="0"/>
          <w:sz w:val="24"/>
          <w:szCs w:val="24"/>
        </w:rPr>
        <w:t>3</w:t>
      </w:r>
      <w:r>
        <w:rPr>
          <w:rFonts w:hint="eastAsia" w:hAnsi="宋体"/>
          <w:kern w:val="0"/>
          <w:sz w:val="24"/>
          <w:szCs w:val="24"/>
        </w:rPr>
        <w:t>日（包括该日）内对该交易的有效性进行确认。T日提交的有效申请，投资人应在T+</w:t>
      </w:r>
      <w:r>
        <w:rPr>
          <w:rFonts w:hAnsi="宋体"/>
          <w:kern w:val="0"/>
          <w:sz w:val="24"/>
          <w:szCs w:val="24"/>
        </w:rPr>
        <w:t>4</w:t>
      </w:r>
      <w:r>
        <w:rPr>
          <w:rFonts w:hint="eastAsia" w:hAnsi="宋体"/>
          <w:kern w:val="0"/>
          <w:sz w:val="24"/>
          <w:szCs w:val="24"/>
        </w:rPr>
        <w:t>日后（包括该日）及时到销售网点柜台或以销售机构规定的其他方式查询申请的确认情况。若申购不成功，则申购款项退还给投资人。</w:t>
      </w:r>
    </w:p>
    <w:p w14:paraId="539C32DC">
      <w:pPr>
        <w:pStyle w:val="4"/>
        <w:autoSpaceDE w:val="0"/>
        <w:autoSpaceDN w:val="0"/>
        <w:adjustRightInd w:val="0"/>
        <w:snapToGrid w:val="0"/>
        <w:spacing w:line="360" w:lineRule="auto"/>
        <w:ind w:firstLine="480"/>
        <w:rPr>
          <w:rFonts w:hint="eastAsia"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14:paraId="6F6F17D8">
      <w:pPr>
        <w:pStyle w:val="4"/>
        <w:autoSpaceDE w:val="0"/>
        <w:autoSpaceDN w:val="0"/>
        <w:adjustRightInd w:val="0"/>
        <w:snapToGrid w:val="0"/>
        <w:spacing w:line="360" w:lineRule="auto"/>
        <w:ind w:firstLine="480"/>
        <w:rPr>
          <w:rFonts w:hint="eastAsia"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10D0AC43">
      <w:pPr>
        <w:pStyle w:val="4"/>
        <w:autoSpaceDE w:val="0"/>
        <w:autoSpaceDN w:val="0"/>
        <w:adjustRightInd w:val="0"/>
        <w:snapToGrid w:val="0"/>
        <w:spacing w:line="360" w:lineRule="auto"/>
        <w:ind w:firstLine="480"/>
        <w:rPr>
          <w:sz w:val="24"/>
          <w:szCs w:val="24"/>
        </w:rPr>
      </w:pPr>
      <w:r>
        <w:rPr>
          <w:sz w:val="24"/>
          <w:szCs w:val="24"/>
        </w:rPr>
        <w:t>4</w:t>
      </w:r>
      <w:r>
        <w:rPr>
          <w:rFonts w:hAnsi="宋体"/>
          <w:sz w:val="24"/>
          <w:szCs w:val="24"/>
        </w:rPr>
        <w:t>、申购和赎回的登记</w:t>
      </w:r>
    </w:p>
    <w:p w14:paraId="579AC72F">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rFonts w:hint="eastAsia" w:hAnsi="宋体"/>
          <w:sz w:val="24"/>
          <w:szCs w:val="24"/>
        </w:rPr>
        <w:t>3</w:t>
      </w:r>
      <w:r>
        <w:rPr>
          <w:rFonts w:hAnsi="宋体"/>
          <w:sz w:val="24"/>
          <w:szCs w:val="24"/>
        </w:rPr>
        <w:t>日为投资人增加权益并办理登记手续。投资人应及时查询有关申请的确认情况。</w:t>
      </w:r>
    </w:p>
    <w:p w14:paraId="36E45403">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rFonts w:hint="eastAsia" w:hAnsi="宋体"/>
          <w:sz w:val="24"/>
          <w:szCs w:val="24"/>
        </w:rPr>
        <w:t>3</w:t>
      </w:r>
      <w:r>
        <w:rPr>
          <w:rFonts w:hAnsi="宋体"/>
          <w:sz w:val="24"/>
          <w:szCs w:val="24"/>
        </w:rPr>
        <w:t>日为投资人扣除权益并办理相应的登记手续。</w:t>
      </w:r>
    </w:p>
    <w:p w14:paraId="68600038">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643320BC">
      <w:pPr>
        <w:widowControl/>
        <w:adjustRightInd w:val="0"/>
        <w:snapToGrid w:val="0"/>
        <w:spacing w:line="360" w:lineRule="auto"/>
        <w:ind w:firstLine="482" w:firstLineChars="200"/>
        <w:rPr>
          <w:b/>
          <w:kern w:val="0"/>
          <w:sz w:val="24"/>
          <w:szCs w:val="24"/>
        </w:rPr>
      </w:pPr>
      <w:r>
        <w:rPr>
          <w:rFonts w:hAnsi="宋体"/>
          <w:b/>
          <w:kern w:val="0"/>
          <w:sz w:val="24"/>
          <w:szCs w:val="24"/>
        </w:rPr>
        <w:t>（六）基金的申购费和赎回费</w:t>
      </w:r>
    </w:p>
    <w:p w14:paraId="128791F4">
      <w:pPr>
        <w:widowControl/>
        <w:adjustRightInd w:val="0"/>
        <w:snapToGrid w:val="0"/>
        <w:spacing w:line="360" w:lineRule="auto"/>
        <w:ind w:firstLine="480" w:firstLineChars="200"/>
        <w:rPr>
          <w:rFonts w:hint="eastAsia" w:hAnsi="宋体"/>
          <w:sz w:val="24"/>
          <w:szCs w:val="24"/>
        </w:rPr>
      </w:pPr>
      <w:r>
        <w:rPr>
          <w:rFonts w:hAnsi="宋体"/>
          <w:sz w:val="24"/>
          <w:szCs w:val="24"/>
        </w:rPr>
        <w:t>1、申购费用</w:t>
      </w:r>
    </w:p>
    <w:p w14:paraId="01988ED1">
      <w:pPr>
        <w:widowControl/>
        <w:adjustRightInd w:val="0"/>
        <w:snapToGrid w:val="0"/>
        <w:spacing w:line="360" w:lineRule="auto"/>
        <w:ind w:firstLine="480" w:firstLineChars="200"/>
        <w:rPr>
          <w:rFonts w:hint="eastAsia" w:hAnsi="宋体"/>
          <w:sz w:val="24"/>
          <w:szCs w:val="24"/>
        </w:rPr>
      </w:pPr>
      <w:r>
        <w:rPr>
          <w:rFonts w:hint="eastAsia" w:hAnsi="宋体"/>
          <w:sz w:val="24"/>
          <w:szCs w:val="24"/>
        </w:rPr>
        <w:t>通过直销机构申购本基金不收取申购费；通过其他销售机构申购本基金的，申购费用由申购基金份额的投资人承担，投资人可以多次申购本基金，申购费用按每笔申购申请单独计算。申购费用不列入基金财产，主要用于本基金的市场推广、销售等各项费用。</w:t>
      </w:r>
    </w:p>
    <w:p w14:paraId="265F4255">
      <w:pPr>
        <w:widowControl/>
        <w:adjustRightInd w:val="0"/>
        <w:snapToGrid w:val="0"/>
        <w:spacing w:line="360" w:lineRule="auto"/>
        <w:ind w:firstLine="480" w:firstLineChars="200"/>
        <w:rPr>
          <w:rFonts w:hint="eastAsia" w:hAnsi="宋体"/>
          <w:sz w:val="24"/>
          <w:szCs w:val="24"/>
        </w:rPr>
      </w:pPr>
      <w:r>
        <w:rPr>
          <w:rFonts w:hint="eastAsia" w:hAnsi="宋体"/>
          <w:sz w:val="24"/>
          <w:szCs w:val="24"/>
        </w:rPr>
        <w:t>通过其他销售机构申购本基金的申购费率如下：</w:t>
      </w:r>
    </w:p>
    <w:tbl>
      <w:tblPr>
        <w:tblStyle w:val="28"/>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14"/>
        <w:gridCol w:w="3002"/>
      </w:tblGrid>
      <w:tr w14:paraId="3DE4F48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414" w:type="dxa"/>
            <w:shd w:val="clear" w:color="auto" w:fill="FFFFFF"/>
            <w:vAlign w:val="center"/>
          </w:tcPr>
          <w:p w14:paraId="64CA7C95">
            <w:pPr>
              <w:adjustRightInd w:val="0"/>
              <w:snapToGrid w:val="0"/>
              <w:jc w:val="center"/>
              <w:rPr>
                <w:b/>
                <w:sz w:val="24"/>
              </w:rPr>
            </w:pPr>
            <w:r>
              <w:rPr>
                <w:rFonts w:hint="eastAsia"/>
                <w:b/>
                <w:sz w:val="24"/>
              </w:rPr>
              <w:t>申购</w:t>
            </w:r>
            <w:r>
              <w:rPr>
                <w:b/>
                <w:sz w:val="24"/>
              </w:rPr>
              <w:t>金额（含</w:t>
            </w:r>
            <w:r>
              <w:rPr>
                <w:rFonts w:hint="eastAsia"/>
                <w:b/>
                <w:sz w:val="24"/>
              </w:rPr>
              <w:t>申购</w:t>
            </w:r>
            <w:r>
              <w:rPr>
                <w:b/>
                <w:sz w:val="24"/>
              </w:rPr>
              <w:t>费）</w:t>
            </w:r>
          </w:p>
        </w:tc>
        <w:tc>
          <w:tcPr>
            <w:tcW w:w="3002" w:type="dxa"/>
            <w:shd w:val="clear" w:color="auto" w:fill="FFFFFF"/>
            <w:vAlign w:val="center"/>
          </w:tcPr>
          <w:p w14:paraId="4C3FD885">
            <w:pPr>
              <w:adjustRightInd w:val="0"/>
              <w:snapToGrid w:val="0"/>
              <w:jc w:val="center"/>
              <w:rPr>
                <w:b/>
                <w:sz w:val="24"/>
              </w:rPr>
            </w:pPr>
            <w:r>
              <w:rPr>
                <w:rFonts w:hint="eastAsia"/>
                <w:b/>
                <w:sz w:val="24"/>
              </w:rPr>
              <w:t>申</w:t>
            </w:r>
            <w:r>
              <w:rPr>
                <w:b/>
                <w:sz w:val="24"/>
              </w:rPr>
              <w:t>购费率</w:t>
            </w:r>
          </w:p>
        </w:tc>
      </w:tr>
      <w:tr w14:paraId="4DC4109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1F21687F">
            <w:pPr>
              <w:adjustRightInd w:val="0"/>
              <w:snapToGrid w:val="0"/>
              <w:rPr>
                <w:sz w:val="24"/>
              </w:rPr>
            </w:pPr>
            <w:r>
              <w:rPr>
                <w:rFonts w:hint="eastAsia"/>
                <w:sz w:val="24"/>
              </w:rPr>
              <w:t>5</w:t>
            </w:r>
            <w:r>
              <w:rPr>
                <w:sz w:val="24"/>
              </w:rPr>
              <w:t>00万元以下</w:t>
            </w:r>
          </w:p>
        </w:tc>
        <w:tc>
          <w:tcPr>
            <w:tcW w:w="3002" w:type="dxa"/>
          </w:tcPr>
          <w:p w14:paraId="12E63BE7">
            <w:pPr>
              <w:adjustRightInd w:val="0"/>
              <w:snapToGrid w:val="0"/>
              <w:jc w:val="center"/>
              <w:rPr>
                <w:sz w:val="24"/>
              </w:rPr>
            </w:pPr>
            <w:r>
              <w:rPr>
                <w:sz w:val="24"/>
              </w:rPr>
              <w:t>0.</w:t>
            </w:r>
            <w:r>
              <w:rPr>
                <w:rFonts w:hint="eastAsia"/>
                <w:sz w:val="24"/>
              </w:rPr>
              <w:t>5</w:t>
            </w:r>
            <w:r>
              <w:rPr>
                <w:sz w:val="24"/>
              </w:rPr>
              <w:t>%</w:t>
            </w:r>
          </w:p>
        </w:tc>
      </w:tr>
      <w:tr w14:paraId="492D5A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3A58EFFA">
            <w:pPr>
              <w:adjustRightInd w:val="0"/>
              <w:snapToGrid w:val="0"/>
              <w:rPr>
                <w:sz w:val="24"/>
              </w:rPr>
            </w:pPr>
            <w:r>
              <w:rPr>
                <w:rFonts w:hint="eastAsia"/>
                <w:sz w:val="24"/>
              </w:rPr>
              <w:t>500万元（含）至1000万元</w:t>
            </w:r>
          </w:p>
        </w:tc>
        <w:tc>
          <w:tcPr>
            <w:tcW w:w="3002" w:type="dxa"/>
          </w:tcPr>
          <w:p w14:paraId="470FBB7D">
            <w:pPr>
              <w:adjustRightInd w:val="0"/>
              <w:snapToGrid w:val="0"/>
              <w:jc w:val="center"/>
              <w:rPr>
                <w:sz w:val="24"/>
              </w:rPr>
            </w:pPr>
            <w:r>
              <w:rPr>
                <w:sz w:val="24"/>
              </w:rPr>
              <w:t>0.</w:t>
            </w:r>
            <w:r>
              <w:rPr>
                <w:rFonts w:hint="eastAsia"/>
                <w:sz w:val="24"/>
              </w:rPr>
              <w:t>3%</w:t>
            </w:r>
          </w:p>
        </w:tc>
      </w:tr>
      <w:tr w14:paraId="5CC65B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5444BFC9">
            <w:pPr>
              <w:adjustRightInd w:val="0"/>
              <w:snapToGrid w:val="0"/>
              <w:rPr>
                <w:sz w:val="24"/>
              </w:rPr>
            </w:pPr>
            <w:r>
              <w:rPr>
                <w:rFonts w:hint="eastAsia"/>
                <w:sz w:val="24"/>
              </w:rPr>
              <w:t>10</w:t>
            </w:r>
            <w:r>
              <w:rPr>
                <w:sz w:val="24"/>
              </w:rPr>
              <w:t>00万元以上（含</w:t>
            </w:r>
            <w:r>
              <w:rPr>
                <w:rFonts w:hint="eastAsia"/>
                <w:sz w:val="24"/>
              </w:rPr>
              <w:t>10</w:t>
            </w:r>
            <w:r>
              <w:rPr>
                <w:sz w:val="24"/>
              </w:rPr>
              <w:t>00万元）</w:t>
            </w:r>
          </w:p>
        </w:tc>
        <w:tc>
          <w:tcPr>
            <w:tcW w:w="3002" w:type="dxa"/>
          </w:tcPr>
          <w:p w14:paraId="7E42CD2D">
            <w:pPr>
              <w:adjustRightInd w:val="0"/>
              <w:snapToGrid w:val="0"/>
              <w:jc w:val="center"/>
              <w:rPr>
                <w:sz w:val="24"/>
              </w:rPr>
            </w:pPr>
            <w:r>
              <w:rPr>
                <w:sz w:val="24"/>
              </w:rPr>
              <w:t>每笔交易1000元</w:t>
            </w:r>
          </w:p>
        </w:tc>
      </w:tr>
    </w:tbl>
    <w:p w14:paraId="4D578BB2">
      <w:pPr>
        <w:widowControl/>
        <w:adjustRightInd w:val="0"/>
        <w:snapToGrid w:val="0"/>
        <w:spacing w:line="360" w:lineRule="auto"/>
        <w:ind w:firstLine="480" w:firstLineChars="200"/>
        <w:rPr>
          <w:rFonts w:hint="eastAsia" w:hAnsi="宋体"/>
          <w:sz w:val="24"/>
          <w:szCs w:val="24"/>
        </w:rPr>
      </w:pPr>
      <w:r>
        <w:rPr>
          <w:rFonts w:hint="eastAsia" w:hAnsi="宋体"/>
          <w:sz w:val="24"/>
          <w:szCs w:val="24"/>
        </w:rPr>
        <w:t>投资人因红利自动再投资而产生的基金份额，不收取相应的申购费用。</w:t>
      </w:r>
    </w:p>
    <w:p w14:paraId="6BE76F16">
      <w:pPr>
        <w:widowControl/>
        <w:adjustRightInd w:val="0"/>
        <w:snapToGrid w:val="0"/>
        <w:spacing w:line="360" w:lineRule="auto"/>
        <w:ind w:firstLine="480" w:firstLineChars="200"/>
        <w:rPr>
          <w:rFonts w:hint="eastAsia" w:hAnsi="宋体"/>
          <w:sz w:val="24"/>
          <w:szCs w:val="24"/>
        </w:rPr>
      </w:pPr>
      <w:r>
        <w:rPr>
          <w:rFonts w:hAnsi="宋体"/>
          <w:sz w:val="24"/>
          <w:szCs w:val="24"/>
        </w:rPr>
        <w:t>2、赎回费用</w:t>
      </w:r>
    </w:p>
    <w:p w14:paraId="3BA9F83B">
      <w:pPr>
        <w:widowControl/>
        <w:autoSpaceDE w:val="0"/>
        <w:autoSpaceDN w:val="0"/>
        <w:adjustRightInd w:val="0"/>
        <w:snapToGrid w:val="0"/>
        <w:spacing w:line="360" w:lineRule="auto"/>
        <w:ind w:firstLine="480" w:firstLineChars="200"/>
        <w:jc w:val="left"/>
        <w:rPr>
          <w:rFonts w:hint="eastAsia" w:hAnsi="宋体"/>
          <w:sz w:val="24"/>
          <w:szCs w:val="24"/>
        </w:rPr>
      </w:pPr>
      <w:r>
        <w:rPr>
          <w:rFonts w:hint="eastAsia" w:hAnsi="宋体"/>
          <w:sz w:val="24"/>
          <w:szCs w:val="24"/>
        </w:rPr>
        <w:t>本基金每份基金份额最短持有期限为六个月，最短持有期限届满后赎回，本基金不收取赎回费。</w:t>
      </w:r>
    </w:p>
    <w:p w14:paraId="1CDF67FB">
      <w:pPr>
        <w:widowControl/>
        <w:autoSpaceDE w:val="0"/>
        <w:autoSpaceDN w:val="0"/>
        <w:adjustRightInd w:val="0"/>
        <w:snapToGrid w:val="0"/>
        <w:spacing w:line="360" w:lineRule="auto"/>
        <w:ind w:firstLine="480" w:firstLineChars="200"/>
        <w:jc w:val="left"/>
        <w:rPr>
          <w:rFonts w:hint="eastAsia" w:hAnsi="宋体"/>
          <w:kern w:val="0"/>
          <w:sz w:val="24"/>
          <w:szCs w:val="24"/>
        </w:rPr>
      </w:pPr>
      <w:r>
        <w:rPr>
          <w:rFonts w:hAnsi="宋体"/>
          <w:kern w:val="0"/>
          <w:sz w:val="24"/>
          <w:szCs w:val="24"/>
        </w:rPr>
        <w:t>3、基金管理人可以在基金合同约定的范围内调整费率或收费方式，并最迟应于新的费率或收费方式实施日前依照《信息披露办法》的有关规定在规定媒介上公告。</w:t>
      </w:r>
    </w:p>
    <w:p w14:paraId="079DEF58">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54A30536">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p>
    <w:p w14:paraId="66D3CDCA">
      <w:pPr>
        <w:widowControl/>
        <w:adjustRightInd w:val="0"/>
        <w:snapToGrid w:val="0"/>
        <w:spacing w:line="360" w:lineRule="auto"/>
        <w:ind w:firstLine="482" w:firstLineChars="200"/>
        <w:rPr>
          <w:b/>
          <w:kern w:val="0"/>
          <w:sz w:val="24"/>
          <w:szCs w:val="24"/>
        </w:rPr>
      </w:pPr>
      <w:bookmarkStart w:id="35" w:name="_Hlt81024033"/>
      <w:bookmarkEnd w:id="35"/>
      <w:bookmarkStart w:id="36" w:name="_Hlt90458725"/>
      <w:bookmarkEnd w:id="36"/>
      <w:bookmarkStart w:id="37" w:name="_Hlt91144389"/>
      <w:bookmarkEnd w:id="37"/>
      <w:r>
        <w:rPr>
          <w:rFonts w:hAnsi="宋体"/>
          <w:b/>
          <w:kern w:val="0"/>
          <w:sz w:val="24"/>
          <w:szCs w:val="24"/>
        </w:rPr>
        <w:t>（七）申购和赎回的数额和价格</w:t>
      </w:r>
    </w:p>
    <w:p w14:paraId="5C3C1AF5">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1、申购和赎回数额、余额的处理方式</w:t>
      </w:r>
    </w:p>
    <w:p w14:paraId="63D87D7E">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（1）申购的有效份额为净申购金额除以当日基金份额净值，有效份额单位为份，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66C25546">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（2）赎回金额为按实际确认的有效赎回份额乘以当日基金份额净值，赎回金额单位为元。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53F43C69">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2、申购份额的计算</w:t>
      </w:r>
    </w:p>
    <w:p w14:paraId="1E639F1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本基金采用金额申购的方式。</w:t>
      </w:r>
    </w:p>
    <w:p w14:paraId="564D086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申购总金额=申请总金额</w:t>
      </w:r>
    </w:p>
    <w:p w14:paraId="6531C7D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净申购金额=申购总金额/（1+申购费率）</w:t>
      </w:r>
    </w:p>
    <w:p w14:paraId="3E7F705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（注：</w:t>
      </w:r>
      <w:r>
        <w:rPr>
          <w:rFonts w:hint="eastAsia" w:ascii="宋体" w:hAnsi="宋体" w:cs="宋体"/>
          <w:kern w:val="0"/>
          <w:sz w:val="24"/>
          <w:szCs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②对于通过直销机构申购的，申购费率均为0</w:t>
      </w:r>
      <w:r>
        <w:rPr>
          <w:rFonts w:hint="eastAsia" w:hAnsi="宋体"/>
          <w:kern w:val="0"/>
          <w:sz w:val="24"/>
          <w:szCs w:val="24"/>
        </w:rPr>
        <w:t>）</w:t>
      </w:r>
    </w:p>
    <w:p w14:paraId="7CFC2B3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申购费用=申购总金额-净申购金额</w:t>
      </w:r>
    </w:p>
    <w:p w14:paraId="293358A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（注：对于适用固定金额申购费用的申购，申购费用＝固定申购费用金额）</w:t>
      </w:r>
    </w:p>
    <w:p w14:paraId="3BE0A71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申购份额=净申购金额/T日基金份额净值</w:t>
      </w:r>
    </w:p>
    <w:p w14:paraId="76AFFB7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例三：某投资者通过直销机构投资40,000.00元申购本基金，假设申购当日基金份额净值为1.0400元，申购费率为0，则其可得到的申购份额为：</w:t>
      </w:r>
    </w:p>
    <w:p w14:paraId="668EE9A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申购总金额＝40,000.00元</w:t>
      </w:r>
    </w:p>
    <w:p w14:paraId="1200C8E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净申购金额=40,000.00/（1+0）=40,000.00元</w:t>
      </w:r>
    </w:p>
    <w:p w14:paraId="5F4DBA0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申购费用=40,000.00-40,000.00=0.00元</w:t>
      </w:r>
    </w:p>
    <w:p w14:paraId="4E79140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申购份额=40,000.00/1.0400=38,461.54份</w:t>
      </w:r>
    </w:p>
    <w:p w14:paraId="2C25D95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即：该投资者通过直销机构投资40,000.00元申购本基金，假设申购当日基金份额净值为1.0400元，则其可得到38,461.54份基金份额。</w:t>
      </w:r>
    </w:p>
    <w:p w14:paraId="5835159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例四：某投资者通过其他销售机构投资40,000.00元申购本基金，假设申购当日基金份额净值为1.0400元，申购费率为0.5%，则其可得到的申购份额为：</w:t>
      </w:r>
    </w:p>
    <w:p w14:paraId="4EAEEA9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申购总金额＝40,000.00元</w:t>
      </w:r>
    </w:p>
    <w:p w14:paraId="42B2527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净申购金额=40,000.00/（1+0.5%）=39,801.00元</w:t>
      </w:r>
    </w:p>
    <w:p w14:paraId="5B170ED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申购费用=40,000.00-39,801.00=199.00元</w:t>
      </w:r>
    </w:p>
    <w:p w14:paraId="708C1E9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申购份额=39,801.00/1.0400=38,270.19份</w:t>
      </w:r>
    </w:p>
    <w:p w14:paraId="597FDAF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即：该投资者通过其他销售机构投资40,000.00元申购本基金，假设申购当日基金份额净值为1.0400元，则其可得到38,270.19份基金份额。</w:t>
      </w:r>
    </w:p>
    <w:p w14:paraId="6F9EAA1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3、赎回金额的计算</w:t>
      </w:r>
    </w:p>
    <w:p w14:paraId="3D7EF864">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赎回费用=赎回份额×T日基金份额净值×赎回费率</w:t>
      </w:r>
    </w:p>
    <w:p w14:paraId="42CDC51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赎回金额=赎回份额×T日基金份额净值—赎回</w:t>
      </w:r>
      <w:r>
        <w:rPr>
          <w:rFonts w:hAnsi="宋体"/>
          <w:kern w:val="0"/>
          <w:sz w:val="24"/>
          <w:szCs w:val="24"/>
        </w:rPr>
        <w:t>费用</w:t>
      </w:r>
    </w:p>
    <w:p w14:paraId="1C44237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例五：某投资者赎回持有的10,000.00份基金份额，持有期限为六个月，不收取赎回费，假设赎回当日基金份额净值是1.0160元，则其可得到的赎回金额为：</w:t>
      </w:r>
    </w:p>
    <w:p w14:paraId="23A81E5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赎回费用=10,000.00×1.0160×0=0.00元</w:t>
      </w:r>
    </w:p>
    <w:p w14:paraId="6F21739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赎回金额=10,000.00×1.0160—0.00＝10,160.00元</w:t>
      </w:r>
    </w:p>
    <w:p w14:paraId="1FA197E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即：投资者赎回本基金10,000.00份基金份额，持有期限为六个月，不收取赎回费，假设赎回当日基金份额净值是1.0160元，则其可得到的赎回金额为10,160.00元。</w:t>
      </w:r>
    </w:p>
    <w:p w14:paraId="51DB42B6">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、基金份额净值的计算公式</w:t>
      </w:r>
    </w:p>
    <w:p w14:paraId="39DAB2D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基金份额净值＝基金资产净值总额/发行在外的基金份额总数</w:t>
      </w:r>
    </w:p>
    <w:p w14:paraId="04A83001">
      <w:pPr>
        <w:widowControl/>
        <w:adjustRightInd w:val="0"/>
        <w:snapToGrid w:val="0"/>
        <w:spacing w:line="360" w:lineRule="auto"/>
        <w:ind w:firstLine="480" w:firstLineChars="200"/>
        <w:rPr>
          <w:kern w:val="0"/>
          <w:sz w:val="24"/>
          <w:szCs w:val="24"/>
        </w:rPr>
      </w:pPr>
      <w:r>
        <w:rPr>
          <w:rFonts w:hint="eastAsia" w:hAnsi="宋体"/>
          <w:kern w:val="0"/>
          <w:sz w:val="24"/>
          <w:szCs w:val="24"/>
        </w:rPr>
        <w:t>本基金基金份额净值的计算，保留到小数点后4位，小数点后第5位四舍五入，由此产生的收益或损失由基金财产承担。T日的基金份额净值在所投资基金披露净值或万份收益当日（法定节假日顺延至第一个交易日）计算，并在T+</w:t>
      </w:r>
      <w:r>
        <w:rPr>
          <w:rFonts w:hAnsi="宋体"/>
          <w:kern w:val="0"/>
          <w:sz w:val="24"/>
          <w:szCs w:val="24"/>
        </w:rPr>
        <w:t>3</w:t>
      </w:r>
      <w:r>
        <w:rPr>
          <w:rFonts w:hint="eastAsia" w:hAnsi="宋体"/>
          <w:kern w:val="0"/>
          <w:sz w:val="24"/>
          <w:szCs w:val="24"/>
        </w:rPr>
        <w:t>日内披露本基金T日的基金份额净值和基金份额累计净值。遇特殊情况，经履行适当程序，可以适当延迟计算或公告。</w:t>
      </w:r>
    </w:p>
    <w:p w14:paraId="30452083">
      <w:pPr>
        <w:adjustRightInd w:val="0"/>
        <w:snapToGrid w:val="0"/>
        <w:spacing w:line="360" w:lineRule="auto"/>
        <w:ind w:firstLine="482" w:firstLineChars="200"/>
        <w:rPr>
          <w:rFonts w:hint="eastAsia" w:hAnsi="宋体"/>
          <w:kern w:val="0"/>
          <w:sz w:val="24"/>
          <w:szCs w:val="24"/>
        </w:rPr>
      </w:pPr>
      <w:bookmarkStart w:id="38" w:name="_Toc79392615"/>
      <w:r>
        <w:rPr>
          <w:rFonts w:hAnsi="宋体"/>
          <w:b/>
          <w:kern w:val="0"/>
          <w:sz w:val="24"/>
          <w:szCs w:val="24"/>
        </w:rPr>
        <w:t>（八）拒绝或暂停申购的情形</w:t>
      </w:r>
      <w:bookmarkEnd w:id="38"/>
    </w:p>
    <w:p w14:paraId="681A6AB0">
      <w:pPr>
        <w:widowControl/>
        <w:adjustRightInd w:val="0"/>
        <w:snapToGrid w:val="0"/>
        <w:spacing w:line="360" w:lineRule="auto"/>
        <w:ind w:firstLine="480" w:firstLineChars="200"/>
        <w:rPr>
          <w:rFonts w:hint="eastAsia" w:hAnsi="宋体"/>
          <w:kern w:val="0"/>
          <w:sz w:val="24"/>
          <w:szCs w:val="24"/>
        </w:rPr>
      </w:pPr>
      <w:bookmarkStart w:id="39" w:name="_Hlt70481650"/>
      <w:bookmarkEnd w:id="39"/>
      <w:r>
        <w:rPr>
          <w:rFonts w:hint="eastAsia" w:hAnsi="宋体"/>
          <w:kern w:val="0"/>
          <w:sz w:val="24"/>
          <w:szCs w:val="24"/>
        </w:rPr>
        <w:t>发生下列情况时，基金管理人可拒绝或暂停接受投资人的申购申请：</w:t>
      </w:r>
    </w:p>
    <w:p w14:paraId="03F02C8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w:t>
      </w:r>
      <w:r>
        <w:rPr>
          <w:rFonts w:hint="eastAsia" w:hAnsi="宋体"/>
          <w:kern w:val="0"/>
          <w:sz w:val="24"/>
          <w:szCs w:val="24"/>
        </w:rPr>
        <w:t>、因不可抗力导致基金无法正常运作。</w:t>
      </w:r>
    </w:p>
    <w:p w14:paraId="1AB2D37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w:t>
      </w:r>
      <w:r>
        <w:rPr>
          <w:rFonts w:hint="eastAsia" w:hAnsi="宋体"/>
          <w:kern w:val="0"/>
          <w:sz w:val="24"/>
          <w:szCs w:val="24"/>
        </w:rPr>
        <w:t>、发生基金合同规定的暂停基金资产估值情况时，基金管理人可暂停接受投资人的申购申请。</w:t>
      </w:r>
    </w:p>
    <w:p w14:paraId="299F34C4">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3</w:t>
      </w:r>
      <w:r>
        <w:rPr>
          <w:rFonts w:hint="eastAsia" w:hAnsi="宋体"/>
          <w:kern w:val="0"/>
          <w:sz w:val="24"/>
          <w:szCs w:val="24"/>
        </w:rPr>
        <w:t>、证券交易所交易时间非正常停市或港股通临时停市，导致基金管理人无法计算当日基金资产净值。</w:t>
      </w:r>
    </w:p>
    <w:p w14:paraId="3EE5F4A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4、由于本基金持有的相当比例的基金暂停估值，导致基金管理人无法计算当日本基金资产净值。</w:t>
      </w:r>
    </w:p>
    <w:p w14:paraId="666351A9">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由于本基金持有的相当比例的基金份额，或者适合本基金投资的基金份额拒绝或暂停申购、暂停上市或二级市场交易停牌、基金管理人无法找到其他合适的可替代的基金品种，或其他可能对本基金业绩产生负面影响的情形。</w:t>
      </w:r>
    </w:p>
    <w:p w14:paraId="5D7E4145">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6</w:t>
      </w:r>
      <w:r>
        <w:rPr>
          <w:rFonts w:hint="eastAsia" w:hAnsi="宋体"/>
          <w:kern w:val="0"/>
          <w:sz w:val="24"/>
          <w:szCs w:val="24"/>
        </w:rPr>
        <w:t>、接受某笔或某些申购申请可能会影响或损害现有基金份额持有人利益时。</w:t>
      </w:r>
    </w:p>
    <w:p w14:paraId="61D141C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7、港股通交易每日额度不足。</w:t>
      </w:r>
    </w:p>
    <w:p w14:paraId="3B12B605">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8</w:t>
      </w:r>
      <w:r>
        <w:rPr>
          <w:rFonts w:hint="eastAsia" w:hAnsi="宋体"/>
          <w:kern w:val="0"/>
          <w:sz w:val="24"/>
          <w:szCs w:val="24"/>
        </w:rPr>
        <w:t>、基金资产规模过大，使基金管理人无法找到合适的投资品种，或其他可能对基金业绩产生负面影响，或发生其他损害现有基金份额持有人利益的情形。</w:t>
      </w:r>
    </w:p>
    <w:p w14:paraId="2D604754">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9</w:t>
      </w:r>
      <w:r>
        <w:rPr>
          <w:rFonts w:hint="eastAsia" w:hAnsi="宋体"/>
          <w:kern w:val="0"/>
          <w:sz w:val="24"/>
          <w:szCs w:val="24"/>
        </w:rPr>
        <w:t>、当前一估值日基金资产净值</w:t>
      </w:r>
      <w:r>
        <w:rPr>
          <w:rFonts w:hAnsi="宋体"/>
          <w:kern w:val="0"/>
          <w:sz w:val="24"/>
          <w:szCs w:val="24"/>
        </w:rPr>
        <w:t>50%</w:t>
      </w:r>
      <w:r>
        <w:rPr>
          <w:rFonts w:hint="eastAsia" w:hAnsi="宋体"/>
          <w:kern w:val="0"/>
          <w:sz w:val="24"/>
          <w:szCs w:val="24"/>
        </w:rPr>
        <w:t>以上的资产出现无可参考的活跃市场价格且采用估值技术仍导致公允价值存在重大不确定性时，经与基金托管人协商确认后，基金管理人应当暂停接受基金申购申请。</w:t>
      </w:r>
    </w:p>
    <w:p w14:paraId="67694B03">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10</w:t>
      </w:r>
      <w:r>
        <w:rPr>
          <w:rFonts w:hint="eastAsia" w:hAnsi="宋体"/>
          <w:kern w:val="0"/>
          <w:sz w:val="24"/>
          <w:szCs w:val="24"/>
        </w:rPr>
        <w:t>、基金管理人接受某笔或者某些申购申请有可能导致单一投资者持有基金份额的比例超过</w:t>
      </w:r>
      <w:r>
        <w:rPr>
          <w:rFonts w:hAnsi="宋体"/>
          <w:kern w:val="0"/>
          <w:sz w:val="24"/>
          <w:szCs w:val="24"/>
        </w:rPr>
        <w:t>50%</w:t>
      </w:r>
      <w:r>
        <w:rPr>
          <w:rFonts w:hint="eastAsia" w:hAnsi="宋体"/>
          <w:kern w:val="0"/>
          <w:sz w:val="24"/>
          <w:szCs w:val="24"/>
        </w:rPr>
        <w:t>，或者变相规避</w:t>
      </w:r>
      <w:r>
        <w:rPr>
          <w:rFonts w:hAnsi="宋体"/>
          <w:kern w:val="0"/>
          <w:sz w:val="24"/>
          <w:szCs w:val="24"/>
        </w:rPr>
        <w:t>50%</w:t>
      </w:r>
      <w:r>
        <w:rPr>
          <w:rFonts w:hint="eastAsia" w:hAnsi="宋体"/>
          <w:kern w:val="0"/>
          <w:sz w:val="24"/>
          <w:szCs w:val="24"/>
        </w:rPr>
        <w:t>集中度的。出现上述情形时，基金管理人有权将上述申购申请全部或部分确认失败。</w:t>
      </w:r>
    </w:p>
    <w:p w14:paraId="3B68548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11</w:t>
      </w:r>
      <w:r>
        <w:rPr>
          <w:rFonts w:hint="eastAsia" w:hAnsi="宋体"/>
          <w:kern w:val="0"/>
          <w:sz w:val="24"/>
          <w:szCs w:val="24"/>
        </w:rPr>
        <w:t>、法律法规规定、中国证监会认定或基金合同约定的其他情形。</w:t>
      </w:r>
    </w:p>
    <w:p w14:paraId="6CF374BC">
      <w:pPr>
        <w:widowControl/>
        <w:adjustRightInd w:val="0"/>
        <w:snapToGrid w:val="0"/>
        <w:spacing w:line="360" w:lineRule="auto"/>
        <w:ind w:firstLine="480" w:firstLineChars="200"/>
        <w:rPr>
          <w:rFonts w:hint="eastAsia" w:hAnsi="宋体"/>
          <w:kern w:val="0"/>
          <w:sz w:val="24"/>
        </w:rPr>
      </w:pPr>
      <w:r>
        <w:rPr>
          <w:rFonts w:hint="eastAsia" w:hAnsi="宋体"/>
          <w:kern w:val="0"/>
          <w:sz w:val="24"/>
          <w:szCs w:val="24"/>
        </w:rPr>
        <w:t>发生上述除第6、1</w:t>
      </w:r>
      <w:r>
        <w:rPr>
          <w:rFonts w:hAnsi="宋体"/>
          <w:kern w:val="0"/>
          <w:sz w:val="24"/>
          <w:szCs w:val="24"/>
        </w:rPr>
        <w:t>0</w:t>
      </w:r>
      <w:r>
        <w:rPr>
          <w:rFonts w:hint="eastAsia" w:hAnsi="宋体"/>
          <w:kern w:val="0"/>
          <w:sz w:val="24"/>
          <w:szCs w:val="24"/>
        </w:rPr>
        <w:t>项以外的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22D69743">
      <w:pPr>
        <w:widowControl/>
        <w:adjustRightInd w:val="0"/>
        <w:snapToGrid w:val="0"/>
        <w:spacing w:line="360" w:lineRule="auto"/>
        <w:ind w:firstLine="482" w:firstLineChars="200"/>
        <w:rPr>
          <w:b/>
          <w:kern w:val="0"/>
          <w:sz w:val="24"/>
          <w:szCs w:val="24"/>
        </w:rPr>
      </w:pPr>
      <w:r>
        <w:rPr>
          <w:rFonts w:hAnsi="宋体"/>
          <w:b/>
          <w:kern w:val="0"/>
          <w:sz w:val="24"/>
          <w:szCs w:val="24"/>
        </w:rPr>
        <w:t>（九）暂停赎回或延缓支付赎回款项的情形</w:t>
      </w:r>
    </w:p>
    <w:p w14:paraId="7DA5CA82">
      <w:pPr>
        <w:widowControl/>
        <w:adjustRightInd w:val="0"/>
        <w:snapToGrid w:val="0"/>
        <w:spacing w:line="360" w:lineRule="auto"/>
        <w:ind w:firstLine="480" w:firstLineChars="200"/>
        <w:rPr>
          <w:rFonts w:hint="eastAsia" w:hAnsi="宋体"/>
          <w:kern w:val="0"/>
          <w:sz w:val="24"/>
          <w:szCs w:val="24"/>
        </w:rPr>
      </w:pPr>
      <w:bookmarkStart w:id="40" w:name="_Toc79392616"/>
      <w:r>
        <w:rPr>
          <w:rFonts w:hint="eastAsia" w:hAnsi="宋体"/>
          <w:kern w:val="0"/>
          <w:sz w:val="24"/>
          <w:szCs w:val="24"/>
        </w:rPr>
        <w:t>发生下列情形时，基金管理人可暂停接受投资人的赎回申请或延缓支付赎回款项：</w:t>
      </w:r>
    </w:p>
    <w:p w14:paraId="4151AE8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1、因不可抗力导致基金管理人不能支付赎回款项。</w:t>
      </w:r>
    </w:p>
    <w:p w14:paraId="1A651DD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14:paraId="06600B0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3、证券交易所交易时间非正常停市或港股通临时停市，导致基金管理人无法计算当日基金资产净值。</w:t>
      </w:r>
    </w:p>
    <w:p w14:paraId="7705C52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4、由于本基金持有的相当比例的基金暂停估值，导致基金管理人无法计算当日本基金资产净值。</w:t>
      </w:r>
    </w:p>
    <w:p w14:paraId="0A361E07">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、由于本基金持有的相当比例的基金份额拒绝或暂停赎回、暂停上市或二级市场交易停牌、延期办理赎回、延期支付赎回款项，或其他可能对本基金业绩产生负面影响的情形。</w:t>
      </w:r>
    </w:p>
    <w:p w14:paraId="49AE10F2">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6</w:t>
      </w:r>
      <w:r>
        <w:rPr>
          <w:rFonts w:hint="eastAsia" w:hAnsi="宋体"/>
          <w:kern w:val="0"/>
          <w:sz w:val="24"/>
          <w:szCs w:val="24"/>
        </w:rPr>
        <w:t>、连续两个或两个以上开放日发生巨额赎回。</w:t>
      </w:r>
    </w:p>
    <w:p w14:paraId="7AA89B29">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7</w:t>
      </w:r>
      <w:r>
        <w:rPr>
          <w:rFonts w:hint="eastAsia" w:hAnsi="宋体"/>
          <w:kern w:val="0"/>
          <w:sz w:val="24"/>
          <w:szCs w:val="24"/>
        </w:rPr>
        <w:t>、发生继续接受赎回申请将损害现有基金份额持有人利益的情形时，基金管理人可暂停接受基金份额持有人的赎回申请。</w:t>
      </w:r>
    </w:p>
    <w:p w14:paraId="0D869EBB">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8</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4BF9AD0F">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9</w:t>
      </w:r>
      <w:r>
        <w:rPr>
          <w:rFonts w:hint="eastAsia" w:hAnsi="宋体"/>
          <w:kern w:val="0"/>
          <w:sz w:val="24"/>
          <w:szCs w:val="24"/>
        </w:rPr>
        <w:t>、法律法规规定、中国证监会认定或基金合同约定的其他情形。</w:t>
      </w:r>
    </w:p>
    <w:p w14:paraId="78CEEA74">
      <w:pPr>
        <w:widowControl/>
        <w:adjustRightInd w:val="0"/>
        <w:snapToGrid w:val="0"/>
        <w:spacing w:line="360" w:lineRule="auto"/>
        <w:ind w:firstLine="480" w:firstLineChars="200"/>
        <w:rPr>
          <w:rFonts w:hint="eastAsia" w:hAnsi="宋体"/>
          <w:kern w:val="0"/>
          <w:sz w:val="24"/>
        </w:rPr>
      </w:pPr>
      <w:r>
        <w:rPr>
          <w:rFonts w:hint="eastAsia" w:hAnsi="宋体"/>
          <w:kern w:val="0"/>
          <w:sz w:val="24"/>
          <w:szCs w:val="24"/>
        </w:rPr>
        <w:t>发生上述情形之一且基金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6项所述情形，按基金合同的相关条款处理。基金份额持有人在申请赎回时可事先选择将当日可能未获受理部分予以撤销。在暂停赎回的情况消除时，基金管理人应及时恢复赎回业务的办理并公告。</w:t>
      </w:r>
    </w:p>
    <w:p w14:paraId="729639B1">
      <w:pPr>
        <w:widowControl/>
        <w:adjustRightInd w:val="0"/>
        <w:snapToGrid w:val="0"/>
        <w:spacing w:line="360" w:lineRule="auto"/>
        <w:ind w:firstLine="482" w:firstLineChars="200"/>
        <w:rPr>
          <w:b/>
          <w:kern w:val="0"/>
          <w:sz w:val="24"/>
          <w:szCs w:val="24"/>
        </w:rPr>
      </w:pPr>
      <w:r>
        <w:rPr>
          <w:rFonts w:hAnsi="宋体"/>
          <w:b/>
          <w:kern w:val="0"/>
          <w:sz w:val="24"/>
          <w:szCs w:val="24"/>
        </w:rPr>
        <w:t>（十）巨额赎回的情形及处理方式</w:t>
      </w:r>
      <w:bookmarkEnd w:id="40"/>
    </w:p>
    <w:p w14:paraId="02B60D4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1、巨额赎回的认定</w:t>
      </w:r>
    </w:p>
    <w:p w14:paraId="56C48A0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2F0B87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2、巨额赎回的处理方式</w:t>
      </w:r>
    </w:p>
    <w:p w14:paraId="03F8BFF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5BD523B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（1）全额赎回：当基金管理人认为有能力支付投资人的全部赎回申请时，按正常赎回程序执行。</w:t>
      </w:r>
    </w:p>
    <w:p w14:paraId="3544360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7F57CF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（3）本基金如发生巨额赎回且单个开放日内单个基金份额持有人申请赎回的基金份额超过前一开放日的基金总份额的20%时，本基金管理人有权采取如下措施：</w:t>
      </w:r>
    </w:p>
    <w:p w14:paraId="4BD202A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2A348E6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2D6B2BE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779048C">
      <w:pPr>
        <w:widowControl/>
        <w:adjustRightInd w:val="0"/>
        <w:snapToGrid w:val="0"/>
        <w:spacing w:line="360" w:lineRule="auto"/>
        <w:ind w:firstLine="480" w:firstLineChars="200"/>
        <w:rPr>
          <w:rFonts w:hint="eastAsia" w:hAnsi="宋体"/>
          <w:kern w:val="0"/>
          <w:sz w:val="24"/>
        </w:rPr>
      </w:pPr>
      <w:r>
        <w:rPr>
          <w:rFonts w:hint="eastAsia" w:hAnsi="宋体"/>
          <w:kern w:val="0"/>
          <w:sz w:val="24"/>
          <w:szCs w:val="24"/>
        </w:rPr>
        <w:t>3、巨额赎回的公告</w:t>
      </w:r>
    </w:p>
    <w:p w14:paraId="64CF19C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当发生上述巨额赎回并延期办理时，基金管理人应当通过邮寄、传真、刊登公告或者通知销售机构代为告知等方式在3个交易日内通知基金份额持有人，说明有关处理方法，并在两日内在规定媒介上刊登公告。</w:t>
      </w:r>
    </w:p>
    <w:p w14:paraId="5BAE3846">
      <w:pPr>
        <w:widowControl/>
        <w:adjustRightInd w:val="0"/>
        <w:snapToGrid w:val="0"/>
        <w:spacing w:line="360" w:lineRule="auto"/>
        <w:ind w:firstLine="482" w:firstLineChars="200"/>
        <w:rPr>
          <w:b/>
          <w:kern w:val="0"/>
          <w:sz w:val="24"/>
          <w:szCs w:val="24"/>
        </w:rPr>
      </w:pPr>
      <w:bookmarkStart w:id="41" w:name="_Toc79392617"/>
      <w:r>
        <w:rPr>
          <w:rFonts w:hAnsi="宋体"/>
          <w:b/>
          <w:kern w:val="0"/>
          <w:sz w:val="24"/>
          <w:szCs w:val="24"/>
        </w:rPr>
        <w:t>（十一）暂停申购或赎回的公告和重新开放申购或赎回的公告</w:t>
      </w:r>
      <w:bookmarkEnd w:id="41"/>
    </w:p>
    <w:p w14:paraId="1907008F">
      <w:pPr>
        <w:widowControl/>
        <w:adjustRightInd w:val="0"/>
        <w:snapToGrid w:val="0"/>
        <w:spacing w:line="360" w:lineRule="auto"/>
        <w:ind w:firstLine="480" w:firstLineChars="200"/>
        <w:rPr>
          <w:rFonts w:hint="eastAsia" w:hAnsi="宋体"/>
          <w:kern w:val="0"/>
          <w:sz w:val="24"/>
          <w:szCs w:val="24"/>
        </w:rPr>
      </w:pPr>
      <w:bookmarkStart w:id="42" w:name="_Toc15118274"/>
      <w:bookmarkStart w:id="43" w:name="_Toc79392618"/>
      <w:bookmarkStart w:id="44" w:name="_Toc59441259"/>
      <w:r>
        <w:rPr>
          <w:rFonts w:hint="eastAsia" w:hAnsi="宋体"/>
          <w:kern w:val="0"/>
          <w:sz w:val="24"/>
          <w:szCs w:val="24"/>
        </w:rPr>
        <w:t>1、发生上述暂停申购或赎回情况的，基金管理人应在规定期限内在规定媒介上刊登暂停公告。</w:t>
      </w:r>
    </w:p>
    <w:p w14:paraId="2546C05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2、如发生暂停的时间为1日，基金管理人应于重新开放日，在规定媒介上刊登基金重新开放申购或赎回公告，并公布最近1个开放日的基金份额净值。</w:t>
      </w:r>
    </w:p>
    <w:p w14:paraId="424680C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2"/>
    <w:bookmarkEnd w:id="43"/>
    <w:bookmarkEnd w:id="44"/>
    <w:p w14:paraId="6DD4B65F">
      <w:pPr>
        <w:widowControl/>
        <w:adjustRightInd w:val="0"/>
        <w:snapToGrid w:val="0"/>
        <w:spacing w:line="360" w:lineRule="auto"/>
        <w:ind w:firstLine="482" w:firstLineChars="200"/>
        <w:rPr>
          <w:b/>
          <w:kern w:val="0"/>
          <w:sz w:val="24"/>
          <w:szCs w:val="24"/>
        </w:rPr>
      </w:pPr>
      <w:bookmarkStart w:id="45" w:name="_Toc79392621"/>
      <w:r>
        <w:rPr>
          <w:rFonts w:hAnsi="宋体"/>
          <w:b/>
          <w:kern w:val="0"/>
          <w:sz w:val="24"/>
          <w:szCs w:val="24"/>
        </w:rPr>
        <w:t>（十二）基金转换</w:t>
      </w:r>
    </w:p>
    <w:p w14:paraId="7AF39C9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3B29B831">
      <w:pPr>
        <w:widowControl/>
        <w:adjustRightInd w:val="0"/>
        <w:snapToGrid w:val="0"/>
        <w:spacing w:line="360" w:lineRule="auto"/>
        <w:ind w:firstLine="482" w:firstLineChars="200"/>
        <w:rPr>
          <w:b/>
          <w:kern w:val="0"/>
          <w:sz w:val="24"/>
          <w:szCs w:val="24"/>
        </w:rPr>
      </w:pPr>
      <w:r>
        <w:rPr>
          <w:rFonts w:hAnsi="宋体"/>
          <w:b/>
          <w:kern w:val="0"/>
          <w:sz w:val="24"/>
          <w:szCs w:val="24"/>
        </w:rPr>
        <w:t>（十三）基金的非交易过户</w:t>
      </w:r>
    </w:p>
    <w:p w14:paraId="24CF40D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14:paraId="570ED25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9F0EA">
      <w:pPr>
        <w:widowControl/>
        <w:adjustRightInd w:val="0"/>
        <w:snapToGrid w:val="0"/>
        <w:spacing w:line="360" w:lineRule="auto"/>
        <w:ind w:firstLine="482" w:firstLineChars="200"/>
        <w:rPr>
          <w:b/>
          <w:kern w:val="0"/>
          <w:sz w:val="24"/>
          <w:szCs w:val="24"/>
        </w:rPr>
      </w:pPr>
      <w:r>
        <w:rPr>
          <w:rFonts w:hAnsi="宋体"/>
          <w:b/>
          <w:kern w:val="0"/>
          <w:sz w:val="24"/>
          <w:szCs w:val="24"/>
        </w:rPr>
        <w:t>（十四）基金的转托管</w:t>
      </w:r>
      <w:bookmarkEnd w:id="45"/>
    </w:p>
    <w:p w14:paraId="19BE1F60">
      <w:pPr>
        <w:widowControl/>
        <w:adjustRightInd w:val="0"/>
        <w:snapToGrid w:val="0"/>
        <w:spacing w:line="360" w:lineRule="auto"/>
        <w:ind w:firstLine="480" w:firstLineChars="200"/>
        <w:rPr>
          <w:rFonts w:hint="eastAsia" w:hAnsi="宋体"/>
          <w:kern w:val="0"/>
          <w:sz w:val="24"/>
          <w:szCs w:val="24"/>
        </w:rPr>
      </w:pPr>
      <w:bookmarkStart w:id="46" w:name="_Toc79392620"/>
      <w:r>
        <w:rPr>
          <w:rFonts w:hint="eastAsia" w:hAnsi="宋体"/>
          <w:kern w:val="0"/>
          <w:sz w:val="24"/>
          <w:szCs w:val="24"/>
        </w:rPr>
        <w:t>基金份额持有人可办理已持有基金份额在不同销售机构之间的转托管，基金销售机构可以按照规定的标准收取转托管费。</w:t>
      </w:r>
    </w:p>
    <w:p w14:paraId="210AB407">
      <w:pPr>
        <w:widowControl/>
        <w:adjustRightInd w:val="0"/>
        <w:snapToGrid w:val="0"/>
        <w:spacing w:line="360" w:lineRule="auto"/>
        <w:ind w:firstLine="482" w:firstLineChars="200"/>
        <w:rPr>
          <w:b/>
          <w:kern w:val="0"/>
          <w:sz w:val="24"/>
          <w:szCs w:val="24"/>
        </w:rPr>
      </w:pPr>
      <w:r>
        <w:rPr>
          <w:rFonts w:hAnsi="宋体"/>
          <w:b/>
          <w:kern w:val="0"/>
          <w:sz w:val="24"/>
          <w:szCs w:val="24"/>
        </w:rPr>
        <w:t>（十五）定期定额投资计划</w:t>
      </w:r>
    </w:p>
    <w:p w14:paraId="32656B8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48B2F6D">
      <w:pPr>
        <w:widowControl/>
        <w:adjustRightInd w:val="0"/>
        <w:snapToGrid w:val="0"/>
        <w:spacing w:line="360" w:lineRule="auto"/>
        <w:ind w:firstLine="482" w:firstLineChars="200"/>
        <w:rPr>
          <w:b/>
          <w:kern w:val="0"/>
          <w:sz w:val="24"/>
          <w:szCs w:val="24"/>
        </w:rPr>
      </w:pPr>
      <w:r>
        <w:rPr>
          <w:rFonts w:hAnsi="宋体"/>
          <w:b/>
          <w:kern w:val="0"/>
          <w:sz w:val="24"/>
          <w:szCs w:val="24"/>
        </w:rPr>
        <w:t>（十六）</w:t>
      </w:r>
      <w:r>
        <w:rPr>
          <w:rFonts w:hAnsi="宋体"/>
          <w:b/>
          <w:sz w:val="24"/>
          <w:szCs w:val="24"/>
        </w:rPr>
        <w:t>基金份额的冻结和解冻</w:t>
      </w:r>
      <w:bookmarkEnd w:id="46"/>
    </w:p>
    <w:p w14:paraId="5BE8CB56">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58A3E00F">
      <w:pPr>
        <w:adjustRightInd w:val="0"/>
        <w:snapToGrid w:val="0"/>
        <w:spacing w:line="360" w:lineRule="auto"/>
        <w:ind w:firstLine="482" w:firstLineChars="200"/>
        <w:rPr>
          <w:rFonts w:hint="eastAsia" w:hAnsi="宋体"/>
          <w:b/>
          <w:sz w:val="24"/>
          <w:szCs w:val="24"/>
        </w:rPr>
      </w:pPr>
      <w:bookmarkStart w:id="47" w:name="_Toc109059024"/>
      <w:bookmarkStart w:id="48" w:name="_Toc66719557"/>
      <w:bookmarkStart w:id="49" w:name="_Toc66720082"/>
      <w:r>
        <w:rPr>
          <w:rFonts w:hint="eastAsia" w:hAnsi="宋体"/>
          <w:b/>
          <w:sz w:val="24"/>
          <w:szCs w:val="24"/>
        </w:rPr>
        <w:t>（十七）基金份额的转让</w:t>
      </w:r>
    </w:p>
    <w:p w14:paraId="71B33B96">
      <w:pPr>
        <w:adjustRightInd w:val="0"/>
        <w:snapToGrid w:val="0"/>
        <w:spacing w:line="360" w:lineRule="auto"/>
        <w:ind w:firstLine="480" w:firstLineChars="200"/>
        <w:rPr>
          <w:rFonts w:hint="eastAsia"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20499D0">
      <w:pPr>
        <w:adjustRightInd w:val="0"/>
        <w:snapToGrid w:val="0"/>
        <w:spacing w:line="360" w:lineRule="auto"/>
        <w:ind w:firstLine="482" w:firstLineChars="200"/>
        <w:rPr>
          <w:rFonts w:hint="eastAsia"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14:paraId="09104C28">
      <w:pPr>
        <w:adjustRightInd w:val="0"/>
        <w:snapToGrid w:val="0"/>
        <w:spacing w:line="360" w:lineRule="auto"/>
        <w:ind w:firstLine="480" w:firstLineChars="200"/>
        <w:rPr>
          <w:rFonts w:hint="eastAsia" w:ascii="宋体" w:hAnsi="宋体"/>
          <w:sz w:val="24"/>
        </w:rPr>
      </w:pPr>
      <w:r>
        <w:rPr>
          <w:rFonts w:hint="eastAsia" w:ascii="宋体" w:hAnsi="宋体"/>
          <w:sz w:val="24"/>
        </w:rPr>
        <w:t>本基金实施侧袋机制的，本基金的申购和赎回安排详见本招募说明书“侧袋机制”部分的规定或相关公告。</w:t>
      </w:r>
    </w:p>
    <w:p w14:paraId="662DD0EC">
      <w:pPr>
        <w:adjustRightInd w:val="0"/>
        <w:snapToGrid w:val="0"/>
        <w:spacing w:line="360" w:lineRule="auto"/>
        <w:ind w:firstLine="482" w:firstLineChars="200"/>
        <w:rPr>
          <w:rFonts w:hint="eastAsia" w:hAnsi="宋体"/>
          <w:i/>
          <w:kern w:val="0"/>
          <w:sz w:val="24"/>
          <w:u w:val="single"/>
        </w:rPr>
      </w:pPr>
      <w:r>
        <w:rPr>
          <w:rFonts w:hint="eastAsia" w:hAnsi="宋体"/>
          <w:b/>
          <w:kern w:val="0"/>
          <w:sz w:val="24"/>
          <w:szCs w:val="24"/>
        </w:rPr>
        <w:t>（十九）</w:t>
      </w:r>
      <w:r>
        <w:rPr>
          <w:rFonts w:hint="eastAsia" w:hAnsi="宋体"/>
          <w:b/>
          <w:sz w:val="24"/>
          <w:szCs w:val="24"/>
        </w:rPr>
        <w:t>其他业务</w:t>
      </w:r>
    </w:p>
    <w:p w14:paraId="2E43EFEA">
      <w:pPr>
        <w:adjustRightInd w:val="0"/>
        <w:snapToGrid w:val="0"/>
        <w:spacing w:line="360" w:lineRule="auto"/>
        <w:ind w:firstLine="480" w:firstLineChars="200"/>
        <w:rPr>
          <w:rFonts w:hint="eastAsia"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0B9B8A18">
      <w:pPr>
        <w:adjustRightInd w:val="0"/>
        <w:snapToGrid w:val="0"/>
        <w:spacing w:line="360" w:lineRule="auto"/>
        <w:ind w:firstLine="480" w:firstLineChars="200"/>
        <w:rPr>
          <w:rFonts w:hint="eastAsia" w:ascii="宋体" w:hAnsi="宋体"/>
          <w:sz w:val="24"/>
        </w:rPr>
      </w:pPr>
    </w:p>
    <w:p w14:paraId="4FC034EF">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33"/>
      <w:bookmarkStart w:id="50" w:name="_Toc56690589"/>
      <w:bookmarkStart w:id="51" w:name="_Hlk195284392"/>
      <w:r>
        <w:rPr>
          <w:rFonts w:hint="eastAsia" w:ascii="宋体" w:hAnsi="宋体"/>
          <w:b/>
          <w:kern w:val="0"/>
          <w:sz w:val="30"/>
        </w:rPr>
        <w:t>九、基金的投资</w:t>
      </w:r>
      <w:bookmarkEnd w:id="50"/>
    </w:p>
    <w:p w14:paraId="3BD8E2CF">
      <w:pPr>
        <w:adjustRightInd w:val="0"/>
        <w:snapToGrid w:val="0"/>
        <w:spacing w:line="360" w:lineRule="auto"/>
        <w:ind w:firstLine="482" w:firstLineChars="200"/>
        <w:rPr>
          <w:rFonts w:hint="eastAsia" w:hAnsi="宋体"/>
          <w:kern w:val="0"/>
          <w:sz w:val="24"/>
          <w:szCs w:val="24"/>
        </w:rPr>
      </w:pPr>
      <w:r>
        <w:rPr>
          <w:rFonts w:hint="eastAsia"/>
          <w:b/>
          <w:bCs/>
          <w:sz w:val="24"/>
        </w:rPr>
        <w:t>（一）投资目标</w:t>
      </w:r>
    </w:p>
    <w:p w14:paraId="4919044C">
      <w:pPr>
        <w:adjustRightInd w:val="0"/>
        <w:snapToGrid w:val="0"/>
        <w:spacing w:line="360" w:lineRule="auto"/>
        <w:ind w:firstLine="482"/>
        <w:rPr>
          <w:bCs/>
          <w:sz w:val="24"/>
        </w:rPr>
      </w:pPr>
      <w:r>
        <w:rPr>
          <w:rFonts w:hint="eastAsia"/>
          <w:bCs/>
          <w:sz w:val="24"/>
        </w:rPr>
        <w:t>本基金为基金中基金，在严格控制风险的前提下，充分发挥专业研究与管理能力，力争为投资者提供长期稳健的投资回报。</w:t>
      </w:r>
    </w:p>
    <w:p w14:paraId="086963EA">
      <w:pPr>
        <w:adjustRightInd w:val="0"/>
        <w:snapToGrid w:val="0"/>
        <w:spacing w:line="360" w:lineRule="auto"/>
        <w:ind w:firstLine="482"/>
        <w:rPr>
          <w:b/>
          <w:bCs/>
          <w:sz w:val="24"/>
        </w:rPr>
      </w:pPr>
      <w:r>
        <w:rPr>
          <w:rFonts w:hint="eastAsia"/>
          <w:b/>
          <w:bCs/>
          <w:sz w:val="24"/>
        </w:rPr>
        <w:t>（二）投资范围</w:t>
      </w:r>
    </w:p>
    <w:p w14:paraId="2CD2CFF2">
      <w:pPr>
        <w:adjustRightInd w:val="0"/>
        <w:snapToGrid w:val="0"/>
        <w:spacing w:line="360" w:lineRule="auto"/>
        <w:ind w:firstLine="482"/>
        <w:rPr>
          <w:sz w:val="24"/>
        </w:rPr>
      </w:pPr>
      <w:r>
        <w:rPr>
          <w:rFonts w:hint="eastAsia"/>
          <w:sz w:val="24"/>
        </w:rPr>
        <w:t>本基金的投资范围为具有良好流动性的金融工具，包括经中国证监会依法核准或注册的公开募集证券投资基金（含ETF和LOF、香港互认基金、QDII基金、商品基金（包括商品期货基金和黄金ETF）、公开募集</w:t>
      </w:r>
      <w:bookmarkStart w:id="52" w:name="_Hlk219979953"/>
      <w:r>
        <w:rPr>
          <w:rFonts w:hint="eastAsia"/>
          <w:bCs/>
          <w:sz w:val="24"/>
        </w:rPr>
        <w:t>不动产投资信托</w:t>
      </w:r>
      <w:bookmarkEnd w:id="52"/>
      <w:r>
        <w:rPr>
          <w:rFonts w:hint="eastAsia"/>
          <w:sz w:val="24"/>
        </w:rPr>
        <w:t>基金（以下简称“公募REITs”））、国内依法发行上市的股票（含</w:t>
      </w:r>
      <w:r>
        <w:rPr>
          <w:rFonts w:hint="eastAsia"/>
          <w:bCs/>
          <w:sz w:val="24"/>
        </w:rPr>
        <w:t>主板、</w:t>
      </w:r>
      <w:r>
        <w:rPr>
          <w:rFonts w:hint="eastAsia"/>
          <w:sz w:val="24"/>
        </w:rPr>
        <w:t>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675B8AF0">
      <w:pPr>
        <w:adjustRightInd w:val="0"/>
        <w:snapToGrid w:val="0"/>
        <w:spacing w:line="360" w:lineRule="auto"/>
        <w:ind w:firstLine="482"/>
        <w:rPr>
          <w:sz w:val="24"/>
        </w:rPr>
      </w:pPr>
      <w:r>
        <w:rPr>
          <w:rFonts w:hint="eastAsia"/>
          <w:sz w:val="24"/>
        </w:rPr>
        <w:t>如法律法规或监管机构以后允许基金投资其他品种，基金管理人在履行适当程序后，可以将其纳入投资范围。</w:t>
      </w:r>
    </w:p>
    <w:p w14:paraId="429D40ED">
      <w:pPr>
        <w:adjustRightInd w:val="0"/>
        <w:snapToGrid w:val="0"/>
        <w:spacing w:line="360" w:lineRule="auto"/>
        <w:ind w:firstLine="482"/>
        <w:rPr>
          <w:sz w:val="24"/>
        </w:rPr>
      </w:pPr>
      <w:r>
        <w:rPr>
          <w:rFonts w:hint="eastAsia"/>
          <w:sz w:val="24"/>
        </w:rPr>
        <w:t>基金的投资组合比例为：</w:t>
      </w:r>
    </w:p>
    <w:p w14:paraId="790ACA63">
      <w:pPr>
        <w:adjustRightInd w:val="0"/>
        <w:snapToGrid w:val="0"/>
        <w:spacing w:line="360" w:lineRule="auto"/>
        <w:ind w:firstLine="482"/>
        <w:rPr>
          <w:sz w:val="24"/>
        </w:rPr>
      </w:pPr>
      <w:r>
        <w:rPr>
          <w:rFonts w:hint="eastAsia"/>
          <w:sz w:val="24"/>
        </w:rPr>
        <w:t>本基金投资于经中国证监会依法核准或注册的公开募集证券投资基金的基金份额的资产不低于本基金资产的80%；投资于股票（含存托凭证）、股票型基金（包括股票指数基金）、混合型基金</w:t>
      </w:r>
      <w:r>
        <w:rPr>
          <w:rFonts w:hint="eastAsia"/>
          <w:bCs/>
          <w:sz w:val="24"/>
        </w:rPr>
        <w:t>等</w:t>
      </w:r>
      <w:r>
        <w:rPr>
          <w:rFonts w:hint="eastAsia"/>
          <w:sz w:val="24"/>
        </w:rPr>
        <w:t>资产占基金资产的比例为5%-40%（其中，</w:t>
      </w:r>
      <w:r>
        <w:rPr>
          <w:rFonts w:hint="eastAsia"/>
          <w:bCs/>
          <w:sz w:val="24"/>
        </w:rPr>
        <w:t>投资于境内股票、股票型基金、计入权益类资产的混合型基金占基金资产的</w:t>
      </w:r>
      <w:r>
        <w:rPr>
          <w:bCs/>
          <w:sz w:val="24"/>
        </w:rPr>
        <w:t>比例</w:t>
      </w:r>
      <w:r>
        <w:rPr>
          <w:rFonts w:hint="eastAsia"/>
          <w:bCs/>
          <w:sz w:val="24"/>
        </w:rPr>
        <w:t>不低于5%，</w:t>
      </w:r>
      <w:r>
        <w:rPr>
          <w:rFonts w:hint="eastAsia"/>
          <w:sz w:val="24"/>
        </w:rPr>
        <w:t>投资于港股通股票的比例占股票资产的0%-50%）；投资于QDII基金和香港互认基金的比例合计不超过基金资产的20%；投资于货币市场基金的比例不超过基金资产的15%</w:t>
      </w:r>
      <w:r>
        <w:rPr>
          <w:rFonts w:hint="eastAsia"/>
          <w:bCs/>
          <w:sz w:val="24"/>
          <w:lang w:eastAsia="zh-CN"/>
        </w:rPr>
        <w:t>；</w:t>
      </w:r>
      <w:r>
        <w:rPr>
          <w:rFonts w:hint="eastAsia"/>
          <w:bCs/>
          <w:sz w:val="24"/>
        </w:rPr>
        <w:t>投资于商品基金（含商品期货基金和黄金ETF）的比例不超过基金资产的10%</w:t>
      </w:r>
      <w:r>
        <w:rPr>
          <w:rFonts w:hint="eastAsia"/>
          <w:sz w:val="24"/>
        </w:rPr>
        <w:t>。本基金持有的现金或者到期日在一年以内的政府债券的比例合计不低于基金资产净值的5%，其中现金不包括结算备付金、存出保证金、应收申购款等。</w:t>
      </w:r>
    </w:p>
    <w:p w14:paraId="5B171841">
      <w:pPr>
        <w:adjustRightInd w:val="0"/>
        <w:snapToGrid w:val="0"/>
        <w:spacing w:line="360" w:lineRule="auto"/>
        <w:ind w:firstLine="482"/>
        <w:rPr>
          <w:sz w:val="24"/>
        </w:rPr>
      </w:pPr>
      <w:r>
        <w:rPr>
          <w:rFonts w:hint="eastAsia"/>
          <w:sz w:val="24"/>
        </w:rPr>
        <w:t>上述混合型基金需符合下列两个条件之一：</w:t>
      </w:r>
    </w:p>
    <w:p w14:paraId="5130C037">
      <w:pPr>
        <w:adjustRightInd w:val="0"/>
        <w:snapToGrid w:val="0"/>
        <w:spacing w:line="360" w:lineRule="auto"/>
        <w:ind w:firstLine="482"/>
        <w:rPr>
          <w:sz w:val="24"/>
        </w:rPr>
      </w:pPr>
      <w:r>
        <w:rPr>
          <w:rFonts w:hint="eastAsia"/>
          <w:sz w:val="24"/>
        </w:rPr>
        <w:t>1、基金合同中约定股票</w:t>
      </w:r>
      <w:r>
        <w:rPr>
          <w:rFonts w:hint="eastAsia"/>
          <w:bCs/>
          <w:sz w:val="24"/>
        </w:rPr>
        <w:t>（含存托凭证）</w:t>
      </w:r>
      <w:r>
        <w:rPr>
          <w:rFonts w:hint="eastAsia"/>
          <w:sz w:val="24"/>
        </w:rPr>
        <w:t>投资占基金资产的比例不低于60%的混合型基金；</w:t>
      </w:r>
    </w:p>
    <w:p w14:paraId="45833DF0">
      <w:pPr>
        <w:adjustRightInd w:val="0"/>
        <w:snapToGrid w:val="0"/>
        <w:spacing w:line="360" w:lineRule="auto"/>
        <w:ind w:firstLine="482"/>
        <w:rPr>
          <w:sz w:val="24"/>
        </w:rPr>
      </w:pPr>
      <w:r>
        <w:rPr>
          <w:rFonts w:hint="eastAsia"/>
          <w:sz w:val="24"/>
        </w:rPr>
        <w:t>2、最近四个季度披露的股票</w:t>
      </w:r>
      <w:r>
        <w:rPr>
          <w:rFonts w:hint="eastAsia"/>
          <w:bCs/>
          <w:sz w:val="24"/>
        </w:rPr>
        <w:t>（含存托凭证）</w:t>
      </w:r>
      <w:r>
        <w:rPr>
          <w:rFonts w:hint="eastAsia"/>
          <w:sz w:val="24"/>
        </w:rPr>
        <w:t>投资占基金资产的比例均不低于60%的混合型基金。</w:t>
      </w:r>
    </w:p>
    <w:p w14:paraId="2FFEF636">
      <w:pPr>
        <w:adjustRightInd w:val="0"/>
        <w:snapToGrid w:val="0"/>
        <w:spacing w:line="360" w:lineRule="auto"/>
        <w:ind w:firstLine="482"/>
        <w:rPr>
          <w:bCs/>
          <w:sz w:val="24"/>
        </w:rPr>
      </w:pPr>
      <w:r>
        <w:rPr>
          <w:rFonts w:hint="eastAsia"/>
          <w:sz w:val="24"/>
        </w:rPr>
        <w:t>如果法律法规或中国证监会变更投资品种的投资比例限制，基金管理人在履行适当程序后，可以调整上述投资品种的投资比例。</w:t>
      </w:r>
    </w:p>
    <w:p w14:paraId="11475441">
      <w:pPr>
        <w:adjustRightInd w:val="0"/>
        <w:snapToGrid w:val="0"/>
        <w:spacing w:line="360" w:lineRule="auto"/>
        <w:ind w:firstLine="482" w:firstLineChars="200"/>
        <w:rPr>
          <w:rFonts w:hint="eastAsia" w:hAnsi="宋体"/>
          <w:kern w:val="0"/>
          <w:sz w:val="24"/>
          <w:szCs w:val="24"/>
        </w:rPr>
      </w:pPr>
      <w:r>
        <w:rPr>
          <w:rFonts w:hint="eastAsia"/>
          <w:b/>
          <w:bCs/>
          <w:sz w:val="24"/>
        </w:rPr>
        <w:t>（三）投资策略</w:t>
      </w:r>
    </w:p>
    <w:p w14:paraId="47A3DF60">
      <w:pPr>
        <w:adjustRightInd w:val="0"/>
        <w:snapToGrid w:val="0"/>
        <w:spacing w:line="360" w:lineRule="auto"/>
        <w:ind w:firstLine="482"/>
        <w:rPr>
          <w:sz w:val="24"/>
        </w:rPr>
      </w:pPr>
      <w:r>
        <w:rPr>
          <w:bCs/>
          <w:sz w:val="24"/>
        </w:rPr>
        <w:t>1</w:t>
      </w:r>
      <w:r>
        <w:rPr>
          <w:rFonts w:hint="eastAsia"/>
          <w:sz w:val="24"/>
        </w:rPr>
        <w:t>、大类资产配置</w:t>
      </w:r>
    </w:p>
    <w:p w14:paraId="21B16F72">
      <w:pPr>
        <w:adjustRightInd w:val="0"/>
        <w:snapToGrid w:val="0"/>
        <w:spacing w:line="360" w:lineRule="auto"/>
        <w:ind w:firstLine="482"/>
        <w:rPr>
          <w:sz w:val="24"/>
        </w:rPr>
      </w:pPr>
      <w:r>
        <w:rPr>
          <w:rFonts w:hint="eastAsia"/>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14:paraId="4FFB73D8">
      <w:pPr>
        <w:adjustRightInd w:val="0"/>
        <w:snapToGrid w:val="0"/>
        <w:spacing w:line="360" w:lineRule="auto"/>
        <w:ind w:firstLine="482"/>
        <w:rPr>
          <w:sz w:val="24"/>
        </w:rPr>
      </w:pPr>
      <w:r>
        <w:rPr>
          <w:sz w:val="24"/>
        </w:rPr>
        <w:t>2</w:t>
      </w:r>
      <w:r>
        <w:rPr>
          <w:rFonts w:hint="eastAsia"/>
          <w:sz w:val="24"/>
        </w:rPr>
        <w:t>、基金投资策略</w:t>
      </w:r>
    </w:p>
    <w:p w14:paraId="5BA1A69C">
      <w:pPr>
        <w:adjustRightInd w:val="0"/>
        <w:snapToGrid w:val="0"/>
        <w:spacing w:line="360" w:lineRule="auto"/>
        <w:ind w:firstLine="482"/>
        <w:rPr>
          <w:sz w:val="24"/>
        </w:rPr>
      </w:pPr>
      <w:r>
        <w:rPr>
          <w:rFonts w:hint="eastAsia"/>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07C8A891">
      <w:pPr>
        <w:adjustRightInd w:val="0"/>
        <w:snapToGrid w:val="0"/>
        <w:spacing w:line="360" w:lineRule="auto"/>
        <w:ind w:firstLine="482"/>
        <w:rPr>
          <w:sz w:val="24"/>
        </w:rPr>
      </w:pPr>
      <w:r>
        <w:rPr>
          <w:rFonts w:hint="eastAsia"/>
          <w:sz w:val="24"/>
        </w:rPr>
        <w:t>（</w:t>
      </w:r>
      <w:r>
        <w:rPr>
          <w:sz w:val="24"/>
        </w:rPr>
        <w:t>1</w:t>
      </w:r>
      <w:r>
        <w:rPr>
          <w:rFonts w:hint="eastAsia"/>
          <w:sz w:val="24"/>
        </w:rPr>
        <w:t>）运用量化方法分析所有适选基金在不同市场下的历史业绩表现，包括收益指标、风险指标和风险调整后收益指标等，具体如下：</w:t>
      </w:r>
    </w:p>
    <w:p w14:paraId="43408B90">
      <w:pPr>
        <w:pStyle w:val="50"/>
        <w:numPr>
          <w:ilvl w:val="0"/>
          <w:numId w:val="1"/>
        </w:numPr>
        <w:adjustRightInd w:val="0"/>
        <w:snapToGrid w:val="0"/>
        <w:spacing w:line="360" w:lineRule="auto"/>
        <w:ind w:firstLineChars="0"/>
        <w:rPr>
          <w:sz w:val="24"/>
        </w:rPr>
      </w:pPr>
      <w:r>
        <w:rPr>
          <w:rFonts w:hint="eastAsia"/>
          <w:sz w:val="24"/>
        </w:rPr>
        <w:t>收益指标：包括绝对收益、相对收益等指标；</w:t>
      </w:r>
    </w:p>
    <w:p w14:paraId="2606C788">
      <w:pPr>
        <w:pStyle w:val="50"/>
        <w:numPr>
          <w:ilvl w:val="0"/>
          <w:numId w:val="1"/>
        </w:numPr>
        <w:adjustRightInd w:val="0"/>
        <w:snapToGrid w:val="0"/>
        <w:spacing w:line="360" w:lineRule="auto"/>
        <w:ind w:firstLineChars="0"/>
        <w:rPr>
          <w:sz w:val="24"/>
        </w:rPr>
      </w:pPr>
      <w:r>
        <w:rPr>
          <w:rFonts w:hint="eastAsia"/>
          <w:sz w:val="24"/>
        </w:rPr>
        <w:t>风险指标：包括波动率、最大回撤等指标；</w:t>
      </w:r>
    </w:p>
    <w:p w14:paraId="2F82533D">
      <w:pPr>
        <w:pStyle w:val="50"/>
        <w:numPr>
          <w:ilvl w:val="0"/>
          <w:numId w:val="1"/>
        </w:numPr>
        <w:adjustRightInd w:val="0"/>
        <w:snapToGrid w:val="0"/>
        <w:spacing w:line="360" w:lineRule="auto"/>
        <w:ind w:firstLineChars="0"/>
        <w:rPr>
          <w:sz w:val="24"/>
        </w:rPr>
      </w:pPr>
      <w:r>
        <w:rPr>
          <w:rFonts w:hint="eastAsia"/>
          <w:sz w:val="24"/>
        </w:rPr>
        <w:t>风险调整后收益指标：包括夏普比率、信息比率等指标。</w:t>
      </w:r>
    </w:p>
    <w:p w14:paraId="16806FED">
      <w:pPr>
        <w:adjustRightInd w:val="0"/>
        <w:snapToGrid w:val="0"/>
        <w:spacing w:line="360" w:lineRule="auto"/>
        <w:ind w:firstLine="482"/>
        <w:rPr>
          <w:sz w:val="24"/>
        </w:rPr>
      </w:pPr>
      <w:r>
        <w:rPr>
          <w:rFonts w:hint="eastAsia"/>
          <w:sz w:val="24"/>
        </w:rPr>
        <w:t>（</w:t>
      </w:r>
      <w:r>
        <w:rPr>
          <w:sz w:val="24"/>
        </w:rPr>
        <w:t>2</w:t>
      </w:r>
      <w:r>
        <w:rPr>
          <w:rFonts w:hint="eastAsia"/>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56A8EB73">
      <w:pPr>
        <w:adjustRightInd w:val="0"/>
        <w:snapToGrid w:val="0"/>
        <w:spacing w:line="360" w:lineRule="auto"/>
        <w:ind w:firstLine="482"/>
        <w:rPr>
          <w:sz w:val="24"/>
        </w:rPr>
      </w:pPr>
      <w:r>
        <w:rPr>
          <w:rFonts w:hint="eastAsia"/>
          <w:sz w:val="24"/>
        </w:rPr>
        <w:t>（</w:t>
      </w:r>
      <w:r>
        <w:rPr>
          <w:sz w:val="24"/>
        </w:rPr>
        <w:t>3</w:t>
      </w:r>
      <w:r>
        <w:rPr>
          <w:rFonts w:hint="eastAsia"/>
          <w:sz w:val="24"/>
        </w:rPr>
        <w:t>）结合对基金管理人的定性评估，包括基金管理人基本情况、投研团队实力以及投研团队稳定性、基金经理投资优势及业绩稳定性等方面，最终确定本基金的投资组合及配置比例。</w:t>
      </w:r>
    </w:p>
    <w:p w14:paraId="1A62A86D">
      <w:pPr>
        <w:adjustRightInd w:val="0"/>
        <w:snapToGrid w:val="0"/>
        <w:spacing w:line="360" w:lineRule="auto"/>
        <w:ind w:firstLine="482"/>
        <w:rPr>
          <w:sz w:val="24"/>
        </w:rPr>
      </w:pPr>
      <w:r>
        <w:rPr>
          <w:rFonts w:hint="eastAsia"/>
          <w:sz w:val="24"/>
        </w:rPr>
        <w:t>（4）公募REITs投资策略</w:t>
      </w:r>
    </w:p>
    <w:p w14:paraId="502F6356">
      <w:pPr>
        <w:adjustRightInd w:val="0"/>
        <w:snapToGrid w:val="0"/>
        <w:spacing w:line="360" w:lineRule="auto"/>
        <w:ind w:firstLine="482"/>
        <w:rPr>
          <w:sz w:val="24"/>
        </w:rPr>
      </w:pPr>
      <w:r>
        <w:rPr>
          <w:rFonts w:hint="eastAsia"/>
          <w:sz w:val="24"/>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5E148E00">
      <w:pPr>
        <w:adjustRightInd w:val="0"/>
        <w:snapToGrid w:val="0"/>
        <w:spacing w:line="360" w:lineRule="auto"/>
        <w:ind w:firstLine="482"/>
        <w:rPr>
          <w:sz w:val="24"/>
        </w:rPr>
      </w:pPr>
      <w:r>
        <w:rPr>
          <w:rFonts w:hint="eastAsia"/>
          <w:sz w:val="24"/>
        </w:rPr>
        <w:t>综上，本基金通过定量和定性相结合的方法，长期持续跟踪本基金的组合业绩，并定期对基金组合进行维护，力争实现基金资产的长期稳健增值。</w:t>
      </w:r>
    </w:p>
    <w:p w14:paraId="0499C735">
      <w:pPr>
        <w:adjustRightInd w:val="0"/>
        <w:snapToGrid w:val="0"/>
        <w:spacing w:line="360" w:lineRule="auto"/>
        <w:ind w:firstLine="482"/>
        <w:rPr>
          <w:sz w:val="24"/>
        </w:rPr>
      </w:pPr>
      <w:r>
        <w:rPr>
          <w:sz w:val="24"/>
        </w:rPr>
        <w:t>3</w:t>
      </w:r>
      <w:r>
        <w:rPr>
          <w:rFonts w:hint="eastAsia"/>
          <w:sz w:val="24"/>
        </w:rPr>
        <w:t>、股票投资策略</w:t>
      </w:r>
    </w:p>
    <w:p w14:paraId="707FD9B4">
      <w:pPr>
        <w:adjustRightInd w:val="0"/>
        <w:snapToGrid w:val="0"/>
        <w:spacing w:line="360" w:lineRule="auto"/>
        <w:ind w:firstLine="482"/>
        <w:rPr>
          <w:sz w:val="24"/>
        </w:rPr>
      </w:pPr>
      <w:r>
        <w:rPr>
          <w:rFonts w:hint="eastAsia"/>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池基础上，本基金将进一步通过对备选上市公司翔实的</w:t>
      </w:r>
      <w:r>
        <w:rPr>
          <w:rFonts w:hint="eastAsia"/>
          <w:bCs/>
          <w:sz w:val="24"/>
        </w:rPr>
        <w:t>基本面</w:t>
      </w:r>
      <w:r>
        <w:rPr>
          <w:rFonts w:hint="eastAsia"/>
          <w:sz w:val="24"/>
        </w:rPr>
        <w:t>分析和深入的实地调研，以定性与定量相结合的方法对公司价值进行综合评估。通过对重点上市公司进行内在价值的评估和成长性跟踪研究，在明确的价值评估基础上精选优秀质地的投资标的。</w:t>
      </w:r>
    </w:p>
    <w:p w14:paraId="335B1C0F">
      <w:pPr>
        <w:adjustRightInd w:val="0"/>
        <w:snapToGrid w:val="0"/>
        <w:spacing w:line="360" w:lineRule="auto"/>
        <w:ind w:firstLine="482"/>
        <w:rPr>
          <w:sz w:val="24"/>
        </w:rPr>
      </w:pPr>
      <w:r>
        <w:rPr>
          <w:rFonts w:hint="eastAsia"/>
          <w:sz w:val="24"/>
        </w:rPr>
        <w:t>本基金投资存托凭证的策略依照境内上市交易的股票投资策略执行。</w:t>
      </w:r>
    </w:p>
    <w:p w14:paraId="202ECB05">
      <w:pPr>
        <w:adjustRightInd w:val="0"/>
        <w:snapToGrid w:val="0"/>
        <w:spacing w:line="360" w:lineRule="auto"/>
        <w:ind w:firstLine="482"/>
        <w:rPr>
          <w:sz w:val="24"/>
        </w:rPr>
      </w:pPr>
      <w:r>
        <w:rPr>
          <w:sz w:val="24"/>
        </w:rPr>
        <w:t>4</w:t>
      </w:r>
      <w:r>
        <w:rPr>
          <w:rFonts w:hint="eastAsia"/>
          <w:sz w:val="24"/>
        </w:rPr>
        <w:t>、港股通股票</w:t>
      </w:r>
      <w:r>
        <w:rPr>
          <w:rFonts w:hint="eastAsia"/>
          <w:bCs/>
          <w:sz w:val="24"/>
          <w:lang w:val="zh-CN"/>
        </w:rPr>
        <w:t>及港股通ETF</w:t>
      </w:r>
      <w:r>
        <w:rPr>
          <w:rFonts w:hint="eastAsia"/>
          <w:sz w:val="24"/>
        </w:rPr>
        <w:t>投资策略</w:t>
      </w:r>
    </w:p>
    <w:p w14:paraId="351D6093">
      <w:pPr>
        <w:adjustRightInd w:val="0"/>
        <w:snapToGrid w:val="0"/>
        <w:spacing w:line="360" w:lineRule="auto"/>
        <w:ind w:firstLine="482"/>
        <w:rPr>
          <w:sz w:val="24"/>
        </w:rPr>
      </w:pPr>
      <w:r>
        <w:rPr>
          <w:rFonts w:hint="eastAsia"/>
          <w:sz w:val="24"/>
        </w:rPr>
        <w:t>本基金可通过内地与香港股票市场交易互联互通机制投资于香港股票市场。本基金优先将基本面健康、业绩向上弹性较大、具有估值优势的港股</w:t>
      </w:r>
      <w:r>
        <w:rPr>
          <w:rFonts w:hint="eastAsia" w:hAnsi="宋体"/>
          <w:kern w:val="0"/>
          <w:sz w:val="24"/>
          <w:szCs w:val="24"/>
        </w:rPr>
        <w:t>通股票</w:t>
      </w:r>
      <w:r>
        <w:rPr>
          <w:rFonts w:hint="eastAsia"/>
          <w:bCs/>
          <w:sz w:val="24"/>
          <w:lang w:val="zh-CN"/>
        </w:rPr>
        <w:t>及港股通ETF</w:t>
      </w:r>
      <w:r>
        <w:rPr>
          <w:rFonts w:hint="eastAsia"/>
          <w:sz w:val="24"/>
        </w:rPr>
        <w:t>纳入本基金的投资组合。</w:t>
      </w:r>
    </w:p>
    <w:p w14:paraId="374741E0">
      <w:pPr>
        <w:adjustRightInd w:val="0"/>
        <w:snapToGrid w:val="0"/>
        <w:spacing w:line="360" w:lineRule="auto"/>
        <w:ind w:firstLine="482"/>
        <w:rPr>
          <w:sz w:val="24"/>
        </w:rPr>
      </w:pPr>
      <w:r>
        <w:rPr>
          <w:rFonts w:hint="eastAsia"/>
          <w:sz w:val="24"/>
        </w:rPr>
        <w:t>本基金可根据投资策略需要或不同配置地市场环境的变化，选择将部分基金资产投资于港股</w:t>
      </w:r>
      <w:r>
        <w:rPr>
          <w:rFonts w:hint="eastAsia" w:hAnsi="宋体"/>
          <w:kern w:val="0"/>
          <w:sz w:val="24"/>
          <w:szCs w:val="24"/>
        </w:rPr>
        <w:t>通股票</w:t>
      </w:r>
      <w:r>
        <w:rPr>
          <w:rFonts w:hint="eastAsia"/>
          <w:kern w:val="0"/>
          <w:sz w:val="24"/>
        </w:rPr>
        <w:t>及港股通ETF</w:t>
      </w:r>
      <w:r>
        <w:rPr>
          <w:rFonts w:hint="eastAsia"/>
          <w:sz w:val="24"/>
        </w:rPr>
        <w:t>或选择不将基金资产投资于港股</w:t>
      </w:r>
      <w:r>
        <w:rPr>
          <w:rFonts w:hint="eastAsia" w:hAnsi="宋体"/>
          <w:kern w:val="0"/>
          <w:sz w:val="24"/>
          <w:szCs w:val="24"/>
        </w:rPr>
        <w:t>通股票</w:t>
      </w:r>
      <w:r>
        <w:rPr>
          <w:rFonts w:hint="eastAsia"/>
          <w:kern w:val="0"/>
          <w:sz w:val="24"/>
        </w:rPr>
        <w:t>及港股通ETF</w:t>
      </w:r>
      <w:r>
        <w:rPr>
          <w:rFonts w:hint="eastAsia"/>
          <w:sz w:val="24"/>
        </w:rPr>
        <w:t>，基金资产并非必然投资港股</w:t>
      </w:r>
      <w:r>
        <w:rPr>
          <w:rFonts w:hint="eastAsia" w:hAnsi="宋体"/>
          <w:kern w:val="0"/>
          <w:sz w:val="24"/>
          <w:szCs w:val="24"/>
        </w:rPr>
        <w:t>通股票</w:t>
      </w:r>
      <w:r>
        <w:rPr>
          <w:rFonts w:hint="eastAsia"/>
          <w:kern w:val="0"/>
          <w:sz w:val="24"/>
        </w:rPr>
        <w:t>及港股通ETF</w:t>
      </w:r>
      <w:r>
        <w:rPr>
          <w:rFonts w:hint="eastAsia"/>
          <w:sz w:val="24"/>
        </w:rPr>
        <w:t>。</w:t>
      </w:r>
    </w:p>
    <w:p w14:paraId="08FA68FA">
      <w:pPr>
        <w:adjustRightInd w:val="0"/>
        <w:snapToGrid w:val="0"/>
        <w:spacing w:line="360" w:lineRule="auto"/>
        <w:ind w:firstLine="482"/>
        <w:rPr>
          <w:sz w:val="24"/>
        </w:rPr>
      </w:pPr>
      <w:r>
        <w:rPr>
          <w:rFonts w:hint="eastAsia"/>
          <w:sz w:val="24"/>
        </w:rPr>
        <w:t>5、债券投资策略</w:t>
      </w:r>
    </w:p>
    <w:p w14:paraId="526AD050">
      <w:pPr>
        <w:adjustRightInd w:val="0"/>
        <w:snapToGrid w:val="0"/>
        <w:spacing w:line="360" w:lineRule="auto"/>
        <w:ind w:firstLine="482"/>
        <w:rPr>
          <w:sz w:val="24"/>
        </w:rPr>
      </w:pPr>
      <w:r>
        <w:rPr>
          <w:rFonts w:hint="eastAsia"/>
          <w:sz w:val="24"/>
        </w:rPr>
        <w:t>本基金的债券投资采取主动的投资管理方式，获得与风险相匹配的投资收益，以实现在一定程度上规避股票市场的系统性风险和保证基金资产的流动性。</w:t>
      </w:r>
    </w:p>
    <w:p w14:paraId="525C7D87">
      <w:pPr>
        <w:adjustRightInd w:val="0"/>
        <w:snapToGrid w:val="0"/>
        <w:spacing w:line="360" w:lineRule="auto"/>
        <w:ind w:firstLine="482"/>
        <w:rPr>
          <w:sz w:val="24"/>
        </w:rPr>
      </w:pPr>
      <w:r>
        <w:rPr>
          <w:rFonts w:hint="eastAsia"/>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w:t>
      </w:r>
      <w:r>
        <w:rPr>
          <w:rFonts w:hint="eastAsia"/>
          <w:bCs/>
          <w:sz w:val="24"/>
        </w:rPr>
        <w:t>在具体操作中，本基金运用久期调整策略、类属配置策略、期限结构配置策略、回购策略、信用债券投资策略、可转换债券投资策略等多种策略，以期获取债券市场的长期稳定收益。</w:t>
      </w:r>
    </w:p>
    <w:p w14:paraId="1B35D1E6">
      <w:pPr>
        <w:adjustRightInd w:val="0"/>
        <w:snapToGrid w:val="0"/>
        <w:spacing w:line="360" w:lineRule="auto"/>
        <w:ind w:firstLine="482"/>
        <w:rPr>
          <w:sz w:val="24"/>
        </w:rPr>
      </w:pPr>
      <w:r>
        <w:rPr>
          <w:sz w:val="24"/>
        </w:rPr>
        <w:t>6</w:t>
      </w:r>
      <w:r>
        <w:rPr>
          <w:rFonts w:hint="eastAsia"/>
          <w:sz w:val="24"/>
        </w:rPr>
        <w:t>、资产支持证券投资策略</w:t>
      </w:r>
    </w:p>
    <w:p w14:paraId="5F93BF88">
      <w:pPr>
        <w:adjustRightInd w:val="0"/>
        <w:snapToGrid w:val="0"/>
        <w:spacing w:line="360" w:lineRule="auto"/>
        <w:ind w:firstLine="480" w:firstLineChars="200"/>
        <w:rPr>
          <w:rFonts w:hint="eastAsia" w:ascii="宋体" w:hAnsi="宋体"/>
          <w:bCs/>
          <w:sz w:val="24"/>
          <w:szCs w:val="24"/>
        </w:rPr>
      </w:pPr>
      <w:r>
        <w:rPr>
          <w:rFonts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Pr>
          <w:rFonts w:hint="eastAsia" w:ascii="宋体" w:hAnsi="宋体"/>
          <w:bCs/>
          <w:sz w:val="24"/>
          <w:szCs w:val="24"/>
        </w:rPr>
        <w:t>。</w:t>
      </w:r>
    </w:p>
    <w:p w14:paraId="017B595D">
      <w:pPr>
        <w:adjustRightInd w:val="0"/>
        <w:snapToGrid w:val="0"/>
        <w:spacing w:line="360" w:lineRule="auto"/>
        <w:ind w:firstLine="482" w:firstLineChars="200"/>
        <w:rPr>
          <w:rFonts w:hint="eastAsia" w:hAnsi="宋体"/>
          <w:kern w:val="0"/>
          <w:sz w:val="24"/>
        </w:rPr>
      </w:pPr>
      <w:r>
        <w:rPr>
          <w:rFonts w:hint="eastAsia"/>
          <w:b/>
          <w:bCs/>
          <w:sz w:val="24"/>
        </w:rPr>
        <w:t>（四）投资限制</w:t>
      </w:r>
    </w:p>
    <w:p w14:paraId="5B0788FD">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1、组合限制</w:t>
      </w:r>
    </w:p>
    <w:p w14:paraId="1B9A083E">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基金的投资组合应遵循以下限制：</w:t>
      </w:r>
    </w:p>
    <w:p w14:paraId="76AF6445">
      <w:pPr>
        <w:adjustRightInd w:val="0"/>
        <w:snapToGrid w:val="0"/>
        <w:spacing w:line="360" w:lineRule="auto"/>
        <w:ind w:firstLine="480" w:firstLineChars="200"/>
        <w:rPr>
          <w:bCs/>
          <w:sz w:val="24"/>
        </w:rPr>
      </w:pPr>
      <w:r>
        <w:rPr>
          <w:rFonts w:hint="eastAsia"/>
          <w:bCs/>
          <w:sz w:val="24"/>
        </w:rPr>
        <w:t>（1）本基金投资于经中国证监会依法核准或注册的公开募集证券投资基金的基金份额的资产不低于本基金资产的80%；</w:t>
      </w:r>
      <w:r>
        <w:rPr>
          <w:rFonts w:hint="eastAsia"/>
          <w:sz w:val="24"/>
        </w:rPr>
        <w:t>投资于股票（含存托凭证）、股票型基金（包括股票指数基金）、混合型基金</w:t>
      </w:r>
      <w:r>
        <w:rPr>
          <w:rFonts w:hint="eastAsia"/>
          <w:bCs/>
          <w:sz w:val="24"/>
        </w:rPr>
        <w:t>等</w:t>
      </w:r>
      <w:r>
        <w:rPr>
          <w:rFonts w:hint="eastAsia"/>
          <w:sz w:val="24"/>
        </w:rPr>
        <w:t>资产占基金资产的比例为5%-40%（其中，</w:t>
      </w:r>
      <w:r>
        <w:rPr>
          <w:rFonts w:hint="eastAsia"/>
          <w:bCs/>
          <w:sz w:val="24"/>
        </w:rPr>
        <w:t>投资于境内股票、股票型基金、计入权益类资产的混合型基金占基金资产的</w:t>
      </w:r>
      <w:r>
        <w:rPr>
          <w:bCs/>
          <w:sz w:val="24"/>
        </w:rPr>
        <w:t>比例</w:t>
      </w:r>
      <w:r>
        <w:rPr>
          <w:rFonts w:hint="eastAsia"/>
          <w:bCs/>
          <w:sz w:val="24"/>
        </w:rPr>
        <w:t>不低于5%，</w:t>
      </w:r>
      <w:r>
        <w:rPr>
          <w:rFonts w:hint="eastAsia"/>
          <w:sz w:val="24"/>
        </w:rPr>
        <w:t>投资于港股通股票的比例占股票资产的0%-50%）</w:t>
      </w:r>
      <w:r>
        <w:rPr>
          <w:rFonts w:hint="eastAsia"/>
          <w:bCs/>
          <w:sz w:val="24"/>
        </w:rPr>
        <w:t>；投资于QDII基金和香港互认基金的比例合计不超过基金资产的20%；投资于货币市场基金的比例不超过基金资产的15%；投资于商品基金（含商品期货基金和黄金ETF）的比例不超过基金资产的10%</w:t>
      </w:r>
      <w:r>
        <w:rPr>
          <w:rFonts w:hint="eastAsia"/>
          <w:bCs/>
          <w:sz w:val="24"/>
          <w:lang w:eastAsia="zh-CN"/>
        </w:rPr>
        <w:t>；</w:t>
      </w:r>
    </w:p>
    <w:p w14:paraId="72C17BB8">
      <w:pPr>
        <w:adjustRightInd w:val="0"/>
        <w:snapToGrid w:val="0"/>
        <w:spacing w:line="360" w:lineRule="auto"/>
        <w:ind w:firstLine="480" w:firstLineChars="200"/>
        <w:rPr>
          <w:bCs/>
          <w:sz w:val="24"/>
        </w:rPr>
      </w:pPr>
      <w:r>
        <w:rPr>
          <w:rFonts w:hint="eastAsia"/>
          <w:bCs/>
          <w:sz w:val="24"/>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00280E46">
      <w:pPr>
        <w:adjustRightInd w:val="0"/>
        <w:snapToGrid w:val="0"/>
        <w:spacing w:line="360" w:lineRule="auto"/>
        <w:ind w:firstLine="480" w:firstLineChars="200"/>
        <w:rPr>
          <w:bCs/>
          <w:sz w:val="24"/>
        </w:rPr>
      </w:pPr>
      <w:r>
        <w:rPr>
          <w:rFonts w:hint="eastAsia"/>
          <w:bCs/>
          <w:sz w:val="24"/>
        </w:rPr>
        <w:t>（2）本基金持有的现金或者到期日在一年以内的政府债券的比例合计不低于基金资产净值的5%，其中现金不包括结算备付金、存出保证金、应收申购款等；</w:t>
      </w:r>
    </w:p>
    <w:p w14:paraId="34F6D502">
      <w:pPr>
        <w:adjustRightInd w:val="0"/>
        <w:snapToGrid w:val="0"/>
        <w:spacing w:line="360" w:lineRule="auto"/>
        <w:ind w:firstLine="480" w:firstLineChars="200"/>
        <w:rPr>
          <w:bCs/>
          <w:sz w:val="24"/>
        </w:rPr>
      </w:pPr>
      <w:r>
        <w:rPr>
          <w:rFonts w:hint="eastAsia"/>
          <w:bCs/>
          <w:sz w:val="24"/>
        </w:rPr>
        <w:t>（3）本基金持有单只基金的市值，不得高于本基金资产净值的20%，且不得持有其他基金中基金；</w:t>
      </w:r>
    </w:p>
    <w:p w14:paraId="09A7D8E9">
      <w:pPr>
        <w:adjustRightInd w:val="0"/>
        <w:snapToGrid w:val="0"/>
        <w:spacing w:line="360" w:lineRule="auto"/>
        <w:ind w:firstLine="480" w:firstLineChars="200"/>
        <w:rPr>
          <w:bCs/>
          <w:sz w:val="24"/>
        </w:rPr>
      </w:pPr>
      <w:r>
        <w:rPr>
          <w:rFonts w:hint="eastAsia"/>
          <w:bCs/>
          <w:sz w:val="24"/>
        </w:rPr>
        <w:t>（4）本基金管理人管理的全部基金（除ETF联接基金外）持有单只基金不得超过被投资基金净资产的20%，被投资基金净资产规模以最近定期报告披露的规模为准；</w:t>
      </w:r>
    </w:p>
    <w:p w14:paraId="72BD2275">
      <w:pPr>
        <w:adjustRightInd w:val="0"/>
        <w:snapToGrid w:val="0"/>
        <w:spacing w:line="360" w:lineRule="auto"/>
        <w:ind w:firstLine="480" w:firstLineChars="200"/>
        <w:rPr>
          <w:bCs/>
          <w:sz w:val="24"/>
        </w:rPr>
      </w:pPr>
      <w:r>
        <w:rPr>
          <w:rFonts w:hint="eastAsia"/>
          <w:bCs/>
          <w:sz w:val="24"/>
        </w:rPr>
        <w:t>（5）本基金不得持有具有复杂、衍生品性质的基金份额，包括分级基金和中国证监会认定的其他基金份额，中国证监会认可或批准的特殊基金中基金除外；</w:t>
      </w:r>
    </w:p>
    <w:p w14:paraId="050945D1">
      <w:pPr>
        <w:adjustRightInd w:val="0"/>
        <w:snapToGrid w:val="0"/>
        <w:spacing w:line="360" w:lineRule="auto"/>
        <w:ind w:firstLine="480" w:firstLineChars="200"/>
        <w:rPr>
          <w:bCs/>
          <w:sz w:val="24"/>
        </w:rPr>
      </w:pPr>
      <w:r>
        <w:rPr>
          <w:rFonts w:hint="eastAsia"/>
          <w:bCs/>
          <w:sz w:val="24"/>
        </w:rPr>
        <w:t>（6）本基金投资其他基金时，被投资基金的运作期限应当不少于1年、最近定期报告披露的基金净资产应当不低于1亿元；</w:t>
      </w:r>
    </w:p>
    <w:p w14:paraId="63D2AC68">
      <w:pPr>
        <w:adjustRightInd w:val="0"/>
        <w:snapToGrid w:val="0"/>
        <w:spacing w:line="360" w:lineRule="auto"/>
        <w:ind w:firstLine="480" w:firstLineChars="200"/>
        <w:rPr>
          <w:bCs/>
          <w:sz w:val="24"/>
        </w:rPr>
      </w:pPr>
      <w:r>
        <w:rPr>
          <w:rFonts w:hint="eastAsia"/>
          <w:bCs/>
          <w:sz w:val="24"/>
        </w:rPr>
        <w:t>（7）本基金投资于流通受限基金的比例不得超过基金资产净值的10%；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14:paraId="6209716E">
      <w:pPr>
        <w:adjustRightInd w:val="0"/>
        <w:snapToGrid w:val="0"/>
        <w:spacing w:line="360" w:lineRule="auto"/>
        <w:ind w:firstLine="480" w:firstLineChars="200"/>
        <w:rPr>
          <w:bCs/>
          <w:sz w:val="24"/>
        </w:rPr>
      </w:pPr>
      <w:r>
        <w:rPr>
          <w:rFonts w:hint="eastAsia"/>
          <w:bCs/>
          <w:sz w:val="24"/>
        </w:rPr>
        <w:t>（8）本基金持有一家公司发行的证券（同一家公司在内地和香港同时上市的A+H股合并计算，不含本基金所投资的基金份额），其市值不超过基金资产净值的10%；</w:t>
      </w:r>
    </w:p>
    <w:p w14:paraId="0D8F4BE6">
      <w:pPr>
        <w:adjustRightInd w:val="0"/>
        <w:snapToGrid w:val="0"/>
        <w:spacing w:line="360" w:lineRule="auto"/>
        <w:ind w:firstLine="480" w:firstLineChars="200"/>
        <w:rPr>
          <w:bCs/>
          <w:sz w:val="24"/>
        </w:rPr>
      </w:pPr>
      <w:r>
        <w:rPr>
          <w:rFonts w:hint="eastAsia"/>
          <w:bCs/>
          <w:sz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260A16DD">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2E03DA6">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150A88A4">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226F98D9">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）本基金投资于同一原始权益人的各类资产支持证券的比例，不得超过基金资产净值的10%；</w:t>
      </w:r>
    </w:p>
    <w:p w14:paraId="29AD3ED9">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）本基金持有的全部资产支持证券，其市值不得超过基金资产净值的20%；</w:t>
      </w:r>
    </w:p>
    <w:p w14:paraId="3888C4BD">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）本基金持有的同一（指同一信用级别）资产支持证券的比例，不得超过该资产支持证券规模的10%；</w:t>
      </w:r>
    </w:p>
    <w:p w14:paraId="66EC2043">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）本基金管理人管理的全部基金投资于同一原始权益人的各类资产支持证券，不得超过其各类资产支持证券合计规模的10%；</w:t>
      </w:r>
    </w:p>
    <w:p w14:paraId="38951443">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1B5AD412">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700FEF1A">
      <w:pPr>
        <w:adjustRightInd w:val="0"/>
        <w:snapToGrid w:val="0"/>
        <w:spacing w:line="360" w:lineRule="auto"/>
        <w:ind w:firstLine="480" w:firstLineChars="200"/>
        <w:rPr>
          <w:bCs/>
          <w:sz w:val="24"/>
        </w:rPr>
      </w:pPr>
      <w:r>
        <w:rPr>
          <w:rFonts w:hint="eastAsia"/>
          <w:bCs/>
          <w:sz w:val="24"/>
        </w:rPr>
        <w:t>（</w:t>
      </w:r>
      <w:r>
        <w:rPr>
          <w:bCs/>
          <w:sz w:val="24"/>
        </w:rPr>
        <w:t>19</w:t>
      </w:r>
      <w:r>
        <w:rPr>
          <w:rFonts w:hint="eastAsia"/>
          <w:bCs/>
          <w:sz w:val="24"/>
        </w:rPr>
        <w:t>）本基金资产总值不超过基金资产净值的140%；</w:t>
      </w:r>
    </w:p>
    <w:p w14:paraId="715BA157">
      <w:pPr>
        <w:adjustRightInd w:val="0"/>
        <w:snapToGrid w:val="0"/>
        <w:spacing w:line="360" w:lineRule="auto"/>
        <w:ind w:firstLine="480" w:firstLineChars="200"/>
        <w:rPr>
          <w:bCs/>
          <w:sz w:val="24"/>
        </w:rPr>
      </w:pPr>
      <w:r>
        <w:rPr>
          <w:rFonts w:hint="eastAsia"/>
          <w:bCs/>
          <w:sz w:val="24"/>
        </w:rPr>
        <w:t>（</w:t>
      </w:r>
      <w:r>
        <w:rPr>
          <w:bCs/>
          <w:sz w:val="24"/>
        </w:rPr>
        <w:t>20</w:t>
      </w:r>
      <w:r>
        <w:rPr>
          <w:rFonts w:hint="eastAsia"/>
          <w:bCs/>
          <w:sz w:val="24"/>
        </w:rPr>
        <w:t>）本基金投资存托凭证的比例限制依照境内上市交易的股票执行；</w:t>
      </w:r>
    </w:p>
    <w:p w14:paraId="0F42ECED">
      <w:pPr>
        <w:adjustRightInd w:val="0"/>
        <w:snapToGrid w:val="0"/>
        <w:spacing w:line="360" w:lineRule="auto"/>
        <w:ind w:firstLine="480" w:firstLineChars="200"/>
        <w:rPr>
          <w:bCs/>
          <w:sz w:val="24"/>
        </w:rPr>
      </w:pPr>
      <w:r>
        <w:rPr>
          <w:rFonts w:hint="eastAsia"/>
          <w:bCs/>
          <w:sz w:val="24"/>
        </w:rPr>
        <w:t>（</w:t>
      </w:r>
      <w:r>
        <w:rPr>
          <w:bCs/>
          <w:sz w:val="24"/>
        </w:rPr>
        <w:t>21</w:t>
      </w:r>
      <w:r>
        <w:rPr>
          <w:rFonts w:hint="eastAsia"/>
          <w:bCs/>
          <w:sz w:val="24"/>
        </w:rPr>
        <w:t>）法律法规及中国证监会规定的和《基金合同》约定的其他投资限制。</w:t>
      </w:r>
    </w:p>
    <w:p w14:paraId="34A09B42">
      <w:pPr>
        <w:adjustRightInd w:val="0"/>
        <w:snapToGrid w:val="0"/>
        <w:spacing w:line="360" w:lineRule="auto"/>
        <w:ind w:firstLine="480" w:firstLineChars="20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被投资基金可交易或可赎回之日起20个交易日内进行调整；对于第（2）项、第（3）项、第（4）项、第（7）项、第（</w:t>
      </w:r>
      <w:r>
        <w:rPr>
          <w:bCs/>
          <w:sz w:val="24"/>
        </w:rPr>
        <w:t>11</w:t>
      </w:r>
      <w:r>
        <w:rPr>
          <w:rFonts w:hint="eastAsia"/>
          <w:bCs/>
          <w:sz w:val="24"/>
        </w:rPr>
        <w:t>）项、第（</w:t>
      </w:r>
      <w:r>
        <w:rPr>
          <w:bCs/>
          <w:sz w:val="24"/>
        </w:rPr>
        <w:t>12</w:t>
      </w:r>
      <w:r>
        <w:rPr>
          <w:rFonts w:hint="eastAsia"/>
          <w:bCs/>
          <w:sz w:val="24"/>
        </w:rPr>
        <w:t>）项及第（</w:t>
      </w:r>
      <w:r>
        <w:rPr>
          <w:bCs/>
          <w:sz w:val="24"/>
        </w:rPr>
        <w:t>17</w:t>
      </w:r>
      <w:r>
        <w:rPr>
          <w:rFonts w:hint="eastAsia"/>
          <w:bCs/>
          <w:sz w:val="24"/>
        </w:rPr>
        <w:t>）项以外的其他情形，基金管理人应当在被投资证券或基金可交易或可赎回之日起10个交易日内进行调整，但中国证监会规定的特殊情形除外。法律法规另有规定的，从其规定。</w:t>
      </w:r>
    </w:p>
    <w:p w14:paraId="1F0D24F0">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D12F2E2">
      <w:pPr>
        <w:snapToGrid w:val="0"/>
        <w:spacing w:line="360" w:lineRule="auto"/>
        <w:ind w:firstLine="480" w:firstLineChars="200"/>
        <w:rPr>
          <w:sz w:val="24"/>
        </w:rPr>
      </w:pPr>
      <w:r>
        <w:rPr>
          <w:rFonts w:hint="eastAsia"/>
          <w:bCs/>
          <w:sz w:val="24"/>
        </w:rPr>
        <w:t>法律法规或监管部门取消或变更上述限制，如适用于本基金，基金管理人在履行适当程序后，则本基金投资不再受相关限制或以变更后的规定为准。</w:t>
      </w:r>
    </w:p>
    <w:p w14:paraId="47EE68F6">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2、基金管理人运用本基金财产投资于股票、债券等金融工具的，投资品种和比例应当符合本基金的投资目标和投资策略。</w:t>
      </w:r>
    </w:p>
    <w:p w14:paraId="4ADA7868">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3、禁止行为</w:t>
      </w:r>
    </w:p>
    <w:p w14:paraId="57F390A2">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为维护基金份额持有人的合法权益，基金财产不得用于下列投资或者活动：</w:t>
      </w:r>
    </w:p>
    <w:p w14:paraId="5F883F60">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（1）承销证券；</w:t>
      </w:r>
    </w:p>
    <w:p w14:paraId="08BB8206">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（2）违反规定向他人贷款或者提供担保；</w:t>
      </w:r>
    </w:p>
    <w:p w14:paraId="6FFB5A62">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（3）从事承担无限责任的投资；</w:t>
      </w:r>
    </w:p>
    <w:p w14:paraId="2088072D">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（4）向其基金管理人、基金托管人出资；</w:t>
      </w:r>
    </w:p>
    <w:p w14:paraId="7BA8A60A">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（5）从事内幕交易、操纵证券交易价格及其他不正当的证券交易活动；</w:t>
      </w:r>
    </w:p>
    <w:p w14:paraId="7D0B8CED">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（6）法律、行政法规和中国证监会规定禁止的其他活动。</w:t>
      </w:r>
    </w:p>
    <w:p w14:paraId="1A8B13D1">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3F531A">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如法律、行政法规或监管部门取消</w:t>
      </w:r>
      <w:r>
        <w:rPr>
          <w:rFonts w:hint="eastAsia"/>
          <w:bCs/>
          <w:sz w:val="24"/>
        </w:rPr>
        <w:t>或变更</w:t>
      </w:r>
      <w:r>
        <w:rPr>
          <w:rFonts w:hint="eastAsia" w:ascii="宋体" w:hAnsi="宋体"/>
          <w:bCs/>
          <w:sz w:val="24"/>
          <w:szCs w:val="24"/>
        </w:rPr>
        <w:t>上述规定，如适用于本基金，基金管理人在履行适当程序后，本基金可不受上述规定的限制</w:t>
      </w:r>
      <w:r>
        <w:rPr>
          <w:rFonts w:hint="eastAsia"/>
          <w:bCs/>
          <w:sz w:val="24"/>
        </w:rPr>
        <w:t>或以变更后的规定为准</w:t>
      </w:r>
      <w:r>
        <w:rPr>
          <w:rFonts w:hint="eastAsia" w:ascii="宋体" w:hAnsi="宋体"/>
          <w:bCs/>
          <w:sz w:val="24"/>
          <w:szCs w:val="24"/>
        </w:rPr>
        <w:t>。</w:t>
      </w:r>
    </w:p>
    <w:p w14:paraId="5DA90858">
      <w:pPr>
        <w:adjustRightInd w:val="0"/>
        <w:snapToGrid w:val="0"/>
        <w:spacing w:line="360" w:lineRule="auto"/>
        <w:ind w:firstLine="482" w:firstLineChars="200"/>
        <w:rPr>
          <w:rFonts w:hint="eastAsia" w:hAnsi="宋体"/>
          <w:kern w:val="0"/>
          <w:sz w:val="24"/>
        </w:rPr>
      </w:pPr>
      <w:r>
        <w:rPr>
          <w:rFonts w:hint="eastAsia"/>
          <w:b/>
          <w:bCs/>
          <w:sz w:val="24"/>
        </w:rPr>
        <w:t>（五）业绩比较基准</w:t>
      </w:r>
    </w:p>
    <w:p w14:paraId="2B4A8D75">
      <w:pPr>
        <w:adjustRightInd w:val="0"/>
        <w:snapToGrid w:val="0"/>
        <w:spacing w:line="360" w:lineRule="auto"/>
        <w:ind w:firstLine="480" w:firstLineChars="200"/>
        <w:rPr>
          <w:bCs/>
          <w:sz w:val="24"/>
        </w:rPr>
      </w:pPr>
      <w:r>
        <w:rPr>
          <w:rFonts w:hint="eastAsia"/>
          <w:bCs/>
          <w:sz w:val="24"/>
        </w:rPr>
        <w:t>中证800指数收益率×10%+上海黄金交易所Au99.99现货实盘合约价格收益率×3%+中证纯债债券型基金指数收益率×82%+活期存款基准利率×5%</w:t>
      </w:r>
    </w:p>
    <w:p w14:paraId="16E01E4F">
      <w:pPr>
        <w:adjustRightInd w:val="0"/>
        <w:snapToGrid w:val="0"/>
        <w:spacing w:line="360" w:lineRule="auto"/>
        <w:ind w:firstLine="480" w:firstLineChars="200"/>
        <w:rPr>
          <w:bCs/>
          <w:sz w:val="24"/>
        </w:rPr>
      </w:pPr>
      <w:r>
        <w:rPr>
          <w:rFonts w:hint="eastAsia"/>
          <w:bCs/>
          <w:sz w:val="24"/>
        </w:rPr>
        <w:t>1、业绩比较基准设定的原因</w:t>
      </w:r>
    </w:p>
    <w:p w14:paraId="318A04C0">
      <w:pPr>
        <w:adjustRightInd w:val="0"/>
        <w:snapToGrid w:val="0"/>
        <w:spacing w:line="360" w:lineRule="auto"/>
        <w:ind w:firstLine="480" w:firstLineChars="200"/>
        <w:rPr>
          <w:rFonts w:hint="eastAsia"/>
          <w:bCs/>
          <w:sz w:val="24"/>
        </w:rPr>
      </w:pPr>
      <w:r>
        <w:rPr>
          <w:rFonts w:hint="eastAsia"/>
          <w:bCs/>
          <w:sz w:val="24"/>
        </w:rPr>
        <w:t>本基金投资于经中国证监会依法核准或注册的公开募集证券投资基金的基金份额的资产不低于本基金资产的80%；投资于股票（含存托凭证）、股票型基金（包括股票指数基金）、混合型基金等资产占基金资产的比例为5%-40%；投资于QDII基金和香港互认基金的比例合计不超过基金资产的20%；投资于货币市场基金的比例不超过基金资产的15%；投资于商品基金（含商品期货基金和黄金ETF）的比例不超过基金资产的10%。选择该业绩比较基准的原因如下：</w:t>
      </w:r>
    </w:p>
    <w:p w14:paraId="40ACF526">
      <w:pPr>
        <w:adjustRightInd w:val="0"/>
        <w:snapToGrid w:val="0"/>
        <w:spacing w:line="360" w:lineRule="auto"/>
        <w:ind w:firstLine="480" w:firstLineChars="200"/>
        <w:rPr>
          <w:bCs/>
          <w:sz w:val="24"/>
        </w:rPr>
      </w:pPr>
      <w:r>
        <w:rPr>
          <w:rFonts w:hint="eastAsia"/>
          <w:bCs/>
          <w:sz w:val="24"/>
        </w:rPr>
        <w:t>（1）中证800指数由沪深市场市值较大、流动性较好的800只股票构成，反映沪深市场大中盘上市公司证券的整体表现。指数样本量大，行业覆盖面广，适合作为本基金境内权益类资产投资的业绩比较基准要素。</w:t>
      </w:r>
    </w:p>
    <w:p w14:paraId="337F21FA">
      <w:pPr>
        <w:adjustRightInd w:val="0"/>
        <w:snapToGrid w:val="0"/>
        <w:spacing w:line="360" w:lineRule="auto"/>
        <w:ind w:firstLine="480" w:firstLineChars="200"/>
        <w:rPr>
          <w:bCs/>
          <w:sz w:val="24"/>
        </w:rPr>
      </w:pPr>
      <w:r>
        <w:rPr>
          <w:rFonts w:hint="eastAsia"/>
          <w:bCs/>
          <w:sz w:val="24"/>
        </w:rPr>
        <w:t>（2）上海黄金交易所Au99.99现货实盘合约价格为在上海黄金交易所交易，代表黄金资产的现货合约，适合作为本基金商品类资产投资的业绩比较基准。</w:t>
      </w:r>
    </w:p>
    <w:p w14:paraId="38B04B44">
      <w:pPr>
        <w:adjustRightInd w:val="0"/>
        <w:snapToGrid w:val="0"/>
        <w:spacing w:line="360" w:lineRule="auto"/>
        <w:ind w:firstLine="480" w:firstLineChars="200"/>
        <w:rPr>
          <w:bCs/>
          <w:sz w:val="24"/>
        </w:rPr>
      </w:pPr>
      <w:r>
        <w:rPr>
          <w:rFonts w:hint="eastAsia"/>
          <w:bCs/>
          <w:sz w:val="24"/>
        </w:rPr>
        <w:t>（3）中证纯债债券型基金指数由中证指数有限公司编制并发布，选取按基金合同规定只投资债券的基金作为样本，且排除分级基金、可转债基金、定期开放式基金、ETF，采用净值规模加权，适合作为本基金债券类资产投资的业绩比较基准。</w:t>
      </w:r>
    </w:p>
    <w:p w14:paraId="756DEE6A">
      <w:pPr>
        <w:adjustRightInd w:val="0"/>
        <w:snapToGrid w:val="0"/>
        <w:spacing w:line="360" w:lineRule="auto"/>
        <w:ind w:firstLine="480" w:firstLineChars="200"/>
        <w:rPr>
          <w:bCs/>
          <w:sz w:val="24"/>
        </w:rPr>
      </w:pPr>
      <w:r>
        <w:rPr>
          <w:rFonts w:hint="eastAsia"/>
          <w:bCs/>
          <w:sz w:val="24"/>
        </w:rPr>
        <w:t>（4）活期存款基准利率具有较强的权威性和市场影响力，适合作为本基金货币市场工具部分的业绩比较基准。</w:t>
      </w:r>
    </w:p>
    <w:p w14:paraId="71FDC37B">
      <w:pPr>
        <w:adjustRightInd w:val="0"/>
        <w:snapToGrid w:val="0"/>
        <w:spacing w:line="360" w:lineRule="auto"/>
        <w:ind w:firstLine="480" w:firstLineChars="200"/>
        <w:rPr>
          <w:bCs/>
          <w:sz w:val="24"/>
        </w:rPr>
      </w:pPr>
      <w:r>
        <w:rPr>
          <w:rFonts w:hint="eastAsia"/>
          <w:bCs/>
          <w:sz w:val="24"/>
        </w:rPr>
        <w:t>基于本基金的投资目标、投资范围、投资策略和投资比例限制，选用上述业绩比较基准并分别赋予相应的权重，能够较好地反映本基金的风险收益特征。</w:t>
      </w:r>
    </w:p>
    <w:p w14:paraId="363AF36F">
      <w:pPr>
        <w:adjustRightInd w:val="0"/>
        <w:snapToGrid w:val="0"/>
        <w:spacing w:line="360" w:lineRule="auto"/>
        <w:ind w:firstLine="480" w:firstLineChars="200"/>
        <w:rPr>
          <w:bCs/>
          <w:sz w:val="24"/>
        </w:rPr>
      </w:pPr>
      <w:r>
        <w:rPr>
          <w:rFonts w:hint="eastAsia"/>
          <w:bCs/>
          <w:sz w:val="24"/>
        </w:rPr>
        <w:t>2、业绩比较基准要素的基本信息</w:t>
      </w:r>
    </w:p>
    <w:p w14:paraId="3BE8DCC8">
      <w:pPr>
        <w:adjustRightInd w:val="0"/>
        <w:snapToGrid w:val="0"/>
        <w:spacing w:line="360" w:lineRule="auto"/>
        <w:ind w:firstLine="480" w:firstLineChars="200"/>
        <w:rPr>
          <w:bCs/>
          <w:sz w:val="24"/>
        </w:rPr>
      </w:pPr>
      <w:r>
        <w:rPr>
          <w:rFonts w:hint="eastAsia"/>
          <w:bCs/>
          <w:sz w:val="24"/>
        </w:rPr>
        <w:t>中证800指数由中证指数有限公司编制发布，指数代码为000906，指数具体信息详见中证指数有限公司网站，网址：www.csindex.com.cn。</w:t>
      </w:r>
    </w:p>
    <w:p w14:paraId="58D68DFC">
      <w:pPr>
        <w:adjustRightInd w:val="0"/>
        <w:snapToGrid w:val="0"/>
        <w:spacing w:line="360" w:lineRule="auto"/>
        <w:ind w:firstLine="480" w:firstLineChars="200"/>
        <w:rPr>
          <w:bCs/>
          <w:sz w:val="24"/>
        </w:rPr>
      </w:pPr>
      <w:r>
        <w:rPr>
          <w:rFonts w:hint="eastAsia"/>
          <w:bCs/>
          <w:sz w:val="24"/>
        </w:rPr>
        <w:t>上海黄金交易所Au99.99现货实盘合约在上海黄金交易所交易，合约代码为Au99.99，具体信息详见上海黄金交易所网站，网址：www.sge.com.cn。</w:t>
      </w:r>
    </w:p>
    <w:p w14:paraId="6BFA8C91">
      <w:pPr>
        <w:adjustRightInd w:val="0"/>
        <w:snapToGrid w:val="0"/>
        <w:spacing w:line="360" w:lineRule="auto"/>
        <w:ind w:firstLine="480" w:firstLineChars="200"/>
        <w:rPr>
          <w:bCs/>
          <w:sz w:val="24"/>
        </w:rPr>
      </w:pPr>
      <w:r>
        <w:rPr>
          <w:rFonts w:hint="eastAsia"/>
          <w:bCs/>
          <w:sz w:val="24"/>
        </w:rPr>
        <w:t>中证纯债债券型基金指数由中证指数有限公司编制发布，指数代码为930609，指数具体信息详见中证指数有限公司网站，网址：www.csindex.com.cn。</w:t>
      </w:r>
    </w:p>
    <w:p w14:paraId="366B9A6B">
      <w:pPr>
        <w:adjustRightInd w:val="0"/>
        <w:snapToGrid w:val="0"/>
        <w:spacing w:line="360" w:lineRule="auto"/>
        <w:ind w:firstLine="480" w:firstLineChars="200"/>
        <w:rPr>
          <w:bCs/>
          <w:sz w:val="24"/>
        </w:rPr>
      </w:pPr>
      <w:r>
        <w:rPr>
          <w:rFonts w:hint="eastAsia"/>
          <w:bCs/>
          <w:sz w:val="24"/>
        </w:rPr>
        <w:t>活期存款基准利率由中国人民银行发布，具体信息详见中国人民银行网站，网址：www.pbc.gov.cn。</w:t>
      </w:r>
    </w:p>
    <w:p w14:paraId="11274FE1">
      <w:pPr>
        <w:adjustRightInd w:val="0"/>
        <w:snapToGrid w:val="0"/>
        <w:spacing w:line="360" w:lineRule="auto"/>
        <w:ind w:firstLine="480" w:firstLineChars="200"/>
        <w:rPr>
          <w:bCs/>
          <w:sz w:val="24"/>
        </w:rPr>
      </w:pPr>
      <w:r>
        <w:rPr>
          <w:rFonts w:hint="eastAsia"/>
          <w:bCs/>
          <w:sz w:val="24"/>
        </w:rPr>
        <w:t>3、业绩比较基准的计算方法</w:t>
      </w:r>
    </w:p>
    <w:p w14:paraId="02BE4129">
      <w:pPr>
        <w:adjustRightInd w:val="0"/>
        <w:snapToGrid w:val="0"/>
        <w:spacing w:line="360" w:lineRule="auto"/>
        <w:ind w:firstLine="480" w:firstLineChars="200"/>
        <w:rPr>
          <w:bCs/>
          <w:sz w:val="24"/>
        </w:rPr>
      </w:pPr>
      <w:r>
        <w:rPr>
          <w:rFonts w:hint="eastAsia"/>
          <w:bCs/>
          <w:sz w:val="24"/>
        </w:rPr>
        <w:t>本基金业绩比较基准收益率的计算方法以每日收益率为基础，以时间加权为计算原则。本基金先分别计算业绩比较基准中中证800指数、上海黄金交易所Au99.99现货实盘合约价格、中证纯债债券型基金指数、活期存款基准利率的每日收益率，再按照预设权重比例计算当日组合要素基准的日收益率，并连乘每日收益率。</w:t>
      </w:r>
    </w:p>
    <w:p w14:paraId="21BF465C">
      <w:pPr>
        <w:adjustRightInd w:val="0"/>
        <w:snapToGrid w:val="0"/>
        <w:spacing w:line="360" w:lineRule="auto"/>
        <w:ind w:firstLine="480" w:firstLineChars="200"/>
        <w:rPr>
          <w:bCs/>
          <w:sz w:val="24"/>
        </w:rPr>
      </w:pPr>
      <w:r>
        <w:rPr>
          <w:rFonts w:hint="eastAsia"/>
          <w:bCs/>
          <w:sz w:val="24"/>
        </w:rPr>
        <w:t>4、管理投资偏离业绩比较基准的定性或定量方法</w:t>
      </w:r>
    </w:p>
    <w:p w14:paraId="7126B748">
      <w:pPr>
        <w:adjustRightInd w:val="0"/>
        <w:snapToGrid w:val="0"/>
        <w:spacing w:line="360" w:lineRule="auto"/>
        <w:ind w:firstLine="480" w:firstLineChars="200"/>
        <w:rPr>
          <w:bCs/>
          <w:sz w:val="24"/>
        </w:rPr>
      </w:pPr>
      <w:r>
        <w:rPr>
          <w:rFonts w:hint="eastAsia"/>
          <w:bCs/>
          <w:sz w:val="24"/>
        </w:rPr>
        <w:t>本基金管理人对基金实际投资与业绩比较基准的偏离情况进行动态跟踪与监测评估，监测指标主要包括超额收益、波动率、跟踪误差、信息比率和大类资产配置比例等，以更好管理基金实际投资与业绩比较基准的偏离情况，从而力争在控制风险的基础上追求超越业绩比较基准的投资回报。</w:t>
      </w:r>
    </w:p>
    <w:p w14:paraId="178A192D">
      <w:pPr>
        <w:adjustRightInd w:val="0"/>
        <w:snapToGrid w:val="0"/>
        <w:spacing w:line="360" w:lineRule="auto"/>
        <w:ind w:firstLine="480" w:firstLineChars="200"/>
        <w:rPr>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6C6F4A67">
      <w:pPr>
        <w:adjustRightInd w:val="0"/>
        <w:snapToGrid w:val="0"/>
        <w:spacing w:line="360" w:lineRule="auto"/>
        <w:ind w:firstLine="480" w:firstLineChars="200"/>
        <w:rPr>
          <w:bCs/>
          <w:sz w:val="24"/>
        </w:rPr>
      </w:pPr>
      <w:r>
        <w:rPr>
          <w:rFonts w:hint="eastAsia"/>
          <w:bCs/>
          <w:sz w:val="24"/>
        </w:rPr>
        <w:t>5、未来可能变更业绩比较基准的情况和程序</w:t>
      </w:r>
    </w:p>
    <w:p w14:paraId="2B4D6082">
      <w:pPr>
        <w:adjustRightInd w:val="0"/>
        <w:snapToGrid w:val="0"/>
        <w:spacing w:line="360" w:lineRule="auto"/>
        <w:ind w:firstLine="480" w:firstLineChars="200"/>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50C8F8A">
      <w:pPr>
        <w:adjustRightInd w:val="0"/>
        <w:snapToGrid w:val="0"/>
        <w:spacing w:line="360" w:lineRule="auto"/>
        <w:ind w:firstLine="480" w:firstLineChars="200"/>
        <w:rPr>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244C1CB">
      <w:pPr>
        <w:adjustRightInd w:val="0"/>
        <w:snapToGrid w:val="0"/>
        <w:spacing w:line="360" w:lineRule="auto"/>
        <w:ind w:firstLine="480" w:firstLineChars="200"/>
        <w:rPr>
          <w:bCs/>
          <w:sz w:val="24"/>
        </w:rPr>
      </w:pPr>
      <w:r>
        <w:rPr>
          <w:rFonts w:hint="eastAsia"/>
          <w:bCs/>
          <w:sz w:val="24"/>
        </w:rPr>
        <w:t>（2）调整业绩比较基准的要素权重、更换相同或相近特征的要素等，使新业绩比较基准代表性更强，且符合相关法律法规规定的；</w:t>
      </w:r>
    </w:p>
    <w:p w14:paraId="046714E5">
      <w:pPr>
        <w:adjustRightInd w:val="0"/>
        <w:snapToGrid w:val="0"/>
        <w:spacing w:line="360" w:lineRule="auto"/>
        <w:ind w:firstLine="480" w:firstLineChars="200"/>
        <w:rPr>
          <w:bCs/>
          <w:sz w:val="24"/>
        </w:rPr>
      </w:pPr>
      <w:r>
        <w:rPr>
          <w:rFonts w:hint="eastAsia"/>
          <w:bCs/>
          <w:sz w:val="24"/>
        </w:rPr>
        <w:t>（3）中国证监会认可的其他情形。</w:t>
      </w:r>
    </w:p>
    <w:p w14:paraId="55314C0D">
      <w:pPr>
        <w:adjustRightInd w:val="0"/>
        <w:snapToGrid w:val="0"/>
        <w:spacing w:line="360" w:lineRule="auto"/>
        <w:ind w:firstLine="480" w:firstLineChars="20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1FBBAD62">
      <w:pPr>
        <w:adjustRightInd w:val="0"/>
        <w:snapToGrid w:val="0"/>
        <w:spacing w:line="360" w:lineRule="auto"/>
        <w:ind w:firstLine="480" w:firstLineChars="200"/>
        <w:rPr>
          <w:bCs/>
          <w:sz w:val="24"/>
        </w:rPr>
      </w:pPr>
      <w:r>
        <w:rPr>
          <w:rFonts w:hint="eastAsia"/>
          <w:bCs/>
          <w:sz w:val="24"/>
        </w:rPr>
        <w:t>（1）基金投资目标、投资范围、投资策略、投资比例等拟进行重大调整，并变更业绩比较基准的；</w:t>
      </w:r>
    </w:p>
    <w:p w14:paraId="6DD963DC">
      <w:pPr>
        <w:adjustRightInd w:val="0"/>
        <w:snapToGrid w:val="0"/>
        <w:spacing w:line="360" w:lineRule="auto"/>
        <w:ind w:firstLine="480" w:firstLineChars="200"/>
        <w:rPr>
          <w:rFonts w:hint="eastAsia" w:ascii="宋体" w:hAnsi="宋体"/>
          <w:bCs/>
          <w:sz w:val="24"/>
          <w:szCs w:val="24"/>
        </w:rPr>
      </w:pPr>
      <w:r>
        <w:rPr>
          <w:rFonts w:hint="eastAsia"/>
          <w:bCs/>
          <w:sz w:val="24"/>
        </w:rPr>
        <w:t>（2）其他对基金份额持有人利益产生重大实质性影响的情形。</w:t>
      </w:r>
    </w:p>
    <w:p w14:paraId="17CC45A0">
      <w:pPr>
        <w:adjustRightInd w:val="0"/>
        <w:snapToGrid w:val="0"/>
        <w:spacing w:line="360" w:lineRule="auto"/>
        <w:ind w:firstLine="482" w:firstLineChars="200"/>
        <w:rPr>
          <w:rFonts w:hint="eastAsia" w:hAnsi="宋体"/>
          <w:kern w:val="0"/>
          <w:sz w:val="24"/>
        </w:rPr>
      </w:pPr>
      <w:r>
        <w:rPr>
          <w:rFonts w:hint="eastAsia"/>
          <w:b/>
          <w:bCs/>
          <w:sz w:val="24"/>
        </w:rPr>
        <w:t>（六）风险收益特征</w:t>
      </w:r>
    </w:p>
    <w:p w14:paraId="154EC925">
      <w:pPr>
        <w:adjustRightInd w:val="0"/>
        <w:snapToGrid w:val="0"/>
        <w:spacing w:line="360" w:lineRule="auto"/>
        <w:ind w:firstLine="480" w:firstLineChars="200"/>
        <w:rPr>
          <w:rFonts w:hint="eastAsia" w:ascii="宋体" w:hAnsi="宋体"/>
          <w:sz w:val="24"/>
        </w:rPr>
      </w:pPr>
      <w:r>
        <w:rPr>
          <w:rFonts w:hint="eastAsia" w:ascii="宋体" w:hAnsi="宋体"/>
          <w:sz w:val="24"/>
        </w:rPr>
        <w:t>本基金为混合型基金中基金，其预期风险与预期收益</w:t>
      </w:r>
      <w:r>
        <w:rPr>
          <w:rFonts w:hint="eastAsia"/>
          <w:bCs/>
          <w:sz w:val="24"/>
        </w:rPr>
        <w:t>理论上</w:t>
      </w:r>
      <w:r>
        <w:rPr>
          <w:rFonts w:hint="eastAsia" w:ascii="宋体" w:hAnsi="宋体"/>
          <w:sz w:val="24"/>
        </w:rPr>
        <w:t>高于债券型基金、债券型基金中基金、货币市场基金和货币型基金中基金，低于股票型基金和股票型基金中基金。</w:t>
      </w:r>
    </w:p>
    <w:p w14:paraId="2BC03183">
      <w:pPr>
        <w:adjustRightInd w:val="0"/>
        <w:snapToGrid w:val="0"/>
        <w:spacing w:line="360" w:lineRule="auto"/>
        <w:ind w:firstLine="480" w:firstLineChars="200"/>
        <w:rPr>
          <w:rFonts w:hint="eastAsia" w:ascii="宋体" w:hAnsi="宋体"/>
          <w:sz w:val="24"/>
        </w:rPr>
      </w:pPr>
      <w:r>
        <w:rPr>
          <w:rFonts w:hint="eastAsia" w:ascii="宋体" w:hAnsi="宋体"/>
          <w:sz w:val="24"/>
        </w:rPr>
        <w:t>本基金可投资港股通股票</w:t>
      </w:r>
      <w:r>
        <w:rPr>
          <w:rFonts w:hint="eastAsia"/>
          <w:bCs/>
          <w:sz w:val="24"/>
        </w:rPr>
        <w:t>及港股通ETF</w:t>
      </w:r>
      <w:r>
        <w:rPr>
          <w:rFonts w:hint="eastAsia" w:ascii="宋体" w:hAnsi="宋体"/>
          <w:sz w:val="24"/>
        </w:rPr>
        <w:t>，会面临港股通机制下因投资环境、投资标的、市场制度以及交易规则等差异带来的特有风险。</w:t>
      </w:r>
    </w:p>
    <w:p w14:paraId="49B7085C">
      <w:pPr>
        <w:adjustRightInd w:val="0"/>
        <w:snapToGrid w:val="0"/>
        <w:spacing w:line="360" w:lineRule="auto"/>
        <w:ind w:firstLine="482" w:firstLineChars="200"/>
        <w:rPr>
          <w:b/>
          <w:bCs/>
          <w:sz w:val="24"/>
        </w:rPr>
      </w:pPr>
      <w:r>
        <w:rPr>
          <w:rFonts w:hint="eastAsia"/>
          <w:b/>
          <w:bCs/>
          <w:sz w:val="24"/>
        </w:rPr>
        <w:t>（七）基金管理人代表基金行使</w:t>
      </w:r>
      <w:r>
        <w:rPr>
          <w:rFonts w:hint="eastAsia"/>
          <w:b/>
          <w:sz w:val="24"/>
        </w:rPr>
        <w:t>相关</w:t>
      </w:r>
      <w:r>
        <w:rPr>
          <w:rFonts w:hint="eastAsia"/>
          <w:b/>
          <w:bCs/>
          <w:sz w:val="24"/>
        </w:rPr>
        <w:t>权利的处理原则及方法</w:t>
      </w:r>
    </w:p>
    <w:p w14:paraId="50349945">
      <w:pPr>
        <w:adjustRightInd w:val="0"/>
        <w:snapToGrid w:val="0"/>
        <w:spacing w:line="360" w:lineRule="auto"/>
        <w:ind w:firstLine="480" w:firstLineChars="200"/>
        <w:rPr>
          <w:rFonts w:hint="eastAsia" w:ascii="宋体" w:hAnsi="宋体"/>
          <w:sz w:val="24"/>
        </w:rPr>
      </w:pPr>
      <w:r>
        <w:rPr>
          <w:rFonts w:hint="eastAsia" w:ascii="宋体" w:hAnsi="宋体"/>
          <w:sz w:val="24"/>
        </w:rPr>
        <w:t>1、基金管理人按照国家有关规定代表基金独立行使</w:t>
      </w:r>
      <w:r>
        <w:rPr>
          <w:rFonts w:hint="eastAsia"/>
          <w:bCs/>
          <w:sz w:val="24"/>
        </w:rPr>
        <w:t>相关</w:t>
      </w:r>
      <w:r>
        <w:rPr>
          <w:rFonts w:hint="eastAsia" w:ascii="宋体" w:hAnsi="宋体"/>
          <w:sz w:val="24"/>
        </w:rPr>
        <w:t>权利，保护基金份额持有人的利益；</w:t>
      </w:r>
    </w:p>
    <w:p w14:paraId="7C622653">
      <w:pPr>
        <w:adjustRightInd w:val="0"/>
        <w:snapToGrid w:val="0"/>
        <w:spacing w:line="360" w:lineRule="auto"/>
        <w:ind w:firstLine="480" w:firstLineChars="200"/>
        <w:rPr>
          <w:rFonts w:hint="eastAsia" w:ascii="宋体" w:hAnsi="宋体"/>
          <w:sz w:val="24"/>
        </w:rPr>
      </w:pPr>
      <w:r>
        <w:rPr>
          <w:rFonts w:hint="eastAsia" w:ascii="宋体" w:hAnsi="宋体"/>
          <w:sz w:val="24"/>
        </w:rPr>
        <w:t>2、不谋求对上市公司的控股；</w:t>
      </w:r>
    </w:p>
    <w:p w14:paraId="5C814FF3">
      <w:pPr>
        <w:adjustRightInd w:val="0"/>
        <w:snapToGrid w:val="0"/>
        <w:spacing w:line="360" w:lineRule="auto"/>
        <w:ind w:firstLine="480" w:firstLineChars="200"/>
        <w:rPr>
          <w:rFonts w:hint="eastAsia" w:ascii="宋体" w:hAnsi="宋体"/>
          <w:sz w:val="24"/>
        </w:rPr>
      </w:pPr>
      <w:r>
        <w:rPr>
          <w:rFonts w:hint="eastAsia" w:ascii="宋体" w:hAnsi="宋体"/>
          <w:sz w:val="24"/>
        </w:rPr>
        <w:t>3、有利于基金财产的安全与增值；</w:t>
      </w:r>
    </w:p>
    <w:p w14:paraId="18497A7C">
      <w:pPr>
        <w:adjustRightInd w:val="0"/>
        <w:snapToGrid w:val="0"/>
        <w:spacing w:line="360" w:lineRule="auto"/>
        <w:ind w:firstLine="480" w:firstLineChars="200"/>
        <w:rPr>
          <w:rFonts w:hint="eastAsia" w:hAnsi="宋体"/>
          <w:sz w:val="24"/>
          <w:szCs w:val="24"/>
        </w:rPr>
      </w:pPr>
      <w:r>
        <w:rPr>
          <w:rFonts w:hint="eastAsia" w:ascii="宋体" w:hAnsi="宋体"/>
          <w:sz w:val="24"/>
        </w:rPr>
        <w:t>4、不通过关联交易为自身、雇员、授权代理人或任何存在利害关系的第三人牟取任何不当利益。</w:t>
      </w:r>
      <w:bookmarkEnd w:id="47"/>
      <w:bookmarkEnd w:id="48"/>
      <w:bookmarkEnd w:id="49"/>
      <w:bookmarkStart w:id="53" w:name="_Hlt5528681"/>
      <w:bookmarkEnd w:id="53"/>
      <w:bookmarkStart w:id="54" w:name="_Toc109059036"/>
      <w:bookmarkEnd w:id="54"/>
      <w:bookmarkStart w:id="55" w:name="_Toc109059025"/>
      <w:bookmarkEnd w:id="55"/>
      <w:bookmarkStart w:id="56" w:name="_Hlt88281392"/>
      <w:bookmarkEnd w:id="56"/>
      <w:bookmarkStart w:id="57" w:name="_Hlt81033092"/>
      <w:bookmarkEnd w:id="57"/>
      <w:bookmarkStart w:id="58" w:name="_Hlt5604240"/>
      <w:bookmarkEnd w:id="58"/>
      <w:bookmarkStart w:id="59" w:name="_Toc109059037"/>
      <w:bookmarkEnd w:id="59"/>
      <w:bookmarkStart w:id="60" w:name="_Hlt81033424"/>
      <w:bookmarkEnd w:id="60"/>
      <w:bookmarkStart w:id="61" w:name="_Toc78208364"/>
      <w:bookmarkStart w:id="62" w:name="_Toc154909614"/>
      <w:bookmarkStart w:id="63" w:name="_Toc155690783"/>
    </w:p>
    <w:p w14:paraId="31D4808F">
      <w:pPr>
        <w:adjustRightInd w:val="0"/>
        <w:snapToGrid w:val="0"/>
        <w:spacing w:line="360" w:lineRule="auto"/>
        <w:ind w:firstLine="482" w:firstLineChars="200"/>
        <w:rPr>
          <w:rFonts w:hint="eastAsia" w:hAnsi="宋体"/>
          <w:b/>
          <w:sz w:val="24"/>
          <w:szCs w:val="24"/>
        </w:rPr>
      </w:pPr>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14:paraId="45CE6894">
      <w:pPr>
        <w:adjustRightInd w:val="0"/>
        <w:snapToGrid w:val="0"/>
        <w:spacing w:line="360" w:lineRule="auto"/>
        <w:ind w:firstLine="480" w:firstLineChars="200"/>
        <w:rPr>
          <w:rFonts w:hint="eastAsia"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E03493D">
      <w:pPr>
        <w:adjustRightInd w:val="0"/>
        <w:snapToGrid w:val="0"/>
        <w:spacing w:line="360" w:lineRule="auto"/>
        <w:ind w:firstLine="480" w:firstLineChars="200"/>
        <w:rPr>
          <w:rFonts w:hint="eastAsia"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14:paraId="5E2990F2">
      <w:pPr>
        <w:adjustRightInd w:val="0"/>
        <w:snapToGrid w:val="0"/>
        <w:spacing w:line="360" w:lineRule="auto"/>
        <w:ind w:firstLine="480" w:firstLineChars="200"/>
        <w:rPr>
          <w:rFonts w:hint="eastAsia" w:hAnsi="宋体"/>
          <w:sz w:val="24"/>
          <w:szCs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bookmarkEnd w:id="51"/>
    <w:p w14:paraId="3A37DBB2">
      <w:pPr>
        <w:widowControl/>
        <w:adjustRightInd w:val="0"/>
        <w:snapToGrid w:val="0"/>
        <w:spacing w:before="143" w:beforeLines="50" w:after="143" w:afterLines="50" w:line="360" w:lineRule="auto"/>
        <w:jc w:val="center"/>
        <w:outlineLvl w:val="0"/>
        <w:rPr>
          <w:rFonts w:hint="eastAsia" w:ascii="宋体" w:hAnsi="宋体"/>
          <w:b/>
          <w:kern w:val="0"/>
          <w:sz w:val="30"/>
        </w:rPr>
      </w:pPr>
      <w:bookmarkStart w:id="64" w:name="_Toc56690590"/>
      <w:bookmarkStart w:id="65" w:name="_Hlk195284395"/>
      <w:r>
        <w:rPr>
          <w:rFonts w:hint="eastAsia" w:ascii="宋体" w:hAnsi="宋体"/>
          <w:b/>
          <w:kern w:val="0"/>
          <w:sz w:val="30"/>
        </w:rPr>
        <w:t>十、基金的财产</w:t>
      </w:r>
      <w:bookmarkEnd w:id="64"/>
    </w:p>
    <w:p w14:paraId="7BAD575C">
      <w:pPr>
        <w:adjustRightInd w:val="0"/>
        <w:snapToGrid w:val="0"/>
        <w:spacing w:line="360" w:lineRule="auto"/>
        <w:ind w:firstLine="482" w:firstLineChars="200"/>
        <w:rPr>
          <w:b/>
          <w:bCs/>
          <w:sz w:val="24"/>
        </w:rPr>
      </w:pPr>
      <w:r>
        <w:rPr>
          <w:b/>
          <w:bCs/>
          <w:sz w:val="24"/>
        </w:rPr>
        <w:t>（一）基金资产总值</w:t>
      </w:r>
    </w:p>
    <w:bookmarkEnd w:id="61"/>
    <w:p w14:paraId="251D8105">
      <w:pPr>
        <w:widowControl/>
        <w:adjustRightInd w:val="0"/>
        <w:snapToGrid w:val="0"/>
        <w:spacing w:line="360" w:lineRule="auto"/>
        <w:ind w:firstLine="480" w:firstLineChars="200"/>
        <w:rPr>
          <w:kern w:val="0"/>
          <w:sz w:val="24"/>
        </w:rPr>
      </w:pPr>
      <w:bookmarkStart w:id="66" w:name="_Toc311810245"/>
      <w:r>
        <w:rPr>
          <w:rFonts w:hint="eastAsia"/>
          <w:kern w:val="0"/>
          <w:sz w:val="24"/>
        </w:rPr>
        <w:t>基金资产总值是指基金拥有的各类有价证券、证券投资基金份额、银行存款本息、基金应收款项及其他资产的价值总和。</w:t>
      </w:r>
    </w:p>
    <w:p w14:paraId="5A01AE34">
      <w:pPr>
        <w:adjustRightInd w:val="0"/>
        <w:snapToGrid w:val="0"/>
        <w:spacing w:line="360" w:lineRule="auto"/>
        <w:ind w:firstLine="482" w:firstLineChars="200"/>
        <w:rPr>
          <w:b/>
          <w:bCs/>
          <w:sz w:val="24"/>
        </w:rPr>
      </w:pPr>
      <w:r>
        <w:rPr>
          <w:b/>
          <w:bCs/>
          <w:sz w:val="24"/>
        </w:rPr>
        <w:t>（二）基金资</w:t>
      </w:r>
      <w:bookmarkEnd w:id="66"/>
      <w:r>
        <w:rPr>
          <w:b/>
          <w:bCs/>
          <w:sz w:val="24"/>
        </w:rPr>
        <w:t>产</w:t>
      </w:r>
      <w:bookmarkEnd w:id="62"/>
      <w:bookmarkEnd w:id="63"/>
      <w:r>
        <w:rPr>
          <w:b/>
          <w:bCs/>
          <w:sz w:val="24"/>
        </w:rPr>
        <w:t>净</w:t>
      </w:r>
      <w:bookmarkStart w:id="67" w:name="_Toc109537391"/>
      <w:r>
        <w:rPr>
          <w:b/>
          <w:bCs/>
          <w:sz w:val="24"/>
        </w:rPr>
        <w:t>值</w:t>
      </w:r>
    </w:p>
    <w:bookmarkEnd w:id="67"/>
    <w:p w14:paraId="4E76562A">
      <w:pPr>
        <w:widowControl/>
        <w:adjustRightInd w:val="0"/>
        <w:snapToGrid w:val="0"/>
        <w:spacing w:line="360" w:lineRule="auto"/>
        <w:ind w:firstLine="480" w:firstLineChars="200"/>
        <w:rPr>
          <w:kern w:val="0"/>
          <w:sz w:val="24"/>
        </w:rPr>
      </w:pPr>
      <w:bookmarkStart w:id="68" w:name="_Toc79392635"/>
      <w:bookmarkStart w:id="69" w:name="_Toc79556449"/>
      <w:r>
        <w:rPr>
          <w:rFonts w:hint="eastAsia"/>
          <w:kern w:val="0"/>
          <w:sz w:val="24"/>
        </w:rPr>
        <w:t>基金资产净值是指基金资产总值减去基金负债后的价值。</w:t>
      </w:r>
    </w:p>
    <w:p w14:paraId="5071802D">
      <w:pPr>
        <w:adjustRightInd w:val="0"/>
        <w:snapToGrid w:val="0"/>
        <w:spacing w:line="360" w:lineRule="auto"/>
        <w:ind w:firstLine="482" w:firstLineChars="200"/>
        <w:rPr>
          <w:b/>
          <w:bCs/>
          <w:sz w:val="24"/>
        </w:rPr>
      </w:pPr>
      <w:r>
        <w:rPr>
          <w:b/>
          <w:bCs/>
          <w:sz w:val="24"/>
        </w:rPr>
        <w:t>（三）基金财产的账户</w:t>
      </w:r>
    </w:p>
    <w:bookmarkEnd w:id="68"/>
    <w:bookmarkEnd w:id="69"/>
    <w:p w14:paraId="18BFF2F4">
      <w:pPr>
        <w:widowControl/>
        <w:adjustRightInd w:val="0"/>
        <w:snapToGrid w:val="0"/>
        <w:spacing w:line="360" w:lineRule="auto"/>
        <w:ind w:firstLine="480" w:firstLineChars="200"/>
        <w:rPr>
          <w:kern w:val="0"/>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F37ADEB">
      <w:pPr>
        <w:adjustRightInd w:val="0"/>
        <w:snapToGrid w:val="0"/>
        <w:spacing w:line="360" w:lineRule="auto"/>
        <w:ind w:firstLine="482" w:firstLineChars="200"/>
        <w:rPr>
          <w:b/>
          <w:bCs/>
          <w:sz w:val="24"/>
        </w:rPr>
      </w:pPr>
      <w:r>
        <w:rPr>
          <w:b/>
          <w:bCs/>
          <w:sz w:val="24"/>
        </w:rPr>
        <w:t>（四）基金财产的保管</w:t>
      </w:r>
      <w:r>
        <w:rPr>
          <w:rFonts w:hint="eastAsia"/>
          <w:b/>
          <w:bCs/>
          <w:sz w:val="24"/>
        </w:rPr>
        <w:t>和</w:t>
      </w:r>
      <w:r>
        <w:rPr>
          <w:b/>
          <w:bCs/>
          <w:sz w:val="24"/>
        </w:rPr>
        <w:t>处分</w:t>
      </w:r>
    </w:p>
    <w:p w14:paraId="6A0B8228">
      <w:pPr>
        <w:widowControl/>
        <w:adjustRightInd w:val="0"/>
        <w:snapToGrid w:val="0"/>
        <w:spacing w:line="360" w:lineRule="auto"/>
        <w:ind w:firstLine="480" w:firstLineChars="20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E8176AD">
      <w:pPr>
        <w:widowControl/>
        <w:adjustRightInd w:val="0"/>
        <w:snapToGrid w:val="0"/>
        <w:spacing w:line="360" w:lineRule="auto"/>
        <w:ind w:firstLine="480" w:firstLineChars="20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7B66CFC">
      <w:pPr>
        <w:widowControl/>
        <w:adjustRightInd w:val="0"/>
        <w:snapToGrid w:val="0"/>
        <w:spacing w:line="360" w:lineRule="auto"/>
        <w:ind w:firstLine="200"/>
        <w:rPr>
          <w:rFonts w:hint="eastAsia" w:ascii="宋体" w:hAnsi="宋体"/>
          <w:kern w:val="0"/>
          <w:sz w:val="24"/>
        </w:rPr>
      </w:pPr>
    </w:p>
    <w:p w14:paraId="6105A75A">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65"/>
      <w:bookmarkStart w:id="70" w:name="_Toc56690591"/>
      <w:bookmarkStart w:id="71" w:name="_Hlk195284397"/>
      <w:r>
        <w:rPr>
          <w:rFonts w:hint="eastAsia" w:ascii="宋体" w:hAnsi="宋体"/>
          <w:b/>
          <w:kern w:val="0"/>
          <w:sz w:val="30"/>
        </w:rPr>
        <w:t>十一、基金资产的估值</w:t>
      </w:r>
      <w:bookmarkEnd w:id="70"/>
    </w:p>
    <w:p w14:paraId="272A4DA5">
      <w:pPr>
        <w:adjustRightInd w:val="0"/>
        <w:snapToGrid w:val="0"/>
        <w:spacing w:line="360" w:lineRule="auto"/>
        <w:ind w:firstLine="482" w:firstLineChars="200"/>
        <w:rPr>
          <w:b/>
          <w:sz w:val="24"/>
          <w:szCs w:val="24"/>
        </w:rPr>
      </w:pPr>
      <w:r>
        <w:rPr>
          <w:rFonts w:hAnsi="宋体"/>
          <w:b/>
          <w:sz w:val="24"/>
          <w:szCs w:val="24"/>
        </w:rPr>
        <w:t>（一）估值日</w:t>
      </w:r>
    </w:p>
    <w:p w14:paraId="7D3FF9C2">
      <w:pPr>
        <w:adjustRightInd w:val="0"/>
        <w:snapToGrid w:val="0"/>
        <w:spacing w:line="360" w:lineRule="auto"/>
        <w:ind w:firstLine="480" w:firstLineChars="200"/>
        <w:rPr>
          <w:sz w:val="24"/>
          <w:szCs w:val="24"/>
        </w:rPr>
      </w:pPr>
      <w:r>
        <w:rPr>
          <w:rFonts w:hint="eastAsia"/>
          <w:sz w:val="24"/>
        </w:rPr>
        <w:t>本基金的估值日为本基金相关的证券交易场所的交易日以及国家法律法规规定需要对外披露基金净值的非交易日。</w:t>
      </w:r>
      <w:r>
        <w:rPr>
          <w:rFonts w:hint="eastAsia"/>
          <w:sz w:val="24"/>
          <w:szCs w:val="24"/>
        </w:rPr>
        <w:t>所投资基金的估值日是指该基金基金份额净值和基金份额累计净值的归属日。</w:t>
      </w:r>
    </w:p>
    <w:p w14:paraId="4993C953">
      <w:pPr>
        <w:adjustRightInd w:val="0"/>
        <w:snapToGrid w:val="0"/>
        <w:spacing w:line="360" w:lineRule="auto"/>
        <w:ind w:firstLine="482" w:firstLineChars="200"/>
        <w:rPr>
          <w:b/>
          <w:bCs/>
          <w:sz w:val="24"/>
          <w:szCs w:val="24"/>
        </w:rPr>
      </w:pPr>
      <w:r>
        <w:rPr>
          <w:b/>
          <w:bCs/>
          <w:sz w:val="24"/>
          <w:szCs w:val="24"/>
        </w:rPr>
        <w:t>（二）估值对象</w:t>
      </w:r>
    </w:p>
    <w:p w14:paraId="05D59D9D">
      <w:pPr>
        <w:adjustRightInd w:val="0"/>
        <w:snapToGrid w:val="0"/>
        <w:spacing w:line="360" w:lineRule="auto"/>
        <w:ind w:firstLine="480" w:firstLineChars="200"/>
        <w:rPr>
          <w:bCs/>
          <w:sz w:val="24"/>
          <w:szCs w:val="24"/>
        </w:rPr>
      </w:pPr>
      <w:r>
        <w:rPr>
          <w:rFonts w:hint="eastAsia"/>
          <w:bCs/>
          <w:sz w:val="24"/>
          <w:szCs w:val="24"/>
        </w:rPr>
        <w:t>基金所拥有的证券投资基金份额、股票、债券、资产支持证券和其他投资等持续以公允价值计量的金融资产及负债。</w:t>
      </w:r>
    </w:p>
    <w:p w14:paraId="2F667B2C">
      <w:pPr>
        <w:adjustRightInd w:val="0"/>
        <w:snapToGrid w:val="0"/>
        <w:spacing w:line="360" w:lineRule="auto"/>
        <w:ind w:firstLine="482" w:firstLineChars="200"/>
        <w:rPr>
          <w:rFonts w:hint="eastAsia" w:hAnsi="宋体"/>
          <w:b/>
          <w:sz w:val="24"/>
          <w:szCs w:val="24"/>
        </w:rPr>
      </w:pPr>
      <w:r>
        <w:rPr>
          <w:rFonts w:hAnsi="宋体"/>
          <w:b/>
          <w:sz w:val="24"/>
          <w:szCs w:val="24"/>
        </w:rPr>
        <w:t>（三）估值</w:t>
      </w:r>
      <w:r>
        <w:rPr>
          <w:rFonts w:hint="eastAsia" w:hAnsi="宋体"/>
          <w:b/>
          <w:sz w:val="24"/>
          <w:szCs w:val="24"/>
        </w:rPr>
        <w:t>原则</w:t>
      </w:r>
    </w:p>
    <w:p w14:paraId="1010CC7B">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45561695">
      <w:pPr>
        <w:adjustRightInd w:val="0"/>
        <w:snapToGrid w:val="0"/>
        <w:spacing w:line="360" w:lineRule="auto"/>
        <w:ind w:firstLine="480" w:firstLineChars="200"/>
        <w:rPr>
          <w:bCs/>
          <w:sz w:val="24"/>
        </w:rPr>
      </w:pPr>
      <w:r>
        <w:rPr>
          <w:rFonts w:hint="eastAsia"/>
          <w:bCs/>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F78F16C">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2205CB3">
      <w:pPr>
        <w:adjustRightInd w:val="0"/>
        <w:snapToGrid w:val="0"/>
        <w:spacing w:line="360" w:lineRule="auto"/>
        <w:ind w:firstLine="480" w:firstLineChars="200"/>
        <w:rPr>
          <w:bCs/>
          <w:sz w:val="24"/>
        </w:rPr>
      </w:pPr>
      <w:r>
        <w:rPr>
          <w:rFonts w:hint="eastAsia"/>
          <w:bCs/>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249F216">
      <w:pPr>
        <w:adjustRightInd w:val="0"/>
        <w:snapToGrid w:val="0"/>
        <w:spacing w:line="360" w:lineRule="auto"/>
        <w:ind w:firstLine="480" w:firstLineChars="200"/>
        <w:rPr>
          <w:bCs/>
          <w:sz w:val="24"/>
        </w:rPr>
      </w:pPr>
      <w:r>
        <w:rPr>
          <w:rFonts w:hint="eastAsia"/>
          <w:bCs/>
          <w:sz w:val="24"/>
        </w:rPr>
        <w:t>3、如经济环境发生重大变化或证券发行人发生影响证券价格的重大事件，使潜在估值调整对前一估值日的基金资产净值的影响在0.25%以上的，应对估值进行调整并确定公允价值。</w:t>
      </w:r>
    </w:p>
    <w:p w14:paraId="6EF14D76">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14:paraId="7E6BE765">
      <w:pPr>
        <w:adjustRightInd w:val="0"/>
        <w:snapToGrid w:val="0"/>
        <w:spacing w:line="360" w:lineRule="auto"/>
        <w:ind w:firstLine="480" w:firstLineChars="200"/>
        <w:rPr>
          <w:sz w:val="24"/>
          <w:szCs w:val="24"/>
        </w:rPr>
      </w:pPr>
      <w:r>
        <w:rPr>
          <w:rFonts w:hint="eastAsia"/>
          <w:sz w:val="24"/>
          <w:szCs w:val="24"/>
        </w:rPr>
        <w:t>1、证券投资基金的估值</w:t>
      </w:r>
    </w:p>
    <w:p w14:paraId="2BD02244">
      <w:pPr>
        <w:adjustRightInd w:val="0"/>
        <w:snapToGrid w:val="0"/>
        <w:spacing w:line="360" w:lineRule="auto"/>
        <w:ind w:firstLine="480" w:firstLineChars="200"/>
        <w:rPr>
          <w:sz w:val="24"/>
          <w:szCs w:val="24"/>
        </w:rPr>
      </w:pPr>
      <w:r>
        <w:rPr>
          <w:rFonts w:hint="eastAsia"/>
          <w:sz w:val="24"/>
          <w:szCs w:val="24"/>
        </w:rPr>
        <w:t>（1）本基金投资于非上市的非货币市场基金，按所投资基金估值日的份额净值进行估值；</w:t>
      </w:r>
    </w:p>
    <w:p w14:paraId="4E212137">
      <w:pPr>
        <w:adjustRightInd w:val="0"/>
        <w:snapToGrid w:val="0"/>
        <w:spacing w:line="360" w:lineRule="auto"/>
        <w:ind w:firstLine="480" w:firstLineChars="200"/>
        <w:rPr>
          <w:sz w:val="24"/>
          <w:szCs w:val="24"/>
        </w:rPr>
      </w:pPr>
      <w:r>
        <w:rPr>
          <w:rFonts w:hint="eastAsia"/>
          <w:sz w:val="24"/>
          <w:szCs w:val="24"/>
        </w:rPr>
        <w:t>（2）本基金投资于非上市的货币市场基金，按所投资基金前一估值日后至估值日期间（含节假日）的万份收益计提估值日基金收益；如所投资基金披露份额净值，则按所投资基金估值日的份额净值估值；</w:t>
      </w:r>
    </w:p>
    <w:p w14:paraId="1328B1B7">
      <w:pPr>
        <w:adjustRightInd w:val="0"/>
        <w:snapToGrid w:val="0"/>
        <w:spacing w:line="360" w:lineRule="auto"/>
        <w:ind w:firstLine="480" w:firstLineChars="200"/>
        <w:rPr>
          <w:sz w:val="24"/>
          <w:szCs w:val="24"/>
        </w:rPr>
      </w:pPr>
      <w:r>
        <w:rPr>
          <w:rFonts w:hint="eastAsia"/>
          <w:sz w:val="24"/>
          <w:szCs w:val="24"/>
        </w:rPr>
        <w:t>（3）本基金投资的ETF基金，按所投资ETF基金估值日的收盘价进行估值；</w:t>
      </w:r>
    </w:p>
    <w:p w14:paraId="6BC1A34B">
      <w:pPr>
        <w:adjustRightInd w:val="0"/>
        <w:snapToGrid w:val="0"/>
        <w:spacing w:line="360" w:lineRule="auto"/>
        <w:ind w:firstLine="480" w:firstLineChars="200"/>
        <w:rPr>
          <w:sz w:val="24"/>
          <w:szCs w:val="24"/>
        </w:rPr>
      </w:pPr>
      <w:r>
        <w:rPr>
          <w:rFonts w:hint="eastAsia"/>
          <w:sz w:val="24"/>
          <w:szCs w:val="24"/>
        </w:rPr>
        <w:t>（4）本基金投资的上市开放式基金（LOF），按所投资基金估值日的份额净值估值；</w:t>
      </w:r>
    </w:p>
    <w:p w14:paraId="189AF853">
      <w:pPr>
        <w:adjustRightInd w:val="0"/>
        <w:snapToGrid w:val="0"/>
        <w:spacing w:line="360" w:lineRule="auto"/>
        <w:ind w:firstLine="480" w:firstLineChars="200"/>
        <w:rPr>
          <w:sz w:val="24"/>
          <w:szCs w:val="24"/>
        </w:rPr>
      </w:pPr>
      <w:r>
        <w:rPr>
          <w:rFonts w:hint="eastAsia"/>
          <w:sz w:val="24"/>
          <w:szCs w:val="24"/>
        </w:rPr>
        <w:t>（5）本基金投资的上市定期开放式基金、封闭式基金，按所投资基金估值日的收盘价估值；</w:t>
      </w:r>
    </w:p>
    <w:p w14:paraId="69AA3F7D">
      <w:pPr>
        <w:adjustRightInd w:val="0"/>
        <w:snapToGrid w:val="0"/>
        <w:spacing w:line="360" w:lineRule="auto"/>
        <w:ind w:firstLine="480" w:firstLineChars="200"/>
        <w:rPr>
          <w:sz w:val="24"/>
          <w:szCs w:val="24"/>
        </w:rPr>
      </w:pPr>
      <w:r>
        <w:rPr>
          <w:rFonts w:hint="eastAsia"/>
          <w:sz w:val="24"/>
          <w:szCs w:val="24"/>
        </w:rPr>
        <w:t>（6）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4DB86A9B">
      <w:pPr>
        <w:adjustRightInd w:val="0"/>
        <w:snapToGrid w:val="0"/>
        <w:spacing w:line="360" w:lineRule="auto"/>
        <w:ind w:firstLine="480" w:firstLineChars="200"/>
        <w:rPr>
          <w:sz w:val="24"/>
          <w:szCs w:val="24"/>
        </w:rPr>
      </w:pPr>
      <w:r>
        <w:rPr>
          <w:rFonts w:hint="eastAsia"/>
          <w:sz w:val="24"/>
          <w:szCs w:val="24"/>
        </w:rPr>
        <w:t>（7）如遇所投资基金不公布基金份额净值、进行折算或拆分、估值日无交易等特殊情况，基金管理人根据以下原则进行估值：</w:t>
      </w:r>
    </w:p>
    <w:p w14:paraId="5D7D682A">
      <w:pPr>
        <w:adjustRightInd w:val="0"/>
        <w:snapToGrid w:val="0"/>
        <w:spacing w:line="360" w:lineRule="auto"/>
        <w:ind w:firstLine="480" w:firstLineChars="200"/>
        <w:rPr>
          <w:sz w:val="24"/>
          <w:szCs w:val="24"/>
        </w:rPr>
      </w:pPr>
      <w:r>
        <w:rPr>
          <w:rFonts w:hint="eastAsia"/>
          <w:sz w:val="24"/>
          <w:szCs w:val="24"/>
        </w:rPr>
        <w:t>以所投资基金的基金份额净值估值的，若所投资基金与本基金估值频率一致但未公布估值日基金份额净值，以其最近公布的基金份额净值估值；</w:t>
      </w:r>
    </w:p>
    <w:p w14:paraId="218750C8">
      <w:pPr>
        <w:adjustRightInd w:val="0"/>
        <w:snapToGrid w:val="0"/>
        <w:spacing w:line="360" w:lineRule="auto"/>
        <w:ind w:firstLine="480" w:firstLineChars="200"/>
        <w:rPr>
          <w:sz w:val="24"/>
          <w:szCs w:val="24"/>
        </w:rPr>
      </w:pPr>
      <w:r>
        <w:rPr>
          <w:rFonts w:hint="eastAsia"/>
          <w:sz w:val="24"/>
          <w:szCs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22011135">
      <w:pPr>
        <w:adjustRightInd w:val="0"/>
        <w:snapToGrid w:val="0"/>
        <w:spacing w:line="360" w:lineRule="auto"/>
        <w:ind w:firstLine="480" w:firstLineChars="200"/>
        <w:rPr>
          <w:sz w:val="24"/>
          <w:szCs w:val="24"/>
        </w:rPr>
      </w:pPr>
      <w:r>
        <w:rPr>
          <w:rFonts w:hint="eastAsia"/>
          <w:sz w:val="24"/>
          <w:szCs w:val="24"/>
        </w:rPr>
        <w:t>如果所投资基金前一估值日至估值日期间发生分红除权、折算或拆分，基金管理人应根据基金份额净值或收盘价、单位基金份额分红金额、折算拆分比例、持仓份额等因素合理确定公允价值；</w:t>
      </w:r>
    </w:p>
    <w:p w14:paraId="1FFCD13D">
      <w:pPr>
        <w:adjustRightInd w:val="0"/>
        <w:snapToGrid w:val="0"/>
        <w:spacing w:line="360" w:lineRule="auto"/>
        <w:ind w:firstLine="480" w:firstLineChars="200"/>
        <w:rPr>
          <w:sz w:val="24"/>
          <w:szCs w:val="24"/>
        </w:rPr>
      </w:pPr>
      <w:r>
        <w:rPr>
          <w:rFonts w:hint="eastAsia"/>
          <w:sz w:val="24"/>
          <w:szCs w:val="24"/>
        </w:rPr>
        <w:t>（8）当基金管理人认为所投资基金按上述第（1）至第（7）条进行估值存在不公允时，应与基金托管人协商一致采用合理的估值技术或估值标准确定其公允价值。</w:t>
      </w:r>
    </w:p>
    <w:p w14:paraId="25558311">
      <w:pPr>
        <w:adjustRightInd w:val="0"/>
        <w:snapToGrid w:val="0"/>
        <w:spacing w:line="360" w:lineRule="auto"/>
        <w:ind w:firstLine="480" w:firstLineChars="200"/>
        <w:rPr>
          <w:sz w:val="24"/>
          <w:szCs w:val="24"/>
        </w:rPr>
      </w:pPr>
      <w:r>
        <w:rPr>
          <w:rFonts w:hint="eastAsia"/>
          <w:sz w:val="24"/>
          <w:szCs w:val="24"/>
        </w:rPr>
        <w:t>2、证券交易所上市的有价证券的估值</w:t>
      </w:r>
    </w:p>
    <w:p w14:paraId="051A0FC4">
      <w:pPr>
        <w:adjustRightInd w:val="0"/>
        <w:snapToGrid w:val="0"/>
        <w:spacing w:line="360" w:lineRule="auto"/>
        <w:ind w:firstLine="480" w:firstLineChars="200"/>
        <w:rPr>
          <w:sz w:val="24"/>
          <w:szCs w:val="24"/>
        </w:rPr>
      </w:pPr>
      <w:r>
        <w:rPr>
          <w:rFonts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7BFC18">
      <w:pPr>
        <w:adjustRightInd w:val="0"/>
        <w:snapToGrid w:val="0"/>
        <w:spacing w:line="360" w:lineRule="auto"/>
        <w:ind w:firstLine="480" w:firstLineChars="200"/>
        <w:rPr>
          <w:sz w:val="24"/>
          <w:szCs w:val="24"/>
        </w:rPr>
      </w:pPr>
      <w:r>
        <w:rPr>
          <w:rFonts w:hint="eastAsia"/>
          <w:sz w:val="24"/>
          <w:szCs w:val="24"/>
        </w:rPr>
        <w:t>（2）对于已上市或已挂牌转让的不含权固定收益品种</w:t>
      </w:r>
      <w:r>
        <w:rPr>
          <w:rFonts w:hint="eastAsia"/>
          <w:bCs/>
          <w:sz w:val="24"/>
        </w:rPr>
        <w:t>（另有规定的除外）</w:t>
      </w:r>
      <w:r>
        <w:rPr>
          <w:rFonts w:hint="eastAsia"/>
          <w:sz w:val="24"/>
          <w:szCs w:val="24"/>
        </w:rPr>
        <w:t>，选取第三方估值基准服务机构提供的相应品种当日的估值全价进行估值。</w:t>
      </w:r>
    </w:p>
    <w:p w14:paraId="6B29F57B">
      <w:pPr>
        <w:adjustRightInd w:val="0"/>
        <w:snapToGrid w:val="0"/>
        <w:spacing w:line="360" w:lineRule="auto"/>
        <w:ind w:firstLine="480" w:firstLineChars="200"/>
        <w:rPr>
          <w:sz w:val="24"/>
          <w:szCs w:val="24"/>
        </w:rPr>
      </w:pPr>
      <w:r>
        <w:rPr>
          <w:rFonts w:hint="eastAsia"/>
          <w:sz w:val="24"/>
          <w:szCs w:val="24"/>
        </w:rPr>
        <w:t>（3）对于已上市或已挂牌转让的含权固定收益品种</w:t>
      </w:r>
      <w:r>
        <w:rPr>
          <w:rFonts w:hint="eastAsia"/>
          <w:bCs/>
          <w:sz w:val="24"/>
        </w:rPr>
        <w:t>（另有规定的除外）</w:t>
      </w:r>
      <w:r>
        <w:rPr>
          <w:rFonts w:hint="eastAsia"/>
          <w:sz w:val="24"/>
          <w:szCs w:val="24"/>
        </w:rPr>
        <w:t>，选取第三方估值基准服务机构提供的相应品种当日的唯一估值全价或推荐估值全价进行估值。</w:t>
      </w:r>
    </w:p>
    <w:p w14:paraId="6CBFF278">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3E16B83">
      <w:pPr>
        <w:adjustRightInd w:val="0"/>
        <w:snapToGrid w:val="0"/>
        <w:spacing w:line="360" w:lineRule="auto"/>
        <w:ind w:firstLine="480" w:firstLineChars="200"/>
        <w:rPr>
          <w:sz w:val="24"/>
          <w:szCs w:val="24"/>
        </w:rPr>
      </w:pPr>
      <w:r>
        <w:rPr>
          <w:rFonts w:hint="eastAsia"/>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56B2014">
      <w:pPr>
        <w:adjustRightInd w:val="0"/>
        <w:snapToGrid w:val="0"/>
        <w:spacing w:line="360" w:lineRule="auto"/>
        <w:ind w:firstLine="480" w:firstLineChars="200"/>
        <w:rPr>
          <w:sz w:val="24"/>
          <w:szCs w:val="24"/>
        </w:rPr>
      </w:pPr>
      <w:r>
        <w:rPr>
          <w:rFonts w:hint="eastAsia"/>
          <w:sz w:val="24"/>
          <w:szCs w:val="24"/>
        </w:rPr>
        <w:t>对于未上市或未挂牌转让且不存在活跃市场的固定收益品种，采用在当前情况下适用并且有足够可利用数据和其他信息支持的估值技术确定其公允价值。</w:t>
      </w:r>
    </w:p>
    <w:p w14:paraId="6D7986A2">
      <w:pPr>
        <w:adjustRightInd w:val="0"/>
        <w:snapToGrid w:val="0"/>
        <w:spacing w:line="360" w:lineRule="auto"/>
        <w:ind w:firstLine="480" w:firstLineChars="200"/>
        <w:rPr>
          <w:sz w:val="24"/>
          <w:szCs w:val="24"/>
        </w:rPr>
      </w:pPr>
      <w:r>
        <w:rPr>
          <w:rFonts w:hint="eastAsia"/>
          <w:sz w:val="24"/>
          <w:szCs w:val="24"/>
        </w:rPr>
        <w:t>3、处于未上市期间的有价证券应区分如下情况处理：</w:t>
      </w:r>
    </w:p>
    <w:p w14:paraId="76D9ADAA">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14:paraId="25277BFA">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14:paraId="4F4D5302">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3542DAE">
      <w:pPr>
        <w:adjustRightInd w:val="0"/>
        <w:snapToGrid w:val="0"/>
        <w:spacing w:line="360" w:lineRule="auto"/>
        <w:ind w:firstLine="480" w:firstLineChars="200"/>
        <w:rPr>
          <w:sz w:val="24"/>
          <w:szCs w:val="24"/>
        </w:rPr>
      </w:pPr>
      <w:r>
        <w:rPr>
          <w:rFonts w:hint="eastAsia"/>
          <w:sz w:val="24"/>
          <w:szCs w:val="24"/>
        </w:rPr>
        <w:t>4、同一证券同时在两个或两个以上市场交易的，按证券所处的市场分别估值。</w:t>
      </w:r>
    </w:p>
    <w:p w14:paraId="685E6FC7">
      <w:pPr>
        <w:adjustRightInd w:val="0"/>
        <w:snapToGrid w:val="0"/>
        <w:spacing w:line="360" w:lineRule="auto"/>
        <w:ind w:firstLine="480" w:firstLineChars="200"/>
        <w:rPr>
          <w:sz w:val="24"/>
          <w:szCs w:val="24"/>
        </w:rPr>
      </w:pPr>
      <w:r>
        <w:rPr>
          <w:rFonts w:hint="eastAsia"/>
          <w:sz w:val="24"/>
          <w:szCs w:val="24"/>
        </w:rPr>
        <w:t>5、估值计算中涉及港币对人民币汇率的，将依据下列信息提供机构所提供的汇率为基准：当日中国人民银行或其授权机构公布的人民币与港币的中间价。</w:t>
      </w:r>
    </w:p>
    <w:p w14:paraId="010C294A">
      <w:pPr>
        <w:adjustRightInd w:val="0"/>
        <w:snapToGrid w:val="0"/>
        <w:spacing w:line="360" w:lineRule="auto"/>
        <w:ind w:firstLine="480" w:firstLineChars="200"/>
        <w:rPr>
          <w:sz w:val="24"/>
          <w:szCs w:val="24"/>
        </w:rPr>
      </w:pPr>
      <w:r>
        <w:rPr>
          <w:rFonts w:hint="eastAsia"/>
          <w:sz w:val="24"/>
          <w:szCs w:val="24"/>
        </w:rPr>
        <w:t>6、本基金投资存托凭证的估值核算依照境内上市交易的股票执行。</w:t>
      </w:r>
    </w:p>
    <w:p w14:paraId="1B3B8C0D">
      <w:pPr>
        <w:adjustRightInd w:val="0"/>
        <w:snapToGrid w:val="0"/>
        <w:spacing w:line="360" w:lineRule="auto"/>
        <w:ind w:firstLine="480" w:firstLineChars="200"/>
        <w:rPr>
          <w:sz w:val="24"/>
          <w:szCs w:val="24"/>
        </w:rPr>
      </w:pPr>
      <w:r>
        <w:rPr>
          <w:rFonts w:hint="eastAsia"/>
          <w:sz w:val="24"/>
          <w:szCs w:val="24"/>
        </w:rPr>
        <w:t>7、如有确凿证据表明按上述方法进行估值不能客观反映其公允价值的，基金管理人可根据具体情况与基金托管人商定后，按最能反映公允价值的价格估值。</w:t>
      </w:r>
    </w:p>
    <w:p w14:paraId="0521AC21">
      <w:pPr>
        <w:adjustRightInd w:val="0"/>
        <w:snapToGrid w:val="0"/>
        <w:spacing w:line="360" w:lineRule="auto"/>
        <w:ind w:firstLine="480" w:firstLineChars="200"/>
        <w:rPr>
          <w:sz w:val="24"/>
          <w:szCs w:val="24"/>
        </w:rPr>
      </w:pPr>
      <w:r>
        <w:rPr>
          <w:sz w:val="24"/>
          <w:szCs w:val="24"/>
        </w:rPr>
        <w:t>8</w:t>
      </w:r>
      <w:r>
        <w:rPr>
          <w:rFonts w:hint="eastAsia"/>
          <w:sz w:val="24"/>
          <w:szCs w:val="24"/>
        </w:rPr>
        <w:t>、当发生大额申购或赎回情形时，基金管理人可以采用摆动定价机制，以确保基金估值的公平性。</w:t>
      </w:r>
    </w:p>
    <w:p w14:paraId="2955C9B5">
      <w:pPr>
        <w:adjustRightInd w:val="0"/>
        <w:snapToGrid w:val="0"/>
        <w:spacing w:line="360" w:lineRule="auto"/>
        <w:ind w:firstLine="480" w:firstLineChars="200"/>
        <w:rPr>
          <w:sz w:val="24"/>
          <w:szCs w:val="24"/>
        </w:rPr>
      </w:pPr>
      <w:r>
        <w:rPr>
          <w:sz w:val="24"/>
          <w:szCs w:val="24"/>
        </w:rPr>
        <w:t>9</w:t>
      </w:r>
      <w:r>
        <w:rPr>
          <w:rFonts w:hint="eastAsia"/>
          <w:sz w:val="24"/>
          <w:szCs w:val="24"/>
        </w:rPr>
        <w:t>、相关法律法规以及监管部门有强制规定的，从其规定。如有新增事项，按国家最新规定估值。</w:t>
      </w:r>
    </w:p>
    <w:p w14:paraId="5082F761">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22FA289">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w:t>
      </w:r>
      <w:r>
        <w:rPr>
          <w:bCs/>
          <w:sz w:val="24"/>
        </w:rPr>
        <w:t>基金净值信息</w:t>
      </w:r>
      <w:r>
        <w:rPr>
          <w:rFonts w:hint="eastAsia"/>
          <w:sz w:val="24"/>
          <w:szCs w:val="24"/>
        </w:rPr>
        <w:t>的计算结果对外予以公布。</w:t>
      </w:r>
    </w:p>
    <w:p w14:paraId="409CAF4C">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14:paraId="30E65082">
      <w:pPr>
        <w:adjustRightInd w:val="0"/>
        <w:snapToGrid w:val="0"/>
        <w:spacing w:line="360" w:lineRule="auto"/>
        <w:ind w:firstLine="480" w:firstLineChars="200"/>
        <w:rPr>
          <w:sz w:val="24"/>
          <w:szCs w:val="24"/>
        </w:rPr>
      </w:pPr>
      <w:r>
        <w:rPr>
          <w:rFonts w:hint="eastAsia"/>
          <w:sz w:val="24"/>
          <w:szCs w:val="24"/>
        </w:rPr>
        <w:t>1、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208ACB58">
      <w:pPr>
        <w:adjustRightInd w:val="0"/>
        <w:snapToGrid w:val="0"/>
        <w:spacing w:line="360" w:lineRule="auto"/>
        <w:ind w:firstLine="480" w:firstLineChars="200"/>
        <w:rPr>
          <w:sz w:val="24"/>
          <w:szCs w:val="24"/>
        </w:rPr>
      </w:pPr>
      <w:r>
        <w:rPr>
          <w:rFonts w:hint="eastAsia"/>
          <w:sz w:val="24"/>
          <w:szCs w:val="24"/>
        </w:rPr>
        <w:t>基金管理人于每个估值日计算基金资产净值及基金份额净值，并按规定公告。如遇特殊情况，经履行适当程序，可以适当延迟计算或公告。</w:t>
      </w:r>
    </w:p>
    <w:p w14:paraId="19AEEB74">
      <w:pPr>
        <w:adjustRightInd w:val="0"/>
        <w:snapToGrid w:val="0"/>
        <w:spacing w:line="360" w:lineRule="auto"/>
        <w:ind w:firstLine="480" w:firstLineChars="200"/>
        <w:rPr>
          <w:sz w:val="24"/>
          <w:szCs w:val="24"/>
        </w:rPr>
      </w:pPr>
      <w:r>
        <w:rPr>
          <w:rFonts w:hint="eastAsia"/>
          <w:sz w:val="24"/>
          <w:szCs w:val="24"/>
        </w:rPr>
        <w:t>2、基金管理人应每个估值日对基金资产估值。但基金管理人根据法律法规或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14:paraId="5564435B">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14:paraId="12F0D81D">
      <w:pPr>
        <w:adjustRightInd w:val="0"/>
        <w:snapToGrid w:val="0"/>
        <w:spacing w:line="360" w:lineRule="auto"/>
        <w:ind w:firstLine="480" w:firstLineChars="200"/>
        <w:rPr>
          <w:rFonts w:hint="eastAsia" w:hAnsi="宋体"/>
          <w:sz w:val="24"/>
          <w:szCs w:val="24"/>
        </w:rPr>
      </w:pPr>
      <w:r>
        <w:rPr>
          <w:rFonts w:hint="eastAsia" w:hAnsi="宋体"/>
          <w:sz w:val="24"/>
          <w:szCs w:val="24"/>
        </w:rPr>
        <w:t>基金管理人和基金托管人将采取必要、适当、合理的措施确保基金资产估值的准确性、及时性。当基金份额净值小数点后4位以内（含第4位）发生估值错误时，视为基金份额净值错误。</w:t>
      </w:r>
    </w:p>
    <w:p w14:paraId="1242E677">
      <w:pPr>
        <w:adjustRightInd w:val="0"/>
        <w:snapToGrid w:val="0"/>
        <w:spacing w:line="360" w:lineRule="auto"/>
        <w:ind w:firstLine="480" w:firstLineChars="200"/>
        <w:rPr>
          <w:rFonts w:hint="eastAsia" w:hAnsi="宋体"/>
          <w:sz w:val="24"/>
          <w:szCs w:val="24"/>
        </w:rPr>
      </w:pPr>
      <w:r>
        <w:rPr>
          <w:rFonts w:hint="eastAsia" w:hAnsi="宋体"/>
          <w:sz w:val="24"/>
          <w:szCs w:val="24"/>
        </w:rPr>
        <w:t>基金合同的当事人应按照以下约定处理：</w:t>
      </w:r>
    </w:p>
    <w:p w14:paraId="75218B45">
      <w:pPr>
        <w:adjustRightInd w:val="0"/>
        <w:snapToGrid w:val="0"/>
        <w:spacing w:line="360" w:lineRule="auto"/>
        <w:ind w:firstLine="480" w:firstLineChars="200"/>
        <w:rPr>
          <w:rFonts w:hint="eastAsia" w:hAnsi="宋体"/>
          <w:sz w:val="24"/>
          <w:szCs w:val="24"/>
        </w:rPr>
      </w:pPr>
      <w:r>
        <w:rPr>
          <w:rFonts w:hint="eastAsia" w:hAnsi="宋体"/>
          <w:sz w:val="24"/>
          <w:szCs w:val="24"/>
        </w:rPr>
        <w:t>1、估值错误类型</w:t>
      </w:r>
    </w:p>
    <w:p w14:paraId="38895D6F">
      <w:pPr>
        <w:adjustRightInd w:val="0"/>
        <w:snapToGrid w:val="0"/>
        <w:spacing w:line="360" w:lineRule="auto"/>
        <w:ind w:firstLine="480" w:firstLineChars="200"/>
        <w:rPr>
          <w:rFonts w:hint="eastAsia"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A17570D">
      <w:pPr>
        <w:adjustRightInd w:val="0"/>
        <w:snapToGrid w:val="0"/>
        <w:spacing w:line="360" w:lineRule="auto"/>
        <w:ind w:firstLine="480" w:firstLineChars="200"/>
        <w:rPr>
          <w:rFonts w:hint="eastAsia" w:hAnsi="宋体"/>
          <w:sz w:val="24"/>
          <w:szCs w:val="24"/>
        </w:rPr>
      </w:pPr>
      <w:r>
        <w:rPr>
          <w:rFonts w:hint="eastAsia" w:hAnsi="宋体"/>
          <w:sz w:val="24"/>
          <w:szCs w:val="24"/>
        </w:rPr>
        <w:t>上述估值错误的主要类型包括但不限于：资料申报差错、数据传输差错、数据计算差错、系统故障差错、下达指令差错等。</w:t>
      </w:r>
    </w:p>
    <w:p w14:paraId="0AB658AE">
      <w:pPr>
        <w:adjustRightInd w:val="0"/>
        <w:snapToGrid w:val="0"/>
        <w:spacing w:line="360" w:lineRule="auto"/>
        <w:ind w:firstLine="480" w:firstLineChars="200"/>
        <w:rPr>
          <w:rFonts w:hint="eastAsia"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14:paraId="39414E9A">
      <w:pPr>
        <w:adjustRightInd w:val="0"/>
        <w:snapToGrid w:val="0"/>
        <w:spacing w:line="360" w:lineRule="auto"/>
        <w:ind w:firstLine="480" w:firstLineChars="200"/>
        <w:rPr>
          <w:rFonts w:hint="eastAsia"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3F7A6F45">
      <w:pPr>
        <w:adjustRightInd w:val="0"/>
        <w:snapToGrid w:val="0"/>
        <w:spacing w:line="360" w:lineRule="auto"/>
        <w:ind w:firstLine="480" w:firstLineChars="200"/>
        <w:rPr>
          <w:rFonts w:hint="eastAsia" w:hAnsi="宋体"/>
          <w:sz w:val="24"/>
          <w:szCs w:val="24"/>
        </w:rPr>
      </w:pPr>
      <w:r>
        <w:rPr>
          <w:rFonts w:hint="eastAsia" w:hAnsi="宋体"/>
          <w:sz w:val="24"/>
          <w:szCs w:val="24"/>
        </w:rPr>
        <w:t>2、估值错误处理原则</w:t>
      </w:r>
    </w:p>
    <w:p w14:paraId="6D1A2E2C">
      <w:pPr>
        <w:adjustRightInd w:val="0"/>
        <w:snapToGrid w:val="0"/>
        <w:spacing w:line="360" w:lineRule="auto"/>
        <w:ind w:firstLine="480" w:firstLineChars="200"/>
        <w:rPr>
          <w:rFonts w:hint="eastAsia"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B85B2A1">
      <w:pPr>
        <w:adjustRightInd w:val="0"/>
        <w:snapToGrid w:val="0"/>
        <w:spacing w:line="360" w:lineRule="auto"/>
        <w:ind w:firstLine="480" w:firstLineChars="200"/>
        <w:rPr>
          <w:rFonts w:hint="eastAsia"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14:paraId="71AC14FE">
      <w:pPr>
        <w:adjustRightInd w:val="0"/>
        <w:snapToGrid w:val="0"/>
        <w:spacing w:line="360" w:lineRule="auto"/>
        <w:ind w:firstLine="480" w:firstLineChars="200"/>
        <w:rPr>
          <w:rFonts w:hint="eastAsia"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73A9EC">
      <w:pPr>
        <w:adjustRightInd w:val="0"/>
        <w:snapToGrid w:val="0"/>
        <w:spacing w:line="360" w:lineRule="auto"/>
        <w:ind w:firstLine="480" w:firstLineChars="200"/>
        <w:rPr>
          <w:rFonts w:hint="eastAsia" w:hAnsi="宋体"/>
          <w:sz w:val="24"/>
          <w:szCs w:val="24"/>
        </w:rPr>
      </w:pPr>
      <w:r>
        <w:rPr>
          <w:rFonts w:hint="eastAsia" w:hAnsi="宋体"/>
          <w:sz w:val="24"/>
          <w:szCs w:val="24"/>
        </w:rPr>
        <w:t>（4）估值错误调整采用尽量恢复至假设未发生估值错误的正确情形的方式。</w:t>
      </w:r>
    </w:p>
    <w:p w14:paraId="4DF45AFD">
      <w:pPr>
        <w:adjustRightInd w:val="0"/>
        <w:snapToGrid w:val="0"/>
        <w:spacing w:line="360" w:lineRule="auto"/>
        <w:ind w:firstLine="480" w:firstLineChars="200"/>
        <w:rPr>
          <w:rFonts w:hint="eastAsia" w:hAnsi="宋体"/>
          <w:sz w:val="24"/>
          <w:szCs w:val="24"/>
        </w:rPr>
      </w:pPr>
      <w:r>
        <w:rPr>
          <w:rFonts w:hint="eastAsia" w:hAnsi="宋体"/>
          <w:sz w:val="24"/>
          <w:szCs w:val="24"/>
        </w:rPr>
        <w:t>（5）按法律法规规定的其他原则处理估值错误。</w:t>
      </w:r>
    </w:p>
    <w:p w14:paraId="772BA18B">
      <w:pPr>
        <w:adjustRightInd w:val="0"/>
        <w:snapToGrid w:val="0"/>
        <w:spacing w:line="360" w:lineRule="auto"/>
        <w:ind w:firstLine="480" w:firstLineChars="200"/>
        <w:rPr>
          <w:rFonts w:hint="eastAsia" w:hAnsi="宋体"/>
          <w:sz w:val="24"/>
          <w:szCs w:val="24"/>
        </w:rPr>
      </w:pPr>
      <w:r>
        <w:rPr>
          <w:rFonts w:hint="eastAsia" w:hAnsi="宋体"/>
          <w:sz w:val="24"/>
          <w:szCs w:val="24"/>
        </w:rPr>
        <w:t>3、估值错误处理程序</w:t>
      </w:r>
    </w:p>
    <w:p w14:paraId="78A46F15">
      <w:pPr>
        <w:adjustRightInd w:val="0"/>
        <w:snapToGrid w:val="0"/>
        <w:spacing w:line="360" w:lineRule="auto"/>
        <w:ind w:firstLine="480" w:firstLineChars="200"/>
        <w:rPr>
          <w:rFonts w:hint="eastAsia" w:hAnsi="宋体"/>
          <w:sz w:val="24"/>
          <w:szCs w:val="24"/>
        </w:rPr>
      </w:pPr>
      <w:r>
        <w:rPr>
          <w:rFonts w:hint="eastAsia" w:hAnsi="宋体"/>
          <w:sz w:val="24"/>
          <w:szCs w:val="24"/>
        </w:rPr>
        <w:t>估值错误被发现后，有关的当事人应当及时进行处理，处理的程序如下：</w:t>
      </w:r>
    </w:p>
    <w:p w14:paraId="6DFCEFA9">
      <w:pPr>
        <w:adjustRightInd w:val="0"/>
        <w:snapToGrid w:val="0"/>
        <w:spacing w:line="360" w:lineRule="auto"/>
        <w:ind w:firstLine="480" w:firstLineChars="200"/>
        <w:rPr>
          <w:rFonts w:hint="eastAsia" w:hAnsi="宋体"/>
          <w:sz w:val="24"/>
          <w:szCs w:val="24"/>
        </w:rPr>
      </w:pPr>
      <w:r>
        <w:rPr>
          <w:rFonts w:hint="eastAsia" w:hAnsi="宋体"/>
          <w:sz w:val="24"/>
          <w:szCs w:val="24"/>
        </w:rPr>
        <w:t>（1）查明估值错误发生的原因，列明所有的当事人，并根据估值错误发生的原因确定估值错误的责任方；</w:t>
      </w:r>
    </w:p>
    <w:p w14:paraId="264B31F3">
      <w:pPr>
        <w:adjustRightInd w:val="0"/>
        <w:snapToGrid w:val="0"/>
        <w:spacing w:line="360" w:lineRule="auto"/>
        <w:ind w:firstLine="480" w:firstLineChars="200"/>
        <w:rPr>
          <w:rFonts w:hint="eastAsia" w:hAnsi="宋体"/>
          <w:sz w:val="24"/>
          <w:szCs w:val="24"/>
        </w:rPr>
      </w:pPr>
      <w:r>
        <w:rPr>
          <w:rFonts w:hint="eastAsia" w:hAnsi="宋体"/>
          <w:sz w:val="24"/>
          <w:szCs w:val="24"/>
        </w:rPr>
        <w:t>（2）根据估值错误处理原则或当事人协商的方法对因估值错误造成的损失进行评估；</w:t>
      </w:r>
    </w:p>
    <w:p w14:paraId="2706FE21">
      <w:pPr>
        <w:adjustRightInd w:val="0"/>
        <w:snapToGrid w:val="0"/>
        <w:spacing w:line="360" w:lineRule="auto"/>
        <w:ind w:firstLine="480" w:firstLineChars="200"/>
        <w:rPr>
          <w:rFonts w:hint="eastAsia" w:hAnsi="宋体"/>
          <w:sz w:val="24"/>
          <w:szCs w:val="24"/>
        </w:rPr>
      </w:pPr>
      <w:r>
        <w:rPr>
          <w:rFonts w:hint="eastAsia" w:hAnsi="宋体"/>
          <w:sz w:val="24"/>
          <w:szCs w:val="24"/>
        </w:rPr>
        <w:t>（3）根据估值错误处理原则或当事人协商的方法由估值错误的责任方进行更正和赔偿损失；</w:t>
      </w:r>
    </w:p>
    <w:p w14:paraId="408C69E7">
      <w:pPr>
        <w:adjustRightInd w:val="0"/>
        <w:snapToGrid w:val="0"/>
        <w:spacing w:line="360" w:lineRule="auto"/>
        <w:ind w:firstLine="480" w:firstLineChars="200"/>
        <w:rPr>
          <w:rFonts w:hint="eastAsia"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14:paraId="64C84415">
      <w:pPr>
        <w:adjustRightInd w:val="0"/>
        <w:snapToGrid w:val="0"/>
        <w:spacing w:line="360" w:lineRule="auto"/>
        <w:ind w:firstLine="480" w:firstLineChars="200"/>
        <w:rPr>
          <w:rFonts w:hint="eastAsia" w:hAnsi="宋体"/>
          <w:sz w:val="24"/>
          <w:szCs w:val="24"/>
        </w:rPr>
      </w:pPr>
      <w:r>
        <w:rPr>
          <w:rFonts w:hint="eastAsia" w:hAnsi="宋体"/>
          <w:sz w:val="24"/>
          <w:szCs w:val="24"/>
        </w:rPr>
        <w:t>4、基金份额净值估值错误处理的方法如下：</w:t>
      </w:r>
    </w:p>
    <w:p w14:paraId="16EA2BAD">
      <w:pPr>
        <w:adjustRightInd w:val="0"/>
        <w:snapToGrid w:val="0"/>
        <w:spacing w:line="360" w:lineRule="auto"/>
        <w:ind w:firstLine="480" w:firstLineChars="200"/>
        <w:rPr>
          <w:rFonts w:hint="eastAsia"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14:paraId="46452650">
      <w:pPr>
        <w:adjustRightInd w:val="0"/>
        <w:snapToGrid w:val="0"/>
        <w:spacing w:line="360" w:lineRule="auto"/>
        <w:ind w:firstLine="480" w:firstLineChars="200"/>
        <w:rPr>
          <w:rFonts w:hint="eastAsia" w:hAnsi="宋体"/>
          <w:sz w:val="24"/>
          <w:szCs w:val="24"/>
        </w:rPr>
      </w:pPr>
      <w:r>
        <w:rPr>
          <w:rFonts w:hint="eastAsia" w:hAnsi="宋体"/>
          <w:sz w:val="24"/>
          <w:szCs w:val="24"/>
        </w:rPr>
        <w:t>（2）错误偏差达到基金份额净值的0.25%时，基金管理人应当通报基金托管人并报中国证监会备案；错误偏差达到基金份额净值的0.5%时，基金管理人应当公告，并报中国证监会备案。</w:t>
      </w:r>
    </w:p>
    <w:p w14:paraId="43192A12">
      <w:pPr>
        <w:adjustRightInd w:val="0"/>
        <w:snapToGrid w:val="0"/>
        <w:spacing w:line="360" w:lineRule="auto"/>
        <w:ind w:firstLine="480" w:firstLineChars="200"/>
        <w:rPr>
          <w:rFonts w:hint="eastAsia" w:hAnsi="宋体"/>
          <w:sz w:val="24"/>
          <w:szCs w:val="24"/>
        </w:rPr>
      </w:pPr>
      <w:r>
        <w:rPr>
          <w:rFonts w:hint="eastAsia" w:hAnsi="宋体"/>
          <w:sz w:val="24"/>
          <w:szCs w:val="24"/>
        </w:rPr>
        <w:t>（3）当基金份额净值计算差错给基金和基金份额持有人造成损失需要进行赔偿时，基金管理人和基金托管人应根据实际情况界定双方承担的责任，经确认后按以下条款进行赔偿：</w:t>
      </w:r>
    </w:p>
    <w:p w14:paraId="568BCA6C">
      <w:pPr>
        <w:adjustRightInd w:val="0"/>
        <w:snapToGrid w:val="0"/>
        <w:spacing w:line="360" w:lineRule="auto"/>
        <w:ind w:firstLine="480" w:firstLineChars="200"/>
        <w:rPr>
          <w:rFonts w:hint="eastAsia" w:hAnsi="宋体"/>
          <w:sz w:val="24"/>
          <w:szCs w:val="24"/>
        </w:rPr>
      </w:pPr>
      <w:r>
        <w:rPr>
          <w:rFonts w:hint="eastAsia" w:hAnsi="宋体"/>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826C176">
      <w:pPr>
        <w:adjustRightInd w:val="0"/>
        <w:snapToGrid w:val="0"/>
        <w:spacing w:line="360" w:lineRule="auto"/>
        <w:ind w:firstLine="480" w:firstLineChars="200"/>
        <w:rPr>
          <w:rFonts w:hint="eastAsia" w:hAnsi="宋体"/>
          <w:sz w:val="24"/>
          <w:szCs w:val="24"/>
        </w:rPr>
      </w:pPr>
      <w:r>
        <w:rPr>
          <w:rFonts w:hint="eastAsia" w:hAnsi="宋体"/>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D344510">
      <w:pPr>
        <w:adjustRightInd w:val="0"/>
        <w:snapToGrid w:val="0"/>
        <w:spacing w:line="360" w:lineRule="auto"/>
        <w:ind w:firstLine="480" w:firstLineChars="200"/>
        <w:rPr>
          <w:rFonts w:hint="eastAsia" w:hAnsi="宋体"/>
          <w:sz w:val="24"/>
          <w:szCs w:val="24"/>
        </w:rPr>
      </w:pPr>
      <w:r>
        <w:rPr>
          <w:rFonts w:hint="eastAsia" w:hAnsi="宋体"/>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649647E">
      <w:pPr>
        <w:adjustRightInd w:val="0"/>
        <w:snapToGrid w:val="0"/>
        <w:spacing w:line="360" w:lineRule="auto"/>
        <w:ind w:firstLine="480" w:firstLineChars="200"/>
        <w:rPr>
          <w:rFonts w:hint="eastAsia" w:hAnsi="宋体"/>
          <w:sz w:val="24"/>
          <w:szCs w:val="24"/>
        </w:rPr>
      </w:pPr>
      <w:r>
        <w:rPr>
          <w:rFonts w:hint="eastAsia" w:hAnsi="宋体"/>
          <w:sz w:val="24"/>
          <w:szCs w:val="24"/>
        </w:rPr>
        <w:t>④由于基金管理人提供的信息错误（包括但不限于基金申购或赎回金额等），进而导致基金份额净值计算错误而引起的基金份额持有人和基金财产的损失，由基金管理人负责赔付。</w:t>
      </w:r>
    </w:p>
    <w:p w14:paraId="33726FC5">
      <w:pPr>
        <w:adjustRightInd w:val="0"/>
        <w:snapToGrid w:val="0"/>
        <w:spacing w:line="360" w:lineRule="auto"/>
        <w:ind w:firstLine="480" w:firstLineChars="200"/>
        <w:rPr>
          <w:rFonts w:hint="eastAsia" w:hAnsi="宋体"/>
          <w:sz w:val="24"/>
          <w:szCs w:val="24"/>
        </w:rPr>
      </w:pPr>
      <w:r>
        <w:rPr>
          <w:rFonts w:hint="eastAsia" w:hAnsi="宋体"/>
          <w:sz w:val="24"/>
          <w:szCs w:val="24"/>
        </w:rPr>
        <w:t>（4）前述内容如法律法规或者监管部门另有规定的，从其规定。</w:t>
      </w:r>
      <w:r>
        <w:rPr>
          <w:rFonts w:hint="eastAsia"/>
          <w:bCs/>
          <w:sz w:val="24"/>
        </w:rPr>
        <w:t>如果行业另有通行做法，双方当事人应本着平等和保护基金份额持有人利益的原则进行协商。</w:t>
      </w:r>
    </w:p>
    <w:p w14:paraId="1F0776A7">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14:paraId="235D3D12">
      <w:pPr>
        <w:adjustRightInd w:val="0"/>
        <w:snapToGrid w:val="0"/>
        <w:spacing w:line="360" w:lineRule="auto"/>
        <w:ind w:firstLine="480" w:firstLineChars="200"/>
        <w:rPr>
          <w:sz w:val="24"/>
          <w:szCs w:val="24"/>
        </w:rPr>
      </w:pPr>
      <w:r>
        <w:rPr>
          <w:rFonts w:hint="eastAsia"/>
          <w:sz w:val="24"/>
          <w:szCs w:val="24"/>
        </w:rPr>
        <w:t>1、基金投资所涉及的证券交易市场遇法定节假日或因其他原因暂停营业时；</w:t>
      </w:r>
    </w:p>
    <w:p w14:paraId="07451038">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14:paraId="26C8B719">
      <w:pPr>
        <w:adjustRightInd w:val="0"/>
        <w:snapToGrid w:val="0"/>
        <w:spacing w:line="360" w:lineRule="auto"/>
        <w:ind w:firstLine="480" w:firstLineChars="200"/>
        <w:rPr>
          <w:sz w:val="24"/>
          <w:szCs w:val="24"/>
        </w:rPr>
      </w:pPr>
      <w:r>
        <w:rPr>
          <w:rFonts w:hint="eastAsia"/>
          <w:sz w:val="24"/>
          <w:szCs w:val="24"/>
        </w:rPr>
        <w:t>3、由于本基金持有的相当比例的基金暂停估值，导致基金管理人无法计算当日基金资产净值；</w:t>
      </w:r>
    </w:p>
    <w:p w14:paraId="19A4DE27">
      <w:pPr>
        <w:adjustRightInd w:val="0"/>
        <w:snapToGrid w:val="0"/>
        <w:spacing w:line="360" w:lineRule="auto"/>
        <w:ind w:firstLine="480" w:firstLineChars="200"/>
        <w:rPr>
          <w:sz w:val="24"/>
          <w:szCs w:val="24"/>
        </w:rPr>
      </w:pPr>
      <w:r>
        <w:rPr>
          <w:rFonts w:hint="eastAsia"/>
          <w:sz w:val="24"/>
          <w:szCs w:val="24"/>
        </w:rPr>
        <w:t>4、当特定资产占前一估值日基金资产净值50%以上的，经与基金托管人协商确认后，基金管理人应当暂停估值；</w:t>
      </w:r>
    </w:p>
    <w:p w14:paraId="6881B73C">
      <w:pPr>
        <w:adjustRightInd w:val="0"/>
        <w:snapToGrid w:val="0"/>
        <w:spacing w:line="360" w:lineRule="auto"/>
        <w:ind w:firstLine="480" w:firstLineChars="200"/>
        <w:rPr>
          <w:sz w:val="24"/>
          <w:szCs w:val="24"/>
        </w:rPr>
      </w:pPr>
      <w:r>
        <w:rPr>
          <w:rFonts w:hint="eastAsia"/>
          <w:sz w:val="24"/>
          <w:szCs w:val="24"/>
        </w:rPr>
        <w:t>5、法律法规、中国证监会和基金合同认定的其它情形。</w:t>
      </w:r>
    </w:p>
    <w:p w14:paraId="5B21AEF2">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14:paraId="3606502A">
      <w:pPr>
        <w:adjustRightInd w:val="0"/>
        <w:snapToGrid w:val="0"/>
        <w:spacing w:line="360" w:lineRule="auto"/>
        <w:ind w:firstLine="480" w:firstLineChars="200"/>
        <w:rPr>
          <w:sz w:val="24"/>
          <w:szCs w:val="24"/>
        </w:rPr>
      </w:pPr>
      <w:r>
        <w:rPr>
          <w:bCs/>
          <w:sz w:val="24"/>
        </w:rPr>
        <w:t>基金资产净值和基金份额净值由基金管理人负责计算，基金托管人负责进行复核。基金管理人应于每个</w:t>
      </w:r>
      <w:r>
        <w:rPr>
          <w:rFonts w:hint="eastAsia"/>
          <w:bCs/>
          <w:sz w:val="24"/>
        </w:rPr>
        <w:t>工作日</w:t>
      </w:r>
      <w:r>
        <w:rPr>
          <w:bCs/>
          <w:sz w:val="24"/>
        </w:rPr>
        <w:t>计算基金资产净值和基金份额净值并发送给基金托管人。基金托管人对净值计算结果复核确认后发送给基金管理人，由基金管理人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03B5C3E0">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14:paraId="263B2C3D">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、基金管理人或基金托管人按估值方法的第7项进行估值时，所造成的误差不作为基金资产估值错误处理。</w:t>
      </w:r>
    </w:p>
    <w:p w14:paraId="41798398">
      <w:pPr>
        <w:adjustRightInd w:val="0"/>
        <w:snapToGrid w:val="0"/>
        <w:spacing w:line="360" w:lineRule="auto"/>
        <w:ind w:firstLine="480" w:firstLineChars="200"/>
        <w:rPr>
          <w:sz w:val="24"/>
          <w:szCs w:val="24"/>
        </w:rPr>
      </w:pPr>
      <w:r>
        <w:rPr>
          <w:sz w:val="24"/>
          <w:szCs w:val="24"/>
        </w:rPr>
        <w:t>2</w:t>
      </w:r>
      <w:r>
        <w:rPr>
          <w:rFonts w:hint="eastAsia"/>
          <w:sz w:val="24"/>
          <w:szCs w:val="24"/>
        </w:rPr>
        <w:t>、对于因税收规定调整或其他原因导致基金实际交纳税金与基金按照权责发生制进行估值的应交税金有差异的，相关估值调整不作为基金资产估值错误处理。</w:t>
      </w:r>
    </w:p>
    <w:p w14:paraId="4F423216">
      <w:pPr>
        <w:adjustRightInd w:val="0"/>
        <w:snapToGrid w:val="0"/>
        <w:spacing w:line="360" w:lineRule="auto"/>
        <w:ind w:firstLine="480" w:firstLineChars="200"/>
        <w:rPr>
          <w:sz w:val="24"/>
          <w:szCs w:val="24"/>
        </w:rPr>
      </w:pPr>
      <w:r>
        <w:rPr>
          <w:rFonts w:hint="eastAsia"/>
          <w:sz w:val="24"/>
          <w:szCs w:val="24"/>
        </w:rPr>
        <w:t>3、由于不可抗力原因，或由于证券交易所、证券经纪机构及登记结算公司发送的数据错误，或国家会计政策变更、市场规则变更等</w:t>
      </w:r>
      <w:r>
        <w:rPr>
          <w:rFonts w:hint="eastAsia"/>
          <w:bCs/>
          <w:sz w:val="24"/>
        </w:rPr>
        <w:t>非基金管理人与基金托管人原因</w:t>
      </w:r>
      <w:r>
        <w:rPr>
          <w:rFonts w:hint="eastAsia"/>
          <w:sz w:val="24"/>
          <w:szCs w:val="24"/>
        </w:rPr>
        <w:t>，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4F65E81F">
      <w:pPr>
        <w:adjustRightInd w:val="0"/>
        <w:snapToGrid w:val="0"/>
        <w:spacing w:line="360" w:lineRule="auto"/>
        <w:ind w:firstLine="482" w:firstLineChars="200"/>
        <w:rPr>
          <w:rFonts w:hint="eastAsia" w:hAnsi="宋体"/>
          <w:b/>
          <w:sz w:val="24"/>
          <w:szCs w:val="24"/>
        </w:rPr>
      </w:pPr>
      <w:r>
        <w:rPr>
          <w:rFonts w:hint="eastAsia" w:hAnsi="宋体"/>
          <w:b/>
          <w:sz w:val="24"/>
          <w:szCs w:val="24"/>
        </w:rPr>
        <w:t>（十）实施侧袋机制期间的基金资产估值</w:t>
      </w:r>
    </w:p>
    <w:p w14:paraId="1C22419E">
      <w:pPr>
        <w:adjustRightInd w:val="0"/>
        <w:snapToGrid w:val="0"/>
        <w:spacing w:line="360" w:lineRule="auto"/>
        <w:ind w:firstLine="480" w:firstLineChars="200"/>
        <w:rPr>
          <w:sz w:val="24"/>
          <w:szCs w:val="24"/>
        </w:rPr>
      </w:pPr>
      <w:r>
        <w:rPr>
          <w:rFonts w:hint="eastAsia"/>
          <w:sz w:val="24"/>
          <w:szCs w:val="24"/>
        </w:rPr>
        <w:t>本基金实施侧袋机制的，应根据本部分的约定对主袋账户资产进行估值并披露主袋账户的基金净值信息，暂停披露侧袋账户份额净值。</w:t>
      </w:r>
    </w:p>
    <w:p w14:paraId="744F485C">
      <w:pPr>
        <w:adjustRightInd w:val="0"/>
        <w:snapToGrid w:val="0"/>
        <w:spacing w:line="360" w:lineRule="auto"/>
        <w:ind w:firstLine="480" w:firstLineChars="200"/>
        <w:rPr>
          <w:sz w:val="24"/>
        </w:rPr>
      </w:pPr>
    </w:p>
    <w:p w14:paraId="40C6329E">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71"/>
      <w:bookmarkStart w:id="72" w:name="_Toc56690592"/>
      <w:bookmarkStart w:id="73" w:name="_Hlk195284400"/>
      <w:r>
        <w:rPr>
          <w:rFonts w:hint="eastAsia" w:ascii="宋体" w:hAnsi="宋体"/>
          <w:b/>
          <w:kern w:val="0"/>
          <w:sz w:val="30"/>
        </w:rPr>
        <w:t>十二、基金收益与分配</w:t>
      </w:r>
      <w:bookmarkEnd w:id="72"/>
    </w:p>
    <w:p w14:paraId="01DF7F72">
      <w:pPr>
        <w:adjustRightInd w:val="0"/>
        <w:snapToGrid w:val="0"/>
        <w:spacing w:line="360" w:lineRule="auto"/>
        <w:ind w:firstLine="482" w:firstLineChars="200"/>
        <w:rPr>
          <w:b/>
          <w:sz w:val="24"/>
        </w:rPr>
      </w:pPr>
      <w:r>
        <w:rPr>
          <w:rFonts w:hAnsi="宋体"/>
          <w:b/>
          <w:sz w:val="24"/>
        </w:rPr>
        <w:t>（一）基金利润的构成</w:t>
      </w:r>
    </w:p>
    <w:p w14:paraId="702FF0C9">
      <w:pPr>
        <w:adjustRightInd w:val="0"/>
        <w:snapToGrid w:val="0"/>
        <w:spacing w:line="360" w:lineRule="auto"/>
        <w:ind w:firstLine="480" w:firstLineChars="200"/>
        <w:rPr>
          <w:rFonts w:hint="eastAsia" w:hAnsi="宋体"/>
          <w:sz w:val="24"/>
        </w:rPr>
      </w:pPr>
      <w:r>
        <w:rPr>
          <w:rFonts w:hint="eastAsia" w:hAnsi="宋体"/>
          <w:sz w:val="24"/>
        </w:rPr>
        <w:t>基金利润指基金利息收入、投资收益、公允价值变动收益和其他收入扣除相关费用后的余额，基金已实现收益指基金利润减去公允价值变动收益后的余额。</w:t>
      </w:r>
    </w:p>
    <w:p w14:paraId="068EB6C5">
      <w:pPr>
        <w:adjustRightInd w:val="0"/>
        <w:snapToGrid w:val="0"/>
        <w:spacing w:line="360" w:lineRule="auto"/>
        <w:ind w:firstLine="482" w:firstLineChars="200"/>
        <w:rPr>
          <w:b/>
          <w:sz w:val="24"/>
        </w:rPr>
      </w:pPr>
      <w:r>
        <w:rPr>
          <w:rFonts w:hAnsi="宋体"/>
          <w:b/>
          <w:sz w:val="24"/>
        </w:rPr>
        <w:t>（二）基金可供分配利润</w:t>
      </w:r>
    </w:p>
    <w:p w14:paraId="4EE73020">
      <w:pPr>
        <w:adjustRightInd w:val="0"/>
        <w:snapToGrid w:val="0"/>
        <w:spacing w:line="360" w:lineRule="auto"/>
        <w:ind w:firstLine="480" w:firstLineChars="200"/>
        <w:rPr>
          <w:rFonts w:hint="eastAsia" w:hAnsi="宋体"/>
          <w:sz w:val="24"/>
        </w:rPr>
      </w:pPr>
      <w:r>
        <w:rPr>
          <w:rFonts w:hint="eastAsia" w:hAnsi="宋体"/>
          <w:sz w:val="24"/>
        </w:rPr>
        <w:t>基金可供分配利润指截至收益分</w:t>
      </w:r>
      <w:bookmarkStart w:id="74" w:name="_Hlt88900301"/>
      <w:bookmarkEnd w:id="74"/>
      <w:bookmarkStart w:id="75" w:name="_Hlt80435237"/>
      <w:bookmarkEnd w:id="75"/>
      <w:bookmarkStart w:id="76" w:name="_Hlt81129040"/>
      <w:bookmarkEnd w:id="76"/>
      <w:bookmarkStart w:id="77" w:name="_Toc15118286"/>
      <w:bookmarkStart w:id="78" w:name="_Toc109537392"/>
      <w:r>
        <w:rPr>
          <w:rFonts w:hint="eastAsia" w:hAnsi="宋体"/>
          <w:sz w:val="24"/>
        </w:rPr>
        <w:t>配</w:t>
      </w:r>
      <w:bookmarkEnd w:id="77"/>
      <w:r>
        <w:rPr>
          <w:rFonts w:hint="eastAsia" w:hAnsi="宋体"/>
          <w:sz w:val="24"/>
        </w:rPr>
        <w:t>基准日基金未分配利润与</w:t>
      </w:r>
      <w:bookmarkEnd w:id="78"/>
      <w:r>
        <w:rPr>
          <w:rFonts w:hint="eastAsia" w:hAnsi="宋体"/>
          <w:sz w:val="24"/>
        </w:rPr>
        <w:t>未分配利润中已实现收益的孰低数。</w:t>
      </w:r>
    </w:p>
    <w:p w14:paraId="531F7A95">
      <w:pPr>
        <w:adjustRightInd w:val="0"/>
        <w:snapToGrid w:val="0"/>
        <w:spacing w:line="360" w:lineRule="auto"/>
        <w:ind w:firstLine="482" w:firstLineChars="200"/>
        <w:rPr>
          <w:b/>
          <w:sz w:val="24"/>
        </w:rPr>
      </w:pPr>
      <w:r>
        <w:rPr>
          <w:rFonts w:hAnsi="宋体"/>
          <w:b/>
          <w:sz w:val="24"/>
        </w:rPr>
        <w:t>（三）</w:t>
      </w:r>
      <w:r>
        <w:rPr>
          <w:rFonts w:hint="eastAsia" w:hAnsi="宋体"/>
          <w:b/>
          <w:sz w:val="24"/>
        </w:rPr>
        <w:t>基金</w:t>
      </w:r>
      <w:r>
        <w:rPr>
          <w:rFonts w:hAnsi="宋体"/>
          <w:b/>
          <w:sz w:val="24"/>
        </w:rPr>
        <w:t>收益分配原则</w:t>
      </w:r>
    </w:p>
    <w:p w14:paraId="3B63F589">
      <w:pPr>
        <w:adjustRightInd w:val="0"/>
        <w:snapToGrid w:val="0"/>
        <w:spacing w:line="360" w:lineRule="auto"/>
        <w:ind w:firstLine="480" w:firstLineChars="200"/>
        <w:rPr>
          <w:rFonts w:hint="eastAsia" w:ascii="宋体" w:hAnsi="宋体"/>
          <w:bCs/>
          <w:sz w:val="24"/>
          <w:szCs w:val="24"/>
        </w:rPr>
      </w:pPr>
      <w:bookmarkStart w:id="79" w:name="OLE_LINK73"/>
      <w:bookmarkStart w:id="80" w:name="OLE_LINK72"/>
      <w:r>
        <w:rPr>
          <w:rFonts w:hint="eastAsia" w:ascii="宋体" w:hAnsi="宋体"/>
          <w:bCs/>
          <w:sz w:val="24"/>
          <w:szCs w:val="24"/>
        </w:rPr>
        <w:t>1、在符合有关基金分红条件的前提下，本基金管理人可以根据实际情况进行收益分配，具体分配方案以公告为准，若《基金合同》生效不满3个月可不进行收益分配；</w:t>
      </w:r>
    </w:p>
    <w:p w14:paraId="689B29EA">
      <w:pPr>
        <w:adjustRightInd w:val="0"/>
        <w:snapToGrid w:val="0"/>
        <w:spacing w:line="360" w:lineRule="auto"/>
        <w:ind w:firstLine="480" w:firstLineChars="200"/>
        <w:rPr>
          <w:bCs/>
          <w:sz w:val="24"/>
        </w:rPr>
      </w:pPr>
      <w:r>
        <w:rPr>
          <w:rFonts w:hint="eastAsia"/>
          <w:bCs/>
          <w:sz w:val="24"/>
        </w:rPr>
        <w:t>2、本基金收益分配方式分两种：现金分红与红利再投资，投资者可选择现金红利或将现金红利自动转为基金份额进行再投资；若投资者不选择，本基金默认的收益分配方式是现金分红；</w:t>
      </w:r>
    </w:p>
    <w:p w14:paraId="417AF33B">
      <w:pPr>
        <w:adjustRightInd w:val="0"/>
        <w:snapToGrid w:val="0"/>
        <w:spacing w:line="360" w:lineRule="auto"/>
        <w:ind w:firstLine="480" w:firstLineChars="200"/>
        <w:rPr>
          <w:bCs/>
          <w:sz w:val="24"/>
        </w:rPr>
      </w:pPr>
      <w:r>
        <w:rPr>
          <w:rFonts w:hint="eastAsia"/>
          <w:bCs/>
          <w:sz w:val="24"/>
        </w:rPr>
        <w:t>3、基金收益分配后基金份额净值不能低于面值；即基金收益分配基准日的基金份额净值减去每单位基金份额收益分配金额后不能低于面值；</w:t>
      </w:r>
    </w:p>
    <w:p w14:paraId="07506AB9">
      <w:pPr>
        <w:adjustRightInd w:val="0"/>
        <w:snapToGrid w:val="0"/>
        <w:spacing w:line="360" w:lineRule="auto"/>
        <w:ind w:firstLine="480" w:firstLineChars="200"/>
        <w:rPr>
          <w:bCs/>
          <w:sz w:val="24"/>
        </w:rPr>
      </w:pPr>
      <w:r>
        <w:rPr>
          <w:rFonts w:hint="eastAsia"/>
          <w:bCs/>
          <w:sz w:val="24"/>
        </w:rPr>
        <w:t>4、本基金每份基金份额享有同等分配权；</w:t>
      </w:r>
    </w:p>
    <w:p w14:paraId="6FC321DD">
      <w:pPr>
        <w:adjustRightInd w:val="0"/>
        <w:snapToGrid w:val="0"/>
        <w:spacing w:line="360" w:lineRule="auto"/>
        <w:ind w:firstLine="480" w:firstLineChars="200"/>
        <w:rPr>
          <w:bCs/>
          <w:sz w:val="24"/>
        </w:rPr>
      </w:pPr>
      <w:r>
        <w:rPr>
          <w:rFonts w:hint="eastAsia"/>
          <w:bCs/>
          <w:sz w:val="24"/>
        </w:rPr>
        <w:t>5、对于收益分配方式为红利再投资的基金份额，每份基金份额（原份额）所获得的红利再投资份额的最短持有期到期日，与该原份额的最短持有期到期日一致；</w:t>
      </w:r>
    </w:p>
    <w:p w14:paraId="28A57625">
      <w:pPr>
        <w:adjustRightInd w:val="0"/>
        <w:snapToGrid w:val="0"/>
        <w:spacing w:line="360" w:lineRule="auto"/>
        <w:ind w:firstLine="480" w:firstLineChars="200"/>
        <w:rPr>
          <w:bCs/>
          <w:sz w:val="24"/>
        </w:rPr>
      </w:pPr>
      <w:r>
        <w:rPr>
          <w:rFonts w:hint="eastAsia"/>
          <w:bCs/>
          <w:sz w:val="24"/>
        </w:rPr>
        <w:t>6、法律法规或监管机关另有规定的，从其规定。</w:t>
      </w:r>
    </w:p>
    <w:bookmarkEnd w:id="79"/>
    <w:bookmarkEnd w:id="80"/>
    <w:p w14:paraId="63DE16FA">
      <w:pPr>
        <w:snapToGrid w:val="0"/>
        <w:spacing w:line="360" w:lineRule="auto"/>
        <w:ind w:firstLine="482" w:firstLineChars="200"/>
        <w:rPr>
          <w:b/>
          <w:sz w:val="24"/>
        </w:rPr>
      </w:pPr>
      <w:r>
        <w:rPr>
          <w:rFonts w:hAnsi="宋体"/>
          <w:b/>
          <w:sz w:val="24"/>
        </w:rPr>
        <w:t>（四）收益分配方案</w:t>
      </w:r>
    </w:p>
    <w:p w14:paraId="69D0DB66">
      <w:pPr>
        <w:adjustRightInd w:val="0"/>
        <w:snapToGrid w:val="0"/>
        <w:spacing w:line="360" w:lineRule="auto"/>
        <w:ind w:firstLine="480" w:firstLineChars="200"/>
        <w:rPr>
          <w:rFonts w:hint="eastAsia" w:hAnsi="宋体"/>
          <w:sz w:val="24"/>
        </w:rPr>
      </w:pPr>
      <w:r>
        <w:rPr>
          <w:rFonts w:hint="eastAsia" w:hAnsi="宋体"/>
          <w:sz w:val="24"/>
        </w:rPr>
        <w:t>基金收益分配方案中应载明截止收益分配基准日的可供分配利润、基金收益分配对象、分配时间、分配数额及比例、分配方式等内容。</w:t>
      </w:r>
    </w:p>
    <w:p w14:paraId="1EE12ED7">
      <w:pPr>
        <w:adjustRightInd w:val="0"/>
        <w:snapToGrid w:val="0"/>
        <w:spacing w:line="360" w:lineRule="auto"/>
        <w:ind w:firstLine="482" w:firstLineChars="200"/>
        <w:rPr>
          <w:b/>
          <w:sz w:val="24"/>
        </w:rPr>
      </w:pPr>
      <w:r>
        <w:rPr>
          <w:rFonts w:hAnsi="宋体"/>
          <w:b/>
          <w:sz w:val="24"/>
        </w:rPr>
        <w:t>（五）收益分配方案的确定、公告与实施</w:t>
      </w:r>
    </w:p>
    <w:p w14:paraId="0CAE4564">
      <w:pPr>
        <w:adjustRightInd w:val="0"/>
        <w:snapToGrid w:val="0"/>
        <w:spacing w:line="360" w:lineRule="auto"/>
        <w:ind w:firstLine="480" w:firstLineChars="200"/>
        <w:rPr>
          <w:rFonts w:hint="eastAsia" w:ascii="宋体" w:hAnsi="宋体"/>
          <w:sz w:val="24"/>
        </w:rPr>
      </w:pPr>
      <w:r>
        <w:rPr>
          <w:rFonts w:hint="eastAsia" w:ascii="宋体" w:hAnsi="宋体"/>
          <w:sz w:val="24"/>
        </w:rPr>
        <w:t>本基金收益分配方案由基金管理人拟定，并由基金托管人复核，</w:t>
      </w:r>
      <w:r>
        <w:rPr>
          <w:rFonts w:hint="eastAsia"/>
          <w:bCs/>
          <w:sz w:val="24"/>
        </w:rPr>
        <w:t>依照《信息披露办法》的规定</w:t>
      </w:r>
      <w:r>
        <w:rPr>
          <w:rFonts w:hint="eastAsia" w:ascii="宋体" w:hAnsi="宋体"/>
          <w:sz w:val="24"/>
        </w:rPr>
        <w:t>在规定媒介公告。</w:t>
      </w:r>
    </w:p>
    <w:p w14:paraId="3F47A97B">
      <w:pPr>
        <w:adjustRightInd w:val="0"/>
        <w:snapToGrid w:val="0"/>
        <w:spacing w:line="360" w:lineRule="auto"/>
        <w:ind w:firstLine="480" w:firstLineChars="200"/>
        <w:rPr>
          <w:rFonts w:hint="eastAsia" w:ascii="宋体" w:hAnsi="宋体"/>
          <w:sz w:val="24"/>
        </w:rPr>
      </w:pPr>
      <w:r>
        <w:rPr>
          <w:rFonts w:hint="eastAsia" w:ascii="宋体" w:hAnsi="宋体"/>
          <w:sz w:val="24"/>
        </w:rPr>
        <w:t>法律法规或监管机关另有规定的，从其规定。</w:t>
      </w:r>
    </w:p>
    <w:p w14:paraId="02D5A1C6">
      <w:pPr>
        <w:adjustRightInd w:val="0"/>
        <w:snapToGrid w:val="0"/>
        <w:spacing w:line="360" w:lineRule="auto"/>
        <w:ind w:firstLine="482" w:firstLineChars="200"/>
        <w:rPr>
          <w:b/>
          <w:sz w:val="24"/>
        </w:rPr>
      </w:pPr>
      <w:r>
        <w:rPr>
          <w:b/>
          <w:sz w:val="24"/>
        </w:rPr>
        <w:t>（六）基金收益分配中发生的费用</w:t>
      </w:r>
    </w:p>
    <w:p w14:paraId="4554C16C">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7DE5C1C8">
      <w:pPr>
        <w:adjustRightInd w:val="0"/>
        <w:snapToGrid w:val="0"/>
        <w:spacing w:line="360" w:lineRule="auto"/>
        <w:ind w:firstLine="482" w:firstLineChars="200"/>
        <w:rPr>
          <w:b/>
          <w:sz w:val="24"/>
        </w:rPr>
      </w:pPr>
      <w:r>
        <w:rPr>
          <w:b/>
          <w:sz w:val="24"/>
        </w:rPr>
        <w:t>（七）收益分配方式的修改</w:t>
      </w:r>
    </w:p>
    <w:p w14:paraId="3BEEE510">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14:paraId="68B73C5F">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5521175E">
      <w:pPr>
        <w:adjustRightInd w:val="0"/>
        <w:snapToGrid w:val="0"/>
        <w:spacing w:line="360" w:lineRule="auto"/>
        <w:ind w:firstLine="482" w:firstLineChars="200"/>
        <w:rPr>
          <w:b/>
          <w:sz w:val="24"/>
        </w:rPr>
      </w:pPr>
      <w:r>
        <w:rPr>
          <w:rFonts w:hint="eastAsia"/>
          <w:b/>
          <w:sz w:val="24"/>
        </w:rPr>
        <w:t>（八</w:t>
      </w:r>
      <w:r>
        <w:rPr>
          <w:b/>
          <w:sz w:val="24"/>
        </w:rPr>
        <w:t>）</w:t>
      </w:r>
      <w:r>
        <w:rPr>
          <w:rFonts w:hint="eastAsia"/>
          <w:b/>
          <w:sz w:val="24"/>
        </w:rPr>
        <w:t>实施侧袋机制期间的收益分配</w:t>
      </w:r>
    </w:p>
    <w:p w14:paraId="1853D23F">
      <w:pPr>
        <w:adjustRightInd w:val="0"/>
        <w:snapToGrid w:val="0"/>
        <w:spacing w:line="360" w:lineRule="auto"/>
        <w:ind w:firstLine="480" w:firstLineChars="200"/>
        <w:rPr>
          <w:sz w:val="24"/>
        </w:rPr>
      </w:pPr>
      <w:r>
        <w:rPr>
          <w:rFonts w:hint="eastAsia"/>
          <w:sz w:val="24"/>
        </w:rPr>
        <w:t>本基金实施侧袋机制的，侧袋账户不进行收益分配。</w:t>
      </w:r>
    </w:p>
    <w:p w14:paraId="1079BF07">
      <w:pPr>
        <w:widowControl/>
        <w:adjustRightInd w:val="0"/>
        <w:snapToGrid w:val="0"/>
        <w:spacing w:line="360" w:lineRule="auto"/>
        <w:ind w:firstLine="200"/>
        <w:rPr>
          <w:rFonts w:hint="eastAsia" w:ascii="宋体" w:hAnsi="宋体"/>
          <w:kern w:val="0"/>
          <w:sz w:val="24"/>
        </w:rPr>
      </w:pPr>
    </w:p>
    <w:p w14:paraId="6FBA752A">
      <w:pPr>
        <w:adjustRightInd w:val="0"/>
        <w:snapToGrid w:val="0"/>
        <w:spacing w:line="360" w:lineRule="auto"/>
        <w:jc w:val="center"/>
        <w:outlineLvl w:val="0"/>
        <w:rPr>
          <w:rFonts w:hint="eastAsia" w:ascii="宋体" w:hAnsi="宋体"/>
          <w:b/>
          <w:kern w:val="0"/>
          <w:sz w:val="30"/>
        </w:rPr>
      </w:pPr>
      <w:r>
        <w:rPr>
          <w:rFonts w:ascii="宋体" w:hAnsi="宋体"/>
          <w:b/>
          <w:kern w:val="0"/>
          <w:sz w:val="30"/>
        </w:rPr>
        <w:br w:type="page"/>
      </w:r>
      <w:bookmarkEnd w:id="73"/>
      <w:bookmarkStart w:id="81" w:name="_Toc56690593"/>
      <w:bookmarkStart w:id="82" w:name="_Hlk195284403"/>
      <w:r>
        <w:rPr>
          <w:rFonts w:hint="eastAsia" w:ascii="宋体" w:hAnsi="宋体"/>
          <w:b/>
          <w:kern w:val="0"/>
          <w:sz w:val="30"/>
        </w:rPr>
        <w:t>十三、基金的费用与税收</w:t>
      </w:r>
      <w:bookmarkEnd w:id="81"/>
    </w:p>
    <w:p w14:paraId="7ACDE989">
      <w:pPr>
        <w:adjustRightInd w:val="0"/>
        <w:snapToGrid w:val="0"/>
        <w:spacing w:line="360" w:lineRule="auto"/>
        <w:ind w:firstLine="482" w:firstLineChars="200"/>
        <w:rPr>
          <w:i/>
          <w:sz w:val="24"/>
          <w:u w:val="single"/>
        </w:rPr>
      </w:pPr>
      <w:r>
        <w:rPr>
          <w:rFonts w:hAnsi="宋体"/>
          <w:b/>
          <w:sz w:val="24"/>
        </w:rPr>
        <w:t>（一）基金费用的种类</w:t>
      </w:r>
    </w:p>
    <w:p w14:paraId="0DC8CF8B">
      <w:pPr>
        <w:adjustRightInd w:val="0"/>
        <w:snapToGrid w:val="0"/>
        <w:spacing w:line="360" w:lineRule="auto"/>
        <w:ind w:firstLine="480" w:firstLineChars="200"/>
        <w:rPr>
          <w:sz w:val="24"/>
        </w:rPr>
      </w:pPr>
      <w:r>
        <w:rPr>
          <w:rFonts w:hint="eastAsia"/>
          <w:sz w:val="24"/>
        </w:rPr>
        <w:t>1、基金管理人的管理费；</w:t>
      </w:r>
    </w:p>
    <w:p w14:paraId="04E2CC6C">
      <w:pPr>
        <w:adjustRightInd w:val="0"/>
        <w:snapToGrid w:val="0"/>
        <w:spacing w:line="360" w:lineRule="auto"/>
        <w:ind w:firstLine="480" w:firstLineChars="200"/>
        <w:rPr>
          <w:sz w:val="24"/>
        </w:rPr>
      </w:pPr>
      <w:r>
        <w:rPr>
          <w:rFonts w:hint="eastAsia"/>
          <w:sz w:val="24"/>
        </w:rPr>
        <w:t>2、基金托管人的托管费；</w:t>
      </w:r>
    </w:p>
    <w:p w14:paraId="5BAD8538">
      <w:pPr>
        <w:adjustRightInd w:val="0"/>
        <w:snapToGrid w:val="0"/>
        <w:spacing w:line="360" w:lineRule="auto"/>
        <w:ind w:firstLine="480" w:firstLineChars="200"/>
        <w:rPr>
          <w:sz w:val="24"/>
        </w:rPr>
      </w:pPr>
      <w:r>
        <w:rPr>
          <w:rFonts w:hint="eastAsia"/>
          <w:sz w:val="24"/>
        </w:rPr>
        <w:t>3、《基金合同》生效后与基金相关的信息披露费用；</w:t>
      </w:r>
    </w:p>
    <w:p w14:paraId="3AF162E7">
      <w:pPr>
        <w:adjustRightInd w:val="0"/>
        <w:snapToGrid w:val="0"/>
        <w:spacing w:line="360" w:lineRule="auto"/>
        <w:ind w:firstLine="480" w:firstLineChars="200"/>
        <w:rPr>
          <w:sz w:val="24"/>
        </w:rPr>
      </w:pPr>
      <w:r>
        <w:rPr>
          <w:rFonts w:hint="eastAsia"/>
          <w:sz w:val="24"/>
        </w:rPr>
        <w:t>4、《基金合同》生效后与基金相关的会计师费、律师费、仲裁费和诉讼费；</w:t>
      </w:r>
    </w:p>
    <w:p w14:paraId="138838D2">
      <w:pPr>
        <w:adjustRightInd w:val="0"/>
        <w:snapToGrid w:val="0"/>
        <w:spacing w:line="360" w:lineRule="auto"/>
        <w:ind w:firstLine="480" w:firstLineChars="200"/>
        <w:rPr>
          <w:sz w:val="24"/>
        </w:rPr>
      </w:pPr>
      <w:r>
        <w:rPr>
          <w:rFonts w:hint="eastAsia"/>
          <w:sz w:val="24"/>
        </w:rPr>
        <w:t>5、基金份额持有人大会费用；</w:t>
      </w:r>
    </w:p>
    <w:p w14:paraId="12325C01">
      <w:pPr>
        <w:adjustRightInd w:val="0"/>
        <w:snapToGrid w:val="0"/>
        <w:spacing w:line="360" w:lineRule="auto"/>
        <w:ind w:firstLine="480" w:firstLineChars="200"/>
        <w:rPr>
          <w:sz w:val="24"/>
        </w:rPr>
      </w:pPr>
      <w:r>
        <w:rPr>
          <w:rFonts w:hint="eastAsia"/>
          <w:sz w:val="24"/>
        </w:rPr>
        <w:t>6、基金的证券、基金交易费用；</w:t>
      </w:r>
    </w:p>
    <w:p w14:paraId="57A6066F">
      <w:pPr>
        <w:adjustRightInd w:val="0"/>
        <w:snapToGrid w:val="0"/>
        <w:spacing w:line="360" w:lineRule="auto"/>
        <w:ind w:firstLine="480" w:firstLineChars="200"/>
        <w:rPr>
          <w:sz w:val="24"/>
        </w:rPr>
      </w:pPr>
      <w:r>
        <w:rPr>
          <w:rFonts w:hint="eastAsia"/>
          <w:sz w:val="24"/>
        </w:rPr>
        <w:t>7、基金的银行汇划费用；</w:t>
      </w:r>
    </w:p>
    <w:p w14:paraId="24A8DA1B">
      <w:pPr>
        <w:adjustRightInd w:val="0"/>
        <w:snapToGrid w:val="0"/>
        <w:spacing w:line="360" w:lineRule="auto"/>
        <w:ind w:firstLine="480" w:firstLineChars="200"/>
        <w:rPr>
          <w:sz w:val="24"/>
        </w:rPr>
      </w:pPr>
      <w:r>
        <w:rPr>
          <w:rFonts w:hint="eastAsia"/>
          <w:sz w:val="24"/>
        </w:rPr>
        <w:t>8、基金的开户费用、账户维护费用；</w:t>
      </w:r>
    </w:p>
    <w:p w14:paraId="115ED922">
      <w:pPr>
        <w:adjustRightInd w:val="0"/>
        <w:snapToGrid w:val="0"/>
        <w:spacing w:line="360" w:lineRule="auto"/>
        <w:ind w:firstLine="480" w:firstLineChars="200"/>
        <w:rPr>
          <w:sz w:val="24"/>
        </w:rPr>
      </w:pPr>
      <w:r>
        <w:rPr>
          <w:sz w:val="24"/>
        </w:rPr>
        <w:t>9</w:t>
      </w:r>
      <w:r>
        <w:rPr>
          <w:rFonts w:hint="eastAsia"/>
          <w:sz w:val="24"/>
        </w:rPr>
        <w:t>、本基金投资其他基金产生的其他基金的销售费用（如申购费、赎回费、销售服务费等），但法律法规禁止从基金财产中列支的除外；</w:t>
      </w:r>
    </w:p>
    <w:p w14:paraId="5E95585A">
      <w:pPr>
        <w:adjustRightInd w:val="0"/>
        <w:snapToGrid w:val="0"/>
        <w:spacing w:line="360" w:lineRule="auto"/>
        <w:ind w:firstLine="480" w:firstLineChars="200"/>
        <w:rPr>
          <w:sz w:val="24"/>
        </w:rPr>
      </w:pPr>
      <w:r>
        <w:rPr>
          <w:sz w:val="24"/>
        </w:rPr>
        <w:t>1</w:t>
      </w:r>
      <w:r>
        <w:rPr>
          <w:rFonts w:hint="eastAsia"/>
          <w:sz w:val="24"/>
        </w:rPr>
        <w:t>0、因投资港股通股票</w:t>
      </w:r>
      <w:r>
        <w:rPr>
          <w:rFonts w:hint="eastAsia"/>
          <w:bCs/>
          <w:sz w:val="24"/>
        </w:rPr>
        <w:t>及港股通ETF</w:t>
      </w:r>
      <w:r>
        <w:rPr>
          <w:rFonts w:hint="eastAsia"/>
          <w:sz w:val="24"/>
        </w:rPr>
        <w:t>而产生的各项合理费用；</w:t>
      </w:r>
    </w:p>
    <w:p w14:paraId="34374001">
      <w:pPr>
        <w:adjustRightInd w:val="0"/>
        <w:snapToGrid w:val="0"/>
        <w:spacing w:line="360" w:lineRule="auto"/>
        <w:ind w:firstLine="480" w:firstLineChars="200"/>
        <w:rPr>
          <w:sz w:val="24"/>
        </w:rPr>
      </w:pPr>
      <w:r>
        <w:rPr>
          <w:rFonts w:hint="eastAsia"/>
          <w:sz w:val="24"/>
        </w:rPr>
        <w:t>11、按照国家有关规定和《基金合同》约定，可以在基金财产中列支的其他费用。</w:t>
      </w:r>
    </w:p>
    <w:p w14:paraId="5C7420D9">
      <w:pPr>
        <w:adjustRightInd w:val="0"/>
        <w:snapToGrid w:val="0"/>
        <w:spacing w:line="360" w:lineRule="auto"/>
        <w:ind w:firstLine="482" w:firstLineChars="200"/>
        <w:rPr>
          <w:rFonts w:hint="eastAsia" w:hAnsi="宋体"/>
          <w:b/>
          <w:sz w:val="24"/>
        </w:rPr>
      </w:pPr>
      <w:r>
        <w:rPr>
          <w:rFonts w:hAnsi="宋体"/>
          <w:b/>
          <w:sz w:val="24"/>
        </w:rPr>
        <w:t>（二）基金费用计提方法、计提标准和支付方式</w:t>
      </w:r>
    </w:p>
    <w:p w14:paraId="4DE6E201">
      <w:pPr>
        <w:adjustRightInd w:val="0"/>
        <w:snapToGrid w:val="0"/>
        <w:spacing w:line="360" w:lineRule="auto"/>
        <w:ind w:firstLine="480" w:firstLineChars="200"/>
        <w:rPr>
          <w:sz w:val="24"/>
        </w:rPr>
      </w:pPr>
      <w:r>
        <w:rPr>
          <w:rFonts w:hint="eastAsia"/>
          <w:sz w:val="24"/>
        </w:rPr>
        <w:t>1、与基金运作有关的费用</w:t>
      </w:r>
    </w:p>
    <w:p w14:paraId="04FCB5BD">
      <w:pPr>
        <w:adjustRightInd w:val="0"/>
        <w:snapToGrid w:val="0"/>
        <w:spacing w:line="360" w:lineRule="auto"/>
        <w:ind w:firstLine="480" w:firstLineChars="200"/>
        <w:rPr>
          <w:sz w:val="24"/>
        </w:rPr>
      </w:pPr>
      <w:r>
        <w:rPr>
          <w:rFonts w:hint="eastAsia"/>
          <w:sz w:val="24"/>
        </w:rPr>
        <w:t>（</w:t>
      </w:r>
      <w:r>
        <w:rPr>
          <w:sz w:val="24"/>
        </w:rPr>
        <w:t>1</w:t>
      </w:r>
      <w:r>
        <w:rPr>
          <w:rFonts w:hint="eastAsia"/>
          <w:sz w:val="24"/>
        </w:rPr>
        <w:t>）基金管理人的管理费</w:t>
      </w:r>
    </w:p>
    <w:p w14:paraId="4C699204">
      <w:pPr>
        <w:adjustRightInd w:val="0"/>
        <w:snapToGrid w:val="0"/>
        <w:spacing w:line="360" w:lineRule="auto"/>
        <w:ind w:firstLine="480" w:firstLineChars="200"/>
        <w:rPr>
          <w:sz w:val="24"/>
        </w:rPr>
      </w:pPr>
      <w:r>
        <w:rPr>
          <w:rFonts w:hint="eastAsia"/>
          <w:sz w:val="24"/>
        </w:rPr>
        <w:t>本基金基金财产中持有的基金管理人自身管理的基金部分不收取管理费。本基金的管理费按前一日基金资产净值扣除基金财产中持有的基金管理人自身管理的基金部分所对应资产后剩余部分的0</w:t>
      </w:r>
      <w:r>
        <w:rPr>
          <w:sz w:val="24"/>
        </w:rPr>
        <w:t>.6</w:t>
      </w:r>
      <w:r>
        <w:rPr>
          <w:rFonts w:hint="eastAsia"/>
          <w:sz w:val="24"/>
        </w:rPr>
        <w:t>%年费率计提。管理费的计算方法如下：</w:t>
      </w:r>
    </w:p>
    <w:p w14:paraId="638A7A7A">
      <w:pPr>
        <w:adjustRightInd w:val="0"/>
        <w:snapToGrid w:val="0"/>
        <w:spacing w:line="360" w:lineRule="auto"/>
        <w:ind w:firstLine="480" w:firstLineChars="200"/>
        <w:rPr>
          <w:sz w:val="24"/>
        </w:rPr>
      </w:pPr>
      <w:r>
        <w:rPr>
          <w:rFonts w:hint="eastAsia"/>
          <w:sz w:val="24"/>
        </w:rPr>
        <w:t>H＝E×0</w:t>
      </w:r>
      <w:r>
        <w:rPr>
          <w:sz w:val="24"/>
        </w:rPr>
        <w:t>.6</w:t>
      </w:r>
      <w:r>
        <w:rPr>
          <w:rFonts w:hint="eastAsia"/>
          <w:sz w:val="24"/>
        </w:rPr>
        <w:t>%÷当年天数</w:t>
      </w:r>
    </w:p>
    <w:p w14:paraId="38303048">
      <w:pPr>
        <w:adjustRightInd w:val="0"/>
        <w:snapToGrid w:val="0"/>
        <w:spacing w:line="360" w:lineRule="auto"/>
        <w:ind w:firstLine="480" w:firstLineChars="200"/>
        <w:rPr>
          <w:sz w:val="24"/>
        </w:rPr>
      </w:pPr>
      <w:r>
        <w:rPr>
          <w:rFonts w:hint="eastAsia"/>
          <w:sz w:val="24"/>
        </w:rPr>
        <w:t>H为每日应计提的基金管理费</w:t>
      </w:r>
    </w:p>
    <w:p w14:paraId="5DEBB7F7">
      <w:pPr>
        <w:adjustRightInd w:val="0"/>
        <w:snapToGrid w:val="0"/>
        <w:spacing w:line="360" w:lineRule="auto"/>
        <w:ind w:firstLine="480" w:firstLineChars="200"/>
        <w:rPr>
          <w:sz w:val="24"/>
        </w:rPr>
      </w:pPr>
      <w:r>
        <w:rPr>
          <w:rFonts w:hint="eastAsia"/>
          <w:sz w:val="24"/>
        </w:rPr>
        <w:t>E为前一日的基金资产净值扣除基金财产中持有的基金管理人自身管理的基金部分所对应资产后剩余部分，若为负数，则E取0。</w:t>
      </w:r>
    </w:p>
    <w:p w14:paraId="1314A388">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与基金托管人核对一致后，由基金托管人按照与基金管理人协商一致的方式自动于次月首日起5个工作日内从基金财产中一次性支付给基金管理人，若遇法定节假日、休息日或不可抗力致使无法按时支付的，支付日期顺延。</w:t>
      </w:r>
    </w:p>
    <w:p w14:paraId="32791B75">
      <w:pPr>
        <w:adjustRightInd w:val="0"/>
        <w:snapToGrid w:val="0"/>
        <w:spacing w:line="360" w:lineRule="auto"/>
        <w:ind w:firstLine="480" w:firstLineChars="200"/>
        <w:rPr>
          <w:sz w:val="24"/>
        </w:rPr>
      </w:pPr>
      <w:r>
        <w:rPr>
          <w:rFonts w:hint="eastAsia"/>
          <w:sz w:val="24"/>
        </w:rPr>
        <w:t>（2）</w:t>
      </w:r>
      <w:r>
        <w:rPr>
          <w:rFonts w:hint="eastAsia" w:hAnsi="宋体"/>
          <w:sz w:val="24"/>
        </w:rPr>
        <w:t>基金</w:t>
      </w:r>
      <w:r>
        <w:rPr>
          <w:rFonts w:hint="eastAsia"/>
          <w:sz w:val="24"/>
        </w:rPr>
        <w:t>托管人的托管费</w:t>
      </w:r>
    </w:p>
    <w:p w14:paraId="7B003558">
      <w:pPr>
        <w:adjustRightInd w:val="0"/>
        <w:snapToGrid w:val="0"/>
        <w:spacing w:line="360" w:lineRule="auto"/>
        <w:ind w:firstLine="480" w:firstLineChars="200"/>
        <w:rPr>
          <w:sz w:val="24"/>
        </w:rPr>
      </w:pPr>
      <w:r>
        <w:rPr>
          <w:rFonts w:hint="eastAsia"/>
          <w:sz w:val="24"/>
        </w:rPr>
        <w:t>本基金基金财产中持有的基金托管人自身托管的基金部分不收取托管费。本基金的托管费按前一日基金资产净值扣除基金财产中持有的基金托管人自身托管的基金部分所对应资产后剩余部分的</w:t>
      </w:r>
      <w:r>
        <w:rPr>
          <w:sz w:val="24"/>
        </w:rPr>
        <w:t>0.</w:t>
      </w:r>
      <w:r>
        <w:rPr>
          <w:rFonts w:hint="eastAsia"/>
          <w:sz w:val="24"/>
        </w:rPr>
        <w:t>15%的年费率计提。托管费的计算方法如下：</w:t>
      </w:r>
    </w:p>
    <w:p w14:paraId="778FFF0A">
      <w:pPr>
        <w:adjustRightInd w:val="0"/>
        <w:snapToGrid w:val="0"/>
        <w:spacing w:line="360" w:lineRule="auto"/>
        <w:ind w:firstLine="480" w:firstLineChars="200"/>
        <w:rPr>
          <w:sz w:val="24"/>
        </w:rPr>
      </w:pPr>
      <w:r>
        <w:rPr>
          <w:rFonts w:hint="eastAsia"/>
          <w:sz w:val="24"/>
        </w:rPr>
        <w:t>H＝E×</w:t>
      </w:r>
      <w:r>
        <w:rPr>
          <w:sz w:val="24"/>
        </w:rPr>
        <w:t>0.1</w:t>
      </w:r>
      <w:r>
        <w:rPr>
          <w:rFonts w:hint="eastAsia"/>
          <w:sz w:val="24"/>
        </w:rPr>
        <w:t>5%÷当年天数</w:t>
      </w:r>
    </w:p>
    <w:p w14:paraId="06DBF75B">
      <w:pPr>
        <w:adjustRightInd w:val="0"/>
        <w:snapToGrid w:val="0"/>
        <w:spacing w:line="360" w:lineRule="auto"/>
        <w:ind w:firstLine="480" w:firstLineChars="200"/>
        <w:rPr>
          <w:sz w:val="24"/>
        </w:rPr>
      </w:pPr>
      <w:r>
        <w:rPr>
          <w:rFonts w:hint="eastAsia"/>
          <w:sz w:val="24"/>
        </w:rPr>
        <w:t>H为每日应计提的基金托管费</w:t>
      </w:r>
    </w:p>
    <w:p w14:paraId="51E0A111">
      <w:pPr>
        <w:adjustRightInd w:val="0"/>
        <w:snapToGrid w:val="0"/>
        <w:spacing w:line="360" w:lineRule="auto"/>
        <w:ind w:firstLine="480" w:firstLineChars="200"/>
        <w:rPr>
          <w:sz w:val="24"/>
        </w:rPr>
      </w:pPr>
      <w:r>
        <w:rPr>
          <w:rFonts w:hint="eastAsia"/>
          <w:sz w:val="24"/>
        </w:rPr>
        <w:t>E为前一日的基金资产净值扣除基金财产中持有的基金托管人自身托管的基金部分所对应资产后剩余部分，若为负数，则E取0。</w:t>
      </w:r>
    </w:p>
    <w:p w14:paraId="44E2BC9A">
      <w:pPr>
        <w:adjustRightInd w:val="0"/>
        <w:snapToGrid w:val="0"/>
        <w:spacing w:line="360" w:lineRule="auto"/>
        <w:ind w:firstLine="480" w:firstLineChars="200"/>
        <w:rPr>
          <w:sz w:val="24"/>
        </w:rPr>
      </w:pPr>
      <w:r>
        <w:rPr>
          <w:rFonts w:hint="eastAsia"/>
          <w:bCs/>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70BA78F8">
      <w:pPr>
        <w:adjustRightInd w:val="0"/>
        <w:snapToGrid w:val="0"/>
        <w:spacing w:line="360" w:lineRule="auto"/>
        <w:ind w:firstLine="480" w:firstLineChars="200"/>
        <w:rPr>
          <w:sz w:val="24"/>
        </w:rPr>
      </w:pPr>
      <w:r>
        <w:rPr>
          <w:rFonts w:hint="eastAsia"/>
          <w:sz w:val="24"/>
        </w:rPr>
        <w:t>（3）上述“（一）基金费用的种类”中第3－11项费用，根据有关法规及相应协议规定，按费用实际支出金额列入当期费用，由基金托管人从基金财产中支付。</w:t>
      </w:r>
    </w:p>
    <w:p w14:paraId="54B7C98D">
      <w:pPr>
        <w:adjustRightInd w:val="0"/>
        <w:snapToGrid w:val="0"/>
        <w:spacing w:line="360" w:lineRule="auto"/>
        <w:ind w:firstLine="480" w:firstLineChars="200"/>
        <w:rPr>
          <w:sz w:val="24"/>
        </w:rPr>
      </w:pPr>
      <w:r>
        <w:rPr>
          <w:rFonts w:hint="eastAsia"/>
          <w:sz w:val="24"/>
        </w:rPr>
        <w:t>（4）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2E8E3192">
      <w:pPr>
        <w:adjustRightInd w:val="0"/>
        <w:snapToGrid w:val="0"/>
        <w:spacing w:line="360" w:lineRule="auto"/>
        <w:ind w:firstLine="480" w:firstLineChars="200"/>
        <w:rPr>
          <w:sz w:val="24"/>
        </w:rPr>
      </w:pPr>
      <w:r>
        <w:rPr>
          <w:sz w:val="24"/>
        </w:rPr>
        <w:t>2、与基金销售有关的费用</w:t>
      </w:r>
    </w:p>
    <w:p w14:paraId="49229B61">
      <w:pPr>
        <w:adjustRightInd w:val="0"/>
        <w:snapToGrid w:val="0"/>
        <w:spacing w:line="360" w:lineRule="auto"/>
        <w:ind w:firstLine="480" w:firstLineChars="200"/>
        <w:rPr>
          <w:sz w:val="24"/>
        </w:rPr>
      </w:pPr>
      <w:r>
        <w:rPr>
          <w:sz w:val="24"/>
        </w:rPr>
        <w:t>（1）申购费</w:t>
      </w:r>
    </w:p>
    <w:p w14:paraId="27B4CD61">
      <w:pPr>
        <w:adjustRightInd w:val="0"/>
        <w:snapToGrid w:val="0"/>
        <w:spacing w:line="360" w:lineRule="auto"/>
        <w:ind w:firstLine="480" w:firstLineChars="200"/>
        <w:rPr>
          <w:sz w:val="24"/>
        </w:rPr>
      </w:pPr>
      <w:r>
        <w:rPr>
          <w:sz w:val="24"/>
        </w:rPr>
        <w:t>本基金申购费的费率水平、计算公式和收取方式详见</w:t>
      </w:r>
      <w:r>
        <w:rPr>
          <w:rFonts w:hint="eastAsia"/>
          <w:sz w:val="24"/>
        </w:rPr>
        <w:t>“</w:t>
      </w:r>
      <w:r>
        <w:rPr>
          <w:sz w:val="24"/>
        </w:rPr>
        <w:t>基金份额的申购与赎回</w:t>
      </w:r>
      <w:r>
        <w:rPr>
          <w:rFonts w:hint="eastAsia"/>
          <w:sz w:val="24"/>
        </w:rPr>
        <w:t>”</w:t>
      </w:r>
      <w:r>
        <w:rPr>
          <w:sz w:val="24"/>
        </w:rPr>
        <w:t>一章。</w:t>
      </w:r>
    </w:p>
    <w:p w14:paraId="288503EC">
      <w:pPr>
        <w:adjustRightInd w:val="0"/>
        <w:snapToGrid w:val="0"/>
        <w:spacing w:line="360" w:lineRule="auto"/>
        <w:ind w:firstLine="480" w:firstLineChars="200"/>
        <w:rPr>
          <w:sz w:val="24"/>
        </w:rPr>
      </w:pPr>
      <w:r>
        <w:rPr>
          <w:sz w:val="24"/>
        </w:rPr>
        <w:t>（2）赎回费</w:t>
      </w:r>
    </w:p>
    <w:p w14:paraId="0E59EFB9">
      <w:pPr>
        <w:adjustRightInd w:val="0"/>
        <w:snapToGrid w:val="0"/>
        <w:spacing w:line="360" w:lineRule="auto"/>
        <w:ind w:firstLine="480" w:firstLineChars="200"/>
        <w:rPr>
          <w:sz w:val="24"/>
        </w:rPr>
      </w:pPr>
      <w:r>
        <w:rPr>
          <w:sz w:val="24"/>
        </w:rPr>
        <w:t>本基金赎回费的费率水平、计算公式和收取方式详见</w:t>
      </w:r>
      <w:r>
        <w:rPr>
          <w:rFonts w:hint="eastAsia"/>
          <w:sz w:val="24"/>
        </w:rPr>
        <w:t>“</w:t>
      </w:r>
      <w:r>
        <w:rPr>
          <w:sz w:val="24"/>
        </w:rPr>
        <w:t>基金份额的申购与赎回</w:t>
      </w:r>
      <w:r>
        <w:rPr>
          <w:rFonts w:hint="eastAsia"/>
          <w:sz w:val="24"/>
        </w:rPr>
        <w:t>”</w:t>
      </w:r>
      <w:r>
        <w:rPr>
          <w:sz w:val="24"/>
        </w:rPr>
        <w:t>一章。</w:t>
      </w:r>
    </w:p>
    <w:p w14:paraId="08612164">
      <w:pPr>
        <w:adjustRightInd w:val="0"/>
        <w:snapToGrid w:val="0"/>
        <w:spacing w:line="360" w:lineRule="auto"/>
        <w:ind w:firstLine="482" w:firstLineChars="200"/>
        <w:rPr>
          <w:b/>
          <w:sz w:val="24"/>
        </w:rPr>
      </w:pPr>
      <w:r>
        <w:rPr>
          <w:rFonts w:hAnsi="宋体"/>
          <w:b/>
          <w:sz w:val="24"/>
        </w:rPr>
        <w:t>（三）不列入基金费用的项目</w:t>
      </w:r>
    </w:p>
    <w:p w14:paraId="41B46EFF">
      <w:pPr>
        <w:adjustRightInd w:val="0"/>
        <w:snapToGrid w:val="0"/>
        <w:spacing w:line="360" w:lineRule="auto"/>
        <w:ind w:firstLine="480" w:firstLineChars="200"/>
        <w:rPr>
          <w:rFonts w:hint="eastAsia" w:hAnsi="宋体"/>
          <w:sz w:val="24"/>
          <w:szCs w:val="21"/>
        </w:rPr>
      </w:pPr>
      <w:r>
        <w:rPr>
          <w:rFonts w:hint="eastAsia" w:hAnsi="宋体"/>
          <w:sz w:val="24"/>
          <w:szCs w:val="21"/>
        </w:rPr>
        <w:t>下列费用不列入基金费用：</w:t>
      </w:r>
    </w:p>
    <w:p w14:paraId="5FBEF4C5">
      <w:pPr>
        <w:adjustRightInd w:val="0"/>
        <w:snapToGrid w:val="0"/>
        <w:spacing w:line="360" w:lineRule="auto"/>
        <w:ind w:firstLine="480" w:firstLineChars="200"/>
        <w:rPr>
          <w:rFonts w:hint="eastAsia" w:hAnsi="宋体"/>
          <w:sz w:val="24"/>
          <w:szCs w:val="21"/>
        </w:rPr>
      </w:pPr>
      <w:r>
        <w:rPr>
          <w:rFonts w:hint="eastAsia" w:hAnsi="宋体"/>
          <w:sz w:val="24"/>
          <w:szCs w:val="21"/>
        </w:rPr>
        <w:t>1、基金管理人和基金托管人因未履行或未完全履行义务导致的费用支出或基金财产的损失；</w:t>
      </w:r>
    </w:p>
    <w:p w14:paraId="5604D484">
      <w:pPr>
        <w:adjustRightInd w:val="0"/>
        <w:snapToGrid w:val="0"/>
        <w:spacing w:line="360" w:lineRule="auto"/>
        <w:ind w:firstLine="480" w:firstLineChars="200"/>
        <w:rPr>
          <w:rFonts w:hint="eastAsia" w:hAnsi="宋体"/>
          <w:sz w:val="24"/>
          <w:szCs w:val="21"/>
        </w:rPr>
      </w:pPr>
      <w:r>
        <w:rPr>
          <w:rFonts w:hint="eastAsia" w:hAnsi="宋体"/>
          <w:sz w:val="24"/>
          <w:szCs w:val="21"/>
        </w:rPr>
        <w:t>2、基金管理人和基金托管人处理与基金运作无关的事项发生的费用；</w:t>
      </w:r>
    </w:p>
    <w:p w14:paraId="0DEF38E6">
      <w:pPr>
        <w:adjustRightInd w:val="0"/>
        <w:snapToGrid w:val="0"/>
        <w:spacing w:line="360" w:lineRule="auto"/>
        <w:ind w:firstLine="480" w:firstLineChars="200"/>
        <w:rPr>
          <w:rFonts w:hint="eastAsia" w:hAnsi="宋体"/>
          <w:sz w:val="24"/>
          <w:szCs w:val="21"/>
        </w:rPr>
      </w:pPr>
      <w:r>
        <w:rPr>
          <w:rFonts w:hint="eastAsia" w:hAnsi="宋体"/>
          <w:sz w:val="24"/>
          <w:szCs w:val="21"/>
        </w:rPr>
        <w:t>3、《基金合同》生效前的相关费用；</w:t>
      </w:r>
    </w:p>
    <w:p w14:paraId="4B0F51CA">
      <w:pPr>
        <w:adjustRightInd w:val="0"/>
        <w:snapToGrid w:val="0"/>
        <w:spacing w:line="360" w:lineRule="auto"/>
        <w:ind w:firstLine="480" w:firstLineChars="200"/>
        <w:rPr>
          <w:rFonts w:hint="eastAsia" w:hAnsi="宋体"/>
          <w:b/>
          <w:sz w:val="24"/>
          <w:szCs w:val="21"/>
        </w:rPr>
      </w:pPr>
      <w:r>
        <w:rPr>
          <w:rFonts w:hint="eastAsia" w:hAnsi="宋体"/>
          <w:sz w:val="24"/>
          <w:szCs w:val="21"/>
        </w:rPr>
        <w:t>4、其他根据相关法律法规及中国证监会的有关规定不得列入基金费用的项目。</w:t>
      </w:r>
      <w:bookmarkStart w:id="83" w:name="_Hlt81193394"/>
      <w:bookmarkEnd w:id="83"/>
    </w:p>
    <w:p w14:paraId="339BB48E">
      <w:pPr>
        <w:adjustRightInd w:val="0"/>
        <w:snapToGrid w:val="0"/>
        <w:spacing w:line="360" w:lineRule="auto"/>
        <w:ind w:firstLine="482" w:firstLineChars="200"/>
        <w:rPr>
          <w:rFonts w:hint="eastAsia" w:hAnsi="宋体"/>
          <w:b/>
          <w:sz w:val="24"/>
          <w:szCs w:val="24"/>
        </w:rPr>
      </w:pPr>
      <w:r>
        <w:rPr>
          <w:rFonts w:hint="eastAsia" w:hAnsi="宋体"/>
          <w:b/>
          <w:sz w:val="24"/>
          <w:szCs w:val="21"/>
        </w:rPr>
        <w:t>（</w:t>
      </w:r>
      <w:r>
        <w:rPr>
          <w:rFonts w:hAnsi="宋体"/>
          <w:b/>
          <w:sz w:val="24"/>
          <w:szCs w:val="21"/>
        </w:rPr>
        <w:t>四</w:t>
      </w:r>
      <w:r>
        <w:rPr>
          <w:rFonts w:hint="eastAsia" w:hAnsi="宋体"/>
          <w:b/>
          <w:sz w:val="24"/>
          <w:szCs w:val="21"/>
        </w:rPr>
        <w:t>）</w:t>
      </w:r>
      <w:r>
        <w:rPr>
          <w:rFonts w:hint="eastAsia" w:hAnsi="宋体"/>
          <w:b/>
          <w:sz w:val="24"/>
          <w:szCs w:val="24"/>
        </w:rPr>
        <w:t>实施侧袋机制期间的基金费用</w:t>
      </w:r>
    </w:p>
    <w:p w14:paraId="01AD539F">
      <w:pPr>
        <w:adjustRightInd w:val="0"/>
        <w:snapToGrid w:val="0"/>
        <w:spacing w:line="360" w:lineRule="auto"/>
        <w:ind w:firstLine="480" w:firstLineChars="200"/>
        <w:rPr>
          <w:rFonts w:hint="eastAsia"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43E158C2">
      <w:pPr>
        <w:adjustRightInd w:val="0"/>
        <w:snapToGrid w:val="0"/>
        <w:spacing w:line="360" w:lineRule="auto"/>
        <w:ind w:firstLine="482" w:firstLineChars="200"/>
        <w:rPr>
          <w:rFonts w:hint="eastAsia" w:hAnsi="宋体"/>
          <w:b/>
          <w:sz w:val="24"/>
          <w:szCs w:val="21"/>
        </w:rPr>
      </w:pPr>
      <w:r>
        <w:rPr>
          <w:rFonts w:hint="eastAsia" w:hAnsi="宋体"/>
          <w:b/>
          <w:sz w:val="24"/>
          <w:szCs w:val="24"/>
        </w:rPr>
        <w:t>（五）</w:t>
      </w:r>
      <w:r>
        <w:rPr>
          <w:rFonts w:hAnsi="宋体"/>
          <w:b/>
          <w:sz w:val="24"/>
          <w:szCs w:val="21"/>
        </w:rPr>
        <w:t>基金税收</w:t>
      </w:r>
    </w:p>
    <w:p w14:paraId="3A43D204">
      <w:pPr>
        <w:adjustRightInd w:val="0"/>
        <w:snapToGrid w:val="0"/>
        <w:spacing w:line="360" w:lineRule="auto"/>
        <w:ind w:firstLine="480" w:firstLineChars="200"/>
        <w:rPr>
          <w:rFonts w:hint="eastAsia" w:hAnsi="宋体"/>
          <w:sz w:val="24"/>
          <w:szCs w:val="21"/>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F46703C">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82"/>
      <w:bookmarkStart w:id="84" w:name="_Toc56690594"/>
      <w:bookmarkStart w:id="85" w:name="_Hlk195284406"/>
      <w:r>
        <w:rPr>
          <w:rFonts w:hint="eastAsia" w:ascii="宋体" w:hAnsi="宋体"/>
          <w:b/>
          <w:kern w:val="0"/>
          <w:sz w:val="30"/>
        </w:rPr>
        <w:t>十四、基金的会计与审计</w:t>
      </w:r>
      <w:bookmarkEnd w:id="84"/>
    </w:p>
    <w:p w14:paraId="48AE90F1">
      <w:pPr>
        <w:adjustRightInd w:val="0"/>
        <w:snapToGrid w:val="0"/>
        <w:spacing w:line="360" w:lineRule="auto"/>
        <w:ind w:firstLine="482" w:firstLineChars="200"/>
        <w:rPr>
          <w:rFonts w:hint="eastAsia" w:hAnsi="宋体"/>
          <w:b/>
          <w:sz w:val="24"/>
          <w:szCs w:val="21"/>
        </w:rPr>
      </w:pPr>
      <w:r>
        <w:rPr>
          <w:rFonts w:hAnsi="宋体"/>
          <w:b/>
          <w:sz w:val="24"/>
          <w:szCs w:val="21"/>
        </w:rPr>
        <w:t>（一）基金会计政策</w:t>
      </w:r>
    </w:p>
    <w:p w14:paraId="7E3A3A5C">
      <w:pPr>
        <w:adjustRightInd w:val="0"/>
        <w:snapToGrid w:val="0"/>
        <w:spacing w:line="360" w:lineRule="auto"/>
        <w:ind w:firstLine="480" w:firstLineChars="200"/>
        <w:rPr>
          <w:rFonts w:hint="eastAsia" w:hAnsi="宋体"/>
          <w:sz w:val="24"/>
          <w:szCs w:val="18"/>
        </w:rPr>
      </w:pPr>
      <w:r>
        <w:rPr>
          <w:rFonts w:hint="eastAsia" w:hAnsi="宋体"/>
          <w:sz w:val="24"/>
          <w:szCs w:val="18"/>
        </w:rPr>
        <w:t>1、基金管理人为本基金的基金会计责任方；</w:t>
      </w:r>
    </w:p>
    <w:p w14:paraId="110C4375">
      <w:pPr>
        <w:adjustRightInd w:val="0"/>
        <w:snapToGrid w:val="0"/>
        <w:spacing w:line="360" w:lineRule="auto"/>
        <w:ind w:firstLine="480" w:firstLineChars="200"/>
        <w:rPr>
          <w:rFonts w:hint="eastAsia" w:hAnsi="宋体"/>
          <w:sz w:val="24"/>
          <w:szCs w:val="18"/>
        </w:rPr>
      </w:pPr>
      <w:r>
        <w:rPr>
          <w:rFonts w:hint="eastAsia" w:hAnsi="宋体"/>
          <w:sz w:val="24"/>
          <w:szCs w:val="18"/>
        </w:rPr>
        <w:t>2、基金的会计年度为公历年度的1月1日至12月31日；基金首次募集的会计年度按如下原则：如果《基金合同》生效少于2个月，可以并入下一个会计年度披露；</w:t>
      </w:r>
    </w:p>
    <w:p w14:paraId="6BEF8808">
      <w:pPr>
        <w:adjustRightInd w:val="0"/>
        <w:snapToGrid w:val="0"/>
        <w:spacing w:line="360" w:lineRule="auto"/>
        <w:ind w:firstLine="480" w:firstLineChars="200"/>
        <w:rPr>
          <w:rFonts w:hint="eastAsia" w:hAnsi="宋体"/>
          <w:sz w:val="24"/>
          <w:szCs w:val="18"/>
        </w:rPr>
      </w:pPr>
      <w:bookmarkStart w:id="86" w:name="_Toc109537394"/>
      <w:r>
        <w:rPr>
          <w:rFonts w:hint="eastAsia" w:hAnsi="宋体"/>
          <w:sz w:val="24"/>
          <w:szCs w:val="18"/>
        </w:rPr>
        <w:t>3、基金核</w:t>
      </w:r>
      <w:bookmarkEnd w:id="86"/>
      <w:r>
        <w:rPr>
          <w:rFonts w:hint="eastAsia" w:hAnsi="宋体"/>
          <w:sz w:val="24"/>
          <w:szCs w:val="18"/>
        </w:rPr>
        <w:t>算以人民币为记账本位币，以人民币元为记账单位；</w:t>
      </w:r>
    </w:p>
    <w:p w14:paraId="46D26769">
      <w:pPr>
        <w:adjustRightInd w:val="0"/>
        <w:snapToGrid w:val="0"/>
        <w:spacing w:line="360" w:lineRule="auto"/>
        <w:ind w:firstLine="480" w:firstLineChars="200"/>
        <w:rPr>
          <w:rFonts w:hint="eastAsia" w:hAnsi="宋体"/>
          <w:sz w:val="24"/>
          <w:szCs w:val="18"/>
        </w:rPr>
      </w:pPr>
      <w:r>
        <w:rPr>
          <w:rFonts w:hint="eastAsia" w:hAnsi="宋体"/>
          <w:sz w:val="24"/>
          <w:szCs w:val="18"/>
        </w:rPr>
        <w:t>4、会计制度执行国家有关会计制度；</w:t>
      </w:r>
    </w:p>
    <w:p w14:paraId="162492BF">
      <w:pPr>
        <w:adjustRightInd w:val="0"/>
        <w:snapToGrid w:val="0"/>
        <w:spacing w:line="360" w:lineRule="auto"/>
        <w:ind w:firstLine="480" w:firstLineChars="200"/>
        <w:rPr>
          <w:rFonts w:hint="eastAsia" w:hAnsi="宋体"/>
          <w:sz w:val="24"/>
          <w:szCs w:val="18"/>
        </w:rPr>
      </w:pPr>
      <w:r>
        <w:rPr>
          <w:rFonts w:hint="eastAsia" w:hAnsi="宋体"/>
          <w:sz w:val="24"/>
          <w:szCs w:val="18"/>
        </w:rPr>
        <w:t>5、本基金独立建账、独立核算；</w:t>
      </w:r>
    </w:p>
    <w:p w14:paraId="4793A253">
      <w:pPr>
        <w:adjustRightInd w:val="0"/>
        <w:snapToGrid w:val="0"/>
        <w:spacing w:line="360" w:lineRule="auto"/>
        <w:ind w:firstLine="480" w:firstLineChars="200"/>
        <w:rPr>
          <w:rFonts w:hint="eastAsia" w:hAnsi="宋体"/>
          <w:sz w:val="24"/>
          <w:szCs w:val="18"/>
        </w:rPr>
      </w:pPr>
      <w:r>
        <w:rPr>
          <w:rFonts w:hint="eastAsia" w:hAnsi="宋体"/>
          <w:sz w:val="24"/>
          <w:szCs w:val="18"/>
        </w:rPr>
        <w:t>6、基金管理人及基金托管人各自保留完整的会计账目、凭证并进行日常的会计核算，按照有关规定编制基金会计报表；</w:t>
      </w:r>
    </w:p>
    <w:p w14:paraId="4CBCF0F8">
      <w:pPr>
        <w:adjustRightInd w:val="0"/>
        <w:snapToGrid w:val="0"/>
        <w:spacing w:line="360" w:lineRule="auto"/>
        <w:ind w:firstLine="480" w:firstLineChars="200"/>
        <w:rPr>
          <w:rFonts w:hint="eastAsia" w:hAnsi="宋体"/>
          <w:sz w:val="24"/>
          <w:szCs w:val="18"/>
        </w:rPr>
      </w:pPr>
      <w:r>
        <w:rPr>
          <w:rFonts w:hint="eastAsia" w:hAnsi="宋体"/>
          <w:sz w:val="24"/>
          <w:szCs w:val="18"/>
        </w:rPr>
        <w:t>7、基金托管人每月与基金管理人就基金的会计核算、报表编制等进行核对并以书面方式</w:t>
      </w:r>
      <w:r>
        <w:rPr>
          <w:rFonts w:hint="eastAsia"/>
          <w:bCs/>
          <w:sz w:val="24"/>
        </w:rPr>
        <w:t>或双方认可的其他方式</w:t>
      </w:r>
      <w:r>
        <w:rPr>
          <w:rFonts w:hint="eastAsia" w:hAnsi="宋体"/>
          <w:sz w:val="24"/>
          <w:szCs w:val="18"/>
        </w:rPr>
        <w:t>确认。</w:t>
      </w:r>
    </w:p>
    <w:p w14:paraId="58A2C7F2">
      <w:pPr>
        <w:adjustRightInd w:val="0"/>
        <w:snapToGrid w:val="0"/>
        <w:spacing w:line="360" w:lineRule="auto"/>
        <w:ind w:firstLine="482" w:firstLineChars="200"/>
        <w:rPr>
          <w:rFonts w:hint="eastAsia" w:hAnsi="宋体"/>
          <w:b/>
          <w:sz w:val="24"/>
          <w:szCs w:val="21"/>
        </w:rPr>
      </w:pPr>
      <w:r>
        <w:rPr>
          <w:rFonts w:hAnsi="宋体"/>
          <w:b/>
          <w:sz w:val="24"/>
          <w:szCs w:val="21"/>
        </w:rPr>
        <w:t>（二）基金的年度审计</w:t>
      </w:r>
    </w:p>
    <w:p w14:paraId="74AA89FB">
      <w:pPr>
        <w:adjustRightInd w:val="0"/>
        <w:snapToGrid w:val="0"/>
        <w:spacing w:line="360" w:lineRule="auto"/>
        <w:ind w:firstLine="480" w:firstLineChars="200"/>
        <w:rPr>
          <w:rFonts w:hint="eastAsia" w:hAnsi="宋体"/>
          <w:sz w:val="24"/>
          <w:szCs w:val="18"/>
        </w:rPr>
      </w:pPr>
      <w:bookmarkStart w:id="87" w:name="_Hlt4221115"/>
      <w:bookmarkEnd w:id="87"/>
      <w:r>
        <w:rPr>
          <w:rFonts w:hint="eastAsia" w:hAnsi="宋体"/>
          <w:sz w:val="24"/>
          <w:szCs w:val="18"/>
        </w:rPr>
        <w:t>1、基金管理人聘请与基金管理人、基金托管人相互独立的</w:t>
      </w:r>
      <w:r>
        <w:rPr>
          <w:bCs/>
          <w:sz w:val="24"/>
        </w:rPr>
        <w:t>符合《中华人民共和国证券法》规定</w:t>
      </w:r>
      <w:r>
        <w:rPr>
          <w:rFonts w:hint="eastAsia" w:hAnsi="宋体"/>
          <w:sz w:val="24"/>
          <w:szCs w:val="18"/>
        </w:rPr>
        <w:t>的会计师事务所及其注册会计师对本基金的年度财务报表进行审计。</w:t>
      </w:r>
    </w:p>
    <w:p w14:paraId="1BF19841">
      <w:pPr>
        <w:adjustRightInd w:val="0"/>
        <w:snapToGrid w:val="0"/>
        <w:spacing w:line="360" w:lineRule="auto"/>
        <w:ind w:firstLine="480" w:firstLineChars="200"/>
        <w:rPr>
          <w:rFonts w:hint="eastAsia" w:hAnsi="宋体"/>
          <w:sz w:val="24"/>
          <w:szCs w:val="18"/>
        </w:rPr>
      </w:pPr>
      <w:r>
        <w:rPr>
          <w:rFonts w:hint="eastAsia" w:hAnsi="宋体"/>
          <w:sz w:val="24"/>
          <w:szCs w:val="18"/>
        </w:rPr>
        <w:t>2、会计师事务所更换经办注册会计师，应事先征得基金管理人同意。</w:t>
      </w:r>
    </w:p>
    <w:p w14:paraId="770DD10A">
      <w:pPr>
        <w:adjustRightInd w:val="0"/>
        <w:snapToGrid w:val="0"/>
        <w:spacing w:line="360" w:lineRule="auto"/>
        <w:ind w:firstLine="480" w:firstLineChars="200"/>
        <w:rPr>
          <w:rFonts w:hint="eastAsia" w:hAnsi="宋体"/>
          <w:sz w:val="24"/>
          <w:szCs w:val="18"/>
        </w:rPr>
      </w:pPr>
      <w:r>
        <w:rPr>
          <w:rFonts w:hint="eastAsia" w:hAnsi="宋体"/>
          <w:sz w:val="24"/>
          <w:szCs w:val="18"/>
        </w:rPr>
        <w:t>3、基金管理人认为有充足理由更换会计师事务所，须通报基金托管人。更换会计师事务所需依照《信息披露办法》的规定在规定媒介公告。</w:t>
      </w:r>
    </w:p>
    <w:p w14:paraId="7928912C">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85"/>
      <w:bookmarkStart w:id="88" w:name="_Toc56690595"/>
      <w:bookmarkStart w:id="89" w:name="_Hlk195284408"/>
      <w:r>
        <w:rPr>
          <w:rFonts w:hint="eastAsia" w:ascii="宋体" w:hAnsi="宋体"/>
          <w:b/>
          <w:kern w:val="0"/>
          <w:sz w:val="30"/>
        </w:rPr>
        <w:t>十五、基金的信息披露</w:t>
      </w:r>
      <w:bookmarkEnd w:id="88"/>
    </w:p>
    <w:p w14:paraId="0AF75202">
      <w:pPr>
        <w:adjustRightInd w:val="0"/>
        <w:snapToGrid w:val="0"/>
        <w:spacing w:line="360" w:lineRule="auto"/>
        <w:ind w:firstLine="482" w:firstLineChars="200"/>
        <w:rPr>
          <w:rFonts w:hint="eastAsia"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w:t>
      </w:r>
      <w:r>
        <w:rPr>
          <w:rFonts w:hint="eastAsia"/>
          <w:bCs/>
          <w:sz w:val="24"/>
        </w:rPr>
        <w:t>相关法律法规关于信息披露的规定发生变化时，本基金从其最新规定。</w:t>
      </w:r>
    </w:p>
    <w:p w14:paraId="05F85F91">
      <w:pPr>
        <w:adjustRightInd w:val="0"/>
        <w:snapToGrid w:val="0"/>
        <w:spacing w:line="360" w:lineRule="auto"/>
        <w:ind w:firstLine="482" w:firstLineChars="200"/>
        <w:rPr>
          <w:b/>
          <w:sz w:val="24"/>
        </w:rPr>
      </w:pPr>
      <w:r>
        <w:rPr>
          <w:b/>
          <w:bCs/>
          <w:sz w:val="24"/>
        </w:rPr>
        <w:t>（二）信息披露义务人</w:t>
      </w:r>
    </w:p>
    <w:p w14:paraId="09F641D0">
      <w:pPr>
        <w:adjustRightInd w:val="0"/>
        <w:snapToGrid w:val="0"/>
        <w:spacing w:line="360" w:lineRule="auto"/>
        <w:ind w:firstLine="480" w:firstLineChars="200"/>
        <w:rPr>
          <w:rFonts w:hint="eastAsia" w:hAnsi="宋体"/>
          <w:sz w:val="24"/>
        </w:rPr>
      </w:pPr>
      <w:r>
        <w:rPr>
          <w:rFonts w:hint="eastAsia" w:hAnsi="宋体"/>
          <w:sz w:val="24"/>
        </w:rPr>
        <w:t>本基金信息披露义务人包括基金管理人、基金托管人、召集基金份额持有人大会的基金份额持有人等法律</w:t>
      </w:r>
      <w:r>
        <w:rPr>
          <w:rFonts w:hint="eastAsia"/>
          <w:bCs/>
          <w:sz w:val="24"/>
        </w:rPr>
        <w:t>、行政</w:t>
      </w:r>
      <w:r>
        <w:rPr>
          <w:rFonts w:hint="eastAsia" w:hAnsi="宋体"/>
          <w:sz w:val="24"/>
        </w:rPr>
        <w:t>法规和中国证监会规定的自然人、法人和非法人组织。</w:t>
      </w:r>
    </w:p>
    <w:p w14:paraId="2E94D045">
      <w:pPr>
        <w:adjustRightInd w:val="0"/>
        <w:snapToGrid w:val="0"/>
        <w:spacing w:line="360" w:lineRule="auto"/>
        <w:ind w:firstLine="480" w:firstLineChars="200"/>
        <w:rPr>
          <w:rFonts w:hint="eastAsia" w:hAnsi="宋体"/>
          <w:sz w:val="24"/>
        </w:rPr>
      </w:pPr>
      <w:r>
        <w:rPr>
          <w:rFonts w:hint="eastAsia"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7B0DC12D">
      <w:pPr>
        <w:adjustRightInd w:val="0"/>
        <w:snapToGrid w:val="0"/>
        <w:spacing w:line="360" w:lineRule="auto"/>
        <w:ind w:firstLine="480" w:firstLineChars="200"/>
        <w:rPr>
          <w:rFonts w:hint="eastAsia" w:hAnsi="宋体"/>
          <w:sz w:val="24"/>
        </w:rPr>
      </w:pPr>
      <w:r>
        <w:rPr>
          <w:rFonts w:hint="eastAsia" w:hAnsi="宋体"/>
          <w:sz w:val="24"/>
        </w:rPr>
        <w:t>本基金信息披露义务人应当在中国证监会规定时间内，将应予披露的基金信息通过</w:t>
      </w:r>
      <w:r>
        <w:rPr>
          <w:rFonts w:hint="eastAsia"/>
          <w:bCs/>
          <w:sz w:val="24"/>
        </w:rPr>
        <w:t>符合中国证监会规定条件的全国性报刊（以下简称“规定报刊”）及《信息披露办法》规定的互联网网站（以下简称“规定网站”）</w:t>
      </w:r>
      <w:r>
        <w:rPr>
          <w:rFonts w:hint="eastAsia" w:hAnsi="宋体"/>
          <w:sz w:val="24"/>
        </w:rPr>
        <w:t>等媒介披露，并保证基金投资者能够按照《基金合同》约定的时间和方式查阅或者复制公开披露的信息资料。</w:t>
      </w:r>
    </w:p>
    <w:p w14:paraId="541DB90F">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14:paraId="7503B505">
      <w:pPr>
        <w:adjustRightInd w:val="0"/>
        <w:snapToGrid w:val="0"/>
        <w:spacing w:line="360" w:lineRule="auto"/>
        <w:ind w:firstLine="480" w:firstLineChars="200"/>
        <w:rPr>
          <w:rFonts w:hint="eastAsia" w:hAnsi="宋体"/>
          <w:sz w:val="24"/>
        </w:rPr>
      </w:pPr>
      <w:r>
        <w:rPr>
          <w:rFonts w:hint="eastAsia" w:hAnsi="宋体"/>
          <w:sz w:val="24"/>
        </w:rPr>
        <w:t>1、虚假记载、误导性陈述或者重大遗漏；</w:t>
      </w:r>
    </w:p>
    <w:p w14:paraId="07A41166">
      <w:pPr>
        <w:adjustRightInd w:val="0"/>
        <w:snapToGrid w:val="0"/>
        <w:spacing w:line="360" w:lineRule="auto"/>
        <w:ind w:firstLine="480" w:firstLineChars="200"/>
        <w:rPr>
          <w:rFonts w:hint="eastAsia" w:hAnsi="宋体"/>
          <w:sz w:val="24"/>
        </w:rPr>
      </w:pPr>
      <w:r>
        <w:rPr>
          <w:rFonts w:hint="eastAsia" w:hAnsi="宋体"/>
          <w:sz w:val="24"/>
        </w:rPr>
        <w:t>2、对证券投资业绩进行预测；</w:t>
      </w:r>
    </w:p>
    <w:p w14:paraId="663DCF7D">
      <w:pPr>
        <w:adjustRightInd w:val="0"/>
        <w:snapToGrid w:val="0"/>
        <w:spacing w:line="360" w:lineRule="auto"/>
        <w:ind w:firstLine="480" w:firstLineChars="200"/>
        <w:rPr>
          <w:rFonts w:hint="eastAsia" w:hAnsi="宋体"/>
          <w:sz w:val="24"/>
        </w:rPr>
      </w:pPr>
      <w:r>
        <w:rPr>
          <w:rFonts w:hint="eastAsia" w:hAnsi="宋体"/>
          <w:sz w:val="24"/>
        </w:rPr>
        <w:t>3、违规承诺收益或者承担损失；</w:t>
      </w:r>
    </w:p>
    <w:p w14:paraId="1C8CC6A7">
      <w:pPr>
        <w:adjustRightInd w:val="0"/>
        <w:snapToGrid w:val="0"/>
        <w:spacing w:line="360" w:lineRule="auto"/>
        <w:ind w:firstLine="480" w:firstLineChars="200"/>
        <w:rPr>
          <w:rFonts w:hint="eastAsia" w:hAnsi="宋体"/>
          <w:sz w:val="24"/>
        </w:rPr>
      </w:pPr>
      <w:r>
        <w:rPr>
          <w:rFonts w:hint="eastAsia" w:hAnsi="宋体"/>
          <w:sz w:val="24"/>
        </w:rPr>
        <w:t>4、诋毁其他基金管理人、基金托管人或者基金销售机构；</w:t>
      </w:r>
    </w:p>
    <w:p w14:paraId="4550C31D">
      <w:pPr>
        <w:adjustRightInd w:val="0"/>
        <w:snapToGrid w:val="0"/>
        <w:spacing w:line="360" w:lineRule="auto"/>
        <w:ind w:firstLine="480" w:firstLineChars="200"/>
        <w:rPr>
          <w:rFonts w:hint="eastAsia" w:hAnsi="宋体"/>
          <w:sz w:val="24"/>
        </w:rPr>
      </w:pPr>
      <w:r>
        <w:rPr>
          <w:rFonts w:hint="eastAsia" w:hAnsi="宋体"/>
          <w:sz w:val="24"/>
        </w:rPr>
        <w:t>5、登载任何自然人、法人和非法人组织的祝贺性、恭维性或推荐性的文字；</w:t>
      </w:r>
    </w:p>
    <w:p w14:paraId="281BF340">
      <w:pPr>
        <w:adjustRightInd w:val="0"/>
        <w:snapToGrid w:val="0"/>
        <w:spacing w:line="360" w:lineRule="auto"/>
        <w:ind w:firstLine="480" w:firstLineChars="200"/>
        <w:rPr>
          <w:rFonts w:hint="eastAsia" w:hAnsi="宋体"/>
          <w:sz w:val="24"/>
        </w:rPr>
      </w:pPr>
      <w:r>
        <w:rPr>
          <w:rFonts w:hint="eastAsia" w:hAnsi="宋体"/>
          <w:sz w:val="24"/>
        </w:rPr>
        <w:t>6、中国证监会禁止的其他行为。</w:t>
      </w:r>
    </w:p>
    <w:p w14:paraId="6CBC3641">
      <w:pPr>
        <w:adjustRightInd w:val="0"/>
        <w:snapToGrid w:val="0"/>
        <w:spacing w:line="360" w:lineRule="auto"/>
        <w:ind w:firstLine="482" w:firstLineChars="200"/>
        <w:rPr>
          <w:rFonts w:hint="eastAsia" w:hAnsi="宋体"/>
          <w:sz w:val="24"/>
        </w:rPr>
      </w:pPr>
      <w:r>
        <w:rPr>
          <w:rFonts w:hAnsi="宋体"/>
          <w:b/>
          <w:sz w:val="24"/>
        </w:rPr>
        <w:t>（四）</w:t>
      </w:r>
      <w:r>
        <w:rPr>
          <w:rFonts w:hint="eastAsia" w:hAnsi="宋体"/>
          <w:sz w:val="24"/>
        </w:rPr>
        <w:t>本基金公开披露的信息应采用中文文本。如同时采用外文文本的，基金信息披露义务人应保证不同文本的内容一致。不同文本之间发生歧义的，以中文文本为准。</w:t>
      </w:r>
    </w:p>
    <w:p w14:paraId="166C014F">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14:paraId="4393AC5B">
      <w:pPr>
        <w:adjustRightInd w:val="0"/>
        <w:snapToGrid w:val="0"/>
        <w:spacing w:line="360" w:lineRule="auto"/>
        <w:ind w:firstLine="482" w:firstLineChars="200"/>
        <w:rPr>
          <w:b/>
          <w:sz w:val="24"/>
        </w:rPr>
      </w:pPr>
      <w:r>
        <w:rPr>
          <w:rFonts w:hAnsi="宋体"/>
          <w:b/>
          <w:sz w:val="24"/>
        </w:rPr>
        <w:t>（五）公开披露的基金信息</w:t>
      </w:r>
    </w:p>
    <w:p w14:paraId="680BDD11">
      <w:pPr>
        <w:adjustRightInd w:val="0"/>
        <w:snapToGrid w:val="0"/>
        <w:spacing w:line="360" w:lineRule="auto"/>
        <w:ind w:firstLine="480" w:firstLineChars="200"/>
        <w:rPr>
          <w:sz w:val="24"/>
        </w:rPr>
      </w:pPr>
      <w:r>
        <w:rPr>
          <w:rFonts w:hint="eastAsia"/>
          <w:bCs/>
          <w:sz w:val="24"/>
        </w:rPr>
        <w:t>公开披露的基金信息包括：</w:t>
      </w:r>
    </w:p>
    <w:p w14:paraId="2691FFA6">
      <w:pPr>
        <w:adjustRightInd w:val="0"/>
        <w:snapToGrid w:val="0"/>
        <w:spacing w:line="360" w:lineRule="auto"/>
        <w:ind w:firstLine="480" w:firstLineChars="200"/>
        <w:rPr>
          <w:bCs/>
          <w:sz w:val="24"/>
        </w:rPr>
      </w:pPr>
      <w:r>
        <w:rPr>
          <w:rFonts w:hint="eastAsia"/>
          <w:bCs/>
          <w:sz w:val="24"/>
        </w:rPr>
        <w:t>1、基金招募说明书、《基金合同》、基金托管协议、</w:t>
      </w:r>
      <w:r>
        <w:rPr>
          <w:bCs/>
          <w:sz w:val="24"/>
        </w:rPr>
        <w:t>基金产品资料概要</w:t>
      </w:r>
    </w:p>
    <w:p w14:paraId="6BD31380">
      <w:pPr>
        <w:adjustRightInd w:val="0"/>
        <w:snapToGrid w:val="0"/>
        <w:spacing w:line="360" w:lineRule="auto"/>
        <w:ind w:firstLine="480" w:firstLineChars="200"/>
        <w:rPr>
          <w:sz w:val="24"/>
        </w:rPr>
      </w:pPr>
      <w:r>
        <w:rPr>
          <w:rFonts w:hint="eastAsia"/>
          <w:sz w:val="24"/>
        </w:rPr>
        <w:t>（</w:t>
      </w:r>
      <w:r>
        <w:rPr>
          <w:sz w:val="24"/>
        </w:rPr>
        <w:t>1</w:t>
      </w:r>
      <w:r>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2385B911">
      <w:pPr>
        <w:adjustRightInd w:val="0"/>
        <w:snapToGrid w:val="0"/>
        <w:spacing w:line="360" w:lineRule="auto"/>
        <w:ind w:firstLine="480" w:firstLineChars="200"/>
        <w:rPr>
          <w:rFonts w:hint="eastAsia" w:hAnsi="宋体"/>
          <w:sz w:val="24"/>
        </w:rPr>
      </w:pPr>
      <w:r>
        <w:rPr>
          <w:rFonts w:hint="eastAsia"/>
          <w:sz w:val="24"/>
        </w:rPr>
        <w:t>（</w:t>
      </w:r>
      <w:r>
        <w:rPr>
          <w:sz w:val="24"/>
        </w:rPr>
        <w:t>2</w:t>
      </w:r>
      <w:r>
        <w:rPr>
          <w:rFonts w:hint="eastAsia"/>
          <w:sz w:val="24"/>
        </w:rPr>
        <w:t>）基金招募说明书应当最大限度地披露影响基金投资者决策的全部事项，说明基金认购、申购和赎回安排、基金投资、基金产品特性、风险揭示、信息披露及基金份额持有人服务等内容。《基金合同》生效</w:t>
      </w:r>
      <w:r>
        <w:rPr>
          <w:rFonts w:hint="eastAsia" w:hAnsi="宋体"/>
          <w:sz w:val="24"/>
        </w:rPr>
        <w:t>后，</w:t>
      </w:r>
      <w:r>
        <w:rPr>
          <w:rFonts w:hint="eastAsia"/>
          <w:sz w:val="24"/>
        </w:rPr>
        <w:t>基金</w:t>
      </w:r>
      <w:r>
        <w:rPr>
          <w:rFonts w:hint="eastAsia"/>
          <w:bCs/>
          <w:sz w:val="24"/>
        </w:rPr>
        <w:t>招募说明书的信息发生重大变更的，基金</w:t>
      </w:r>
      <w:r>
        <w:rPr>
          <w:rFonts w:hint="eastAsia"/>
          <w:sz w:val="24"/>
        </w:rPr>
        <w:t>管理人</w:t>
      </w:r>
      <w:r>
        <w:rPr>
          <w:rFonts w:hint="eastAsia"/>
          <w:bCs/>
          <w:sz w:val="24"/>
        </w:rPr>
        <w:t>应当</w:t>
      </w:r>
      <w:r>
        <w:rPr>
          <w:rFonts w:hint="eastAsia"/>
          <w:sz w:val="24"/>
        </w:rPr>
        <w:t>在</w:t>
      </w:r>
      <w:r>
        <w:rPr>
          <w:rFonts w:hint="eastAsia"/>
          <w:bCs/>
          <w:sz w:val="24"/>
        </w:rPr>
        <w:t>三个工作日内</w:t>
      </w:r>
      <w:r>
        <w:rPr>
          <w:rFonts w:hint="eastAsia"/>
          <w:sz w:val="24"/>
        </w:rPr>
        <w:t>，更新</w:t>
      </w:r>
      <w:r>
        <w:rPr>
          <w:rFonts w:hint="eastAsia"/>
          <w:bCs/>
          <w:sz w:val="24"/>
        </w:rPr>
        <w:t>基金</w:t>
      </w:r>
      <w:r>
        <w:rPr>
          <w:rFonts w:hint="eastAsia"/>
          <w:sz w:val="24"/>
        </w:rPr>
        <w:t>招募说明书并登载在</w:t>
      </w:r>
      <w:r>
        <w:rPr>
          <w:rFonts w:hint="eastAsia"/>
          <w:bCs/>
          <w:sz w:val="24"/>
        </w:rPr>
        <w:t>规定网站</w:t>
      </w:r>
      <w:r>
        <w:rPr>
          <w:rFonts w:hint="eastAsia"/>
          <w:sz w:val="24"/>
        </w:rPr>
        <w:t>上</w:t>
      </w:r>
      <w:r>
        <w:rPr>
          <w:rFonts w:hint="eastAsia"/>
          <w:bCs/>
          <w:sz w:val="24"/>
        </w:rPr>
        <w:t>；基金</w:t>
      </w:r>
      <w:r>
        <w:rPr>
          <w:rFonts w:hint="eastAsia"/>
          <w:sz w:val="24"/>
        </w:rPr>
        <w:t>招募说明书</w:t>
      </w:r>
      <w:r>
        <w:rPr>
          <w:rFonts w:hint="eastAsia"/>
          <w:bCs/>
          <w:sz w:val="24"/>
        </w:rPr>
        <w:t>其他信息发生变更的，</w:t>
      </w:r>
      <w:r>
        <w:rPr>
          <w:rFonts w:hint="eastAsia"/>
          <w:sz w:val="24"/>
        </w:rPr>
        <w:t>基金管理人</w:t>
      </w:r>
      <w:r>
        <w:rPr>
          <w:rFonts w:hint="eastAsia"/>
          <w:bCs/>
          <w:sz w:val="24"/>
        </w:rPr>
        <w:t>至少每年更新一次。基金终止运作的，基金管理人不再</w:t>
      </w:r>
      <w:r>
        <w:rPr>
          <w:rFonts w:hint="eastAsia"/>
          <w:sz w:val="24"/>
        </w:rPr>
        <w:t>更新基金招募说明书。</w:t>
      </w:r>
    </w:p>
    <w:p w14:paraId="5FF6BCEA">
      <w:pPr>
        <w:adjustRightInd w:val="0"/>
        <w:snapToGrid w:val="0"/>
        <w:spacing w:line="360" w:lineRule="auto"/>
        <w:ind w:firstLine="480" w:firstLineChars="200"/>
        <w:rPr>
          <w:bCs/>
          <w:sz w:val="24"/>
        </w:rPr>
      </w:pPr>
      <w:r>
        <w:rPr>
          <w:rFonts w:hint="eastAsia" w:hAnsi="宋体"/>
          <w:sz w:val="24"/>
        </w:rPr>
        <w:t>（3）基金托管协议是界定基金托</w:t>
      </w:r>
      <w:r>
        <w:rPr>
          <w:rFonts w:hint="eastAsia"/>
          <w:sz w:val="24"/>
        </w:rPr>
        <w:t>管人和基金管理人在基金财产保管及基金运作监督等活动中的权利、义务关系的法律文件。</w:t>
      </w:r>
    </w:p>
    <w:p w14:paraId="2CA71679">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6D6EB4A">
      <w:pPr>
        <w:adjustRightInd w:val="0"/>
        <w:snapToGrid w:val="0"/>
        <w:spacing w:line="360" w:lineRule="auto"/>
        <w:ind w:firstLine="480" w:firstLineChars="200"/>
        <w:rPr>
          <w:rFonts w:hint="eastAsia" w:hAnsi="宋体"/>
          <w:sz w:val="24"/>
        </w:rPr>
      </w:pPr>
      <w:r>
        <w:rPr>
          <w:rFonts w:hAnsi="宋体"/>
          <w:sz w:val="24"/>
        </w:rPr>
        <w:t>基金募集申请经中国证监会</w:t>
      </w:r>
      <w:r>
        <w:rPr>
          <w:rFonts w:hint="eastAsia" w:hAnsi="宋体"/>
          <w:sz w:val="24"/>
        </w:rPr>
        <w:t>注册</w:t>
      </w:r>
      <w:r>
        <w:rPr>
          <w:rFonts w:hAnsi="宋体"/>
          <w:sz w:val="24"/>
        </w:rPr>
        <w:t>后，基金管理人在基金份额发售的</w:t>
      </w:r>
      <w:r>
        <w:rPr>
          <w:rFonts w:hint="eastAsia" w:hAnsi="宋体"/>
          <w:sz w:val="24"/>
        </w:rPr>
        <w:t>三</w:t>
      </w:r>
      <w:r>
        <w:rPr>
          <w:rFonts w:hAnsi="宋体"/>
          <w:sz w:val="24"/>
        </w:rPr>
        <w:t>日前，</w:t>
      </w:r>
      <w:r>
        <w:rPr>
          <w:bCs/>
          <w:sz w:val="24"/>
        </w:rPr>
        <w:t>将</w:t>
      </w:r>
      <w:r>
        <w:rPr>
          <w:rFonts w:hint="eastAsia" w:hAnsi="宋体"/>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规定报刊上，将基金份额发售公告、基金招募说明书、基金产品资料概要、《基金合同》和基金托管协议登载在规定网站上，并将基金产品资料概要登载在基金销售机构网站或营业网点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r>
        <w:rPr>
          <w:rFonts w:hAnsi="宋体"/>
          <w:sz w:val="24"/>
        </w:rPr>
        <w:t>。</w:t>
      </w:r>
    </w:p>
    <w:p w14:paraId="114F55A2">
      <w:pPr>
        <w:adjustRightInd w:val="0"/>
        <w:snapToGrid w:val="0"/>
        <w:spacing w:line="360" w:lineRule="auto"/>
        <w:ind w:firstLine="480" w:firstLineChars="200"/>
        <w:rPr>
          <w:bCs/>
          <w:sz w:val="24"/>
        </w:rPr>
      </w:pPr>
      <w:r>
        <w:rPr>
          <w:rFonts w:hint="eastAsia"/>
          <w:bCs/>
          <w:sz w:val="24"/>
        </w:rPr>
        <w:t>2</w:t>
      </w:r>
      <w:r>
        <w:rPr>
          <w:rFonts w:hint="eastAsia" w:hAnsi="宋体"/>
          <w:sz w:val="24"/>
        </w:rPr>
        <w:t>、基金份额发售公告</w:t>
      </w:r>
    </w:p>
    <w:p w14:paraId="0856AA32">
      <w:pPr>
        <w:adjustRightInd w:val="0"/>
        <w:snapToGrid w:val="0"/>
        <w:spacing w:line="360" w:lineRule="auto"/>
        <w:ind w:firstLine="480" w:firstLineChars="200"/>
        <w:rPr>
          <w:rFonts w:hint="eastAsia" w:hAnsi="宋体"/>
          <w:sz w:val="24"/>
        </w:rPr>
      </w:pPr>
      <w:r>
        <w:rPr>
          <w:rFonts w:hint="eastAsia" w:hAnsi="宋体"/>
          <w:sz w:val="24"/>
        </w:rPr>
        <w:t>基金管理人应当就基金份额发售的具体事宜编制基金份额发售公告，并在披露招募说明书的当日登载于规定媒介上。</w:t>
      </w:r>
    </w:p>
    <w:p w14:paraId="533742C3">
      <w:pPr>
        <w:adjustRightInd w:val="0"/>
        <w:snapToGrid w:val="0"/>
        <w:spacing w:line="360" w:lineRule="auto"/>
        <w:ind w:firstLine="480" w:firstLineChars="200"/>
        <w:rPr>
          <w:bCs/>
          <w:sz w:val="24"/>
        </w:rPr>
      </w:pPr>
      <w:r>
        <w:rPr>
          <w:rFonts w:hint="eastAsia"/>
          <w:bCs/>
          <w:sz w:val="24"/>
        </w:rPr>
        <w:t>3</w:t>
      </w:r>
      <w:r>
        <w:rPr>
          <w:rFonts w:hint="eastAsia" w:hAnsi="宋体"/>
          <w:sz w:val="24"/>
        </w:rPr>
        <w:t>、</w:t>
      </w:r>
      <w:r>
        <w:rPr>
          <w:rFonts w:hint="eastAsia"/>
          <w:bCs/>
          <w:sz w:val="24"/>
        </w:rPr>
        <w:t>《基金合同》</w:t>
      </w:r>
      <w:r>
        <w:rPr>
          <w:rFonts w:hint="eastAsia" w:hAnsi="宋体"/>
          <w:sz w:val="24"/>
        </w:rPr>
        <w:t>生效公告</w:t>
      </w:r>
    </w:p>
    <w:p w14:paraId="015584B0">
      <w:pPr>
        <w:adjustRightInd w:val="0"/>
        <w:snapToGrid w:val="0"/>
        <w:spacing w:line="360" w:lineRule="auto"/>
        <w:ind w:firstLine="480" w:firstLineChars="200"/>
        <w:rPr>
          <w:rFonts w:hint="eastAsia" w:hAnsi="宋体"/>
          <w:sz w:val="24"/>
        </w:rPr>
      </w:pPr>
      <w:r>
        <w:rPr>
          <w:rFonts w:hint="eastAsia" w:hAnsi="宋体"/>
          <w:sz w:val="24"/>
        </w:rPr>
        <w:t>基金管理人应当在收到中国证监会确认文件的次日在规定媒介上登载《基金合同》生效公告。</w:t>
      </w:r>
    </w:p>
    <w:p w14:paraId="0806BB5A">
      <w:pPr>
        <w:adjustRightInd w:val="0"/>
        <w:snapToGrid w:val="0"/>
        <w:spacing w:line="360" w:lineRule="auto"/>
        <w:ind w:firstLine="480" w:firstLineChars="200"/>
        <w:rPr>
          <w:bCs/>
          <w:sz w:val="24"/>
        </w:rPr>
      </w:pPr>
      <w:r>
        <w:rPr>
          <w:rFonts w:hint="eastAsia"/>
          <w:bCs/>
          <w:sz w:val="24"/>
        </w:rPr>
        <w:t>4</w:t>
      </w:r>
      <w:r>
        <w:rPr>
          <w:rFonts w:hint="eastAsia" w:hAnsi="宋体"/>
          <w:sz w:val="24"/>
        </w:rPr>
        <w:t>、基金净值</w:t>
      </w:r>
      <w:r>
        <w:rPr>
          <w:rFonts w:hint="eastAsia"/>
          <w:bCs/>
          <w:sz w:val="24"/>
        </w:rPr>
        <w:t>信息</w:t>
      </w:r>
    </w:p>
    <w:p w14:paraId="2DBB906C">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《基金合同》生效后，在开始办理基金份额申购或者赎回前，基金管理人应当至少每周在规定网站分别披露一次基金份额净值和基金份额累计净值。</w:t>
      </w:r>
    </w:p>
    <w:p w14:paraId="43A18CA8">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在开始办理基金份额申购或者赎回后，基金管理人应当在不晚于每个开放日后的3个工作日内，通过规定网站、基金销售机构网站或者营业网点，分别披露开放日的基金份额净值和基金份额累计净值。</w:t>
      </w:r>
    </w:p>
    <w:p w14:paraId="1AC3A9A3">
      <w:pPr>
        <w:adjustRightInd w:val="0"/>
        <w:snapToGrid w:val="0"/>
        <w:spacing w:line="360" w:lineRule="auto"/>
        <w:ind w:firstLine="480" w:firstLineChars="200"/>
        <w:rPr>
          <w:sz w:val="24"/>
        </w:rPr>
      </w:pPr>
      <w:r>
        <w:rPr>
          <w:rFonts w:hint="eastAsia"/>
          <w:bCs/>
          <w:sz w:val="24"/>
        </w:rPr>
        <w:t>基金管理人应当在不晚于半年度和年度最后一日后的3个工作日内，在规定网站披露半年度和年度最后一日的基金份额净值和基金份额累计净值。</w:t>
      </w:r>
    </w:p>
    <w:p w14:paraId="3E814751">
      <w:pPr>
        <w:adjustRightInd w:val="0"/>
        <w:snapToGrid w:val="0"/>
        <w:spacing w:line="360" w:lineRule="auto"/>
        <w:ind w:firstLine="480" w:firstLineChars="200"/>
        <w:rPr>
          <w:bCs/>
          <w:sz w:val="24"/>
        </w:rPr>
      </w:pPr>
      <w:r>
        <w:rPr>
          <w:rFonts w:hint="eastAsia"/>
          <w:bCs/>
          <w:sz w:val="24"/>
        </w:rPr>
        <w:t>5</w:t>
      </w:r>
      <w:r>
        <w:rPr>
          <w:rFonts w:hint="eastAsia" w:hAnsi="宋体"/>
          <w:sz w:val="24"/>
        </w:rPr>
        <w:t>、基金份额申购、赎回价格</w:t>
      </w:r>
    </w:p>
    <w:p w14:paraId="4BDA29B2">
      <w:pPr>
        <w:adjustRightInd w:val="0"/>
        <w:snapToGrid w:val="0"/>
        <w:spacing w:line="360" w:lineRule="auto"/>
        <w:ind w:firstLine="480" w:firstLineChars="200"/>
        <w:rPr>
          <w:sz w:val="24"/>
        </w:rPr>
      </w:pPr>
      <w:r>
        <w:rPr>
          <w:rFonts w:hint="eastAsia" w:hAnsi="宋体"/>
          <w:sz w:val="24"/>
        </w:rPr>
        <w:t>基金管理人应当在《基金合同》、招募说明书等信息披露文件上载明基金份额申购、赎回价格的计算方式及有关申购、赎回费率，并保证投资者能够在基金销售机构</w:t>
      </w:r>
      <w:r>
        <w:rPr>
          <w:rFonts w:hint="eastAsia"/>
          <w:bCs/>
          <w:sz w:val="24"/>
        </w:rPr>
        <w:t>网站或营业网点</w:t>
      </w:r>
      <w:r>
        <w:rPr>
          <w:rFonts w:hint="eastAsia"/>
          <w:sz w:val="24"/>
        </w:rPr>
        <w:t>查阅或者复制前述信息资料。</w:t>
      </w:r>
    </w:p>
    <w:p w14:paraId="031EEDA3">
      <w:pPr>
        <w:adjustRightInd w:val="0"/>
        <w:snapToGrid w:val="0"/>
        <w:spacing w:line="360" w:lineRule="auto"/>
        <w:ind w:firstLine="480" w:firstLineChars="200"/>
        <w:rPr>
          <w:bCs/>
          <w:sz w:val="24"/>
        </w:rPr>
      </w:pPr>
      <w:r>
        <w:rPr>
          <w:rFonts w:hint="eastAsia"/>
          <w:bCs/>
          <w:sz w:val="24"/>
        </w:rPr>
        <w:t>6</w:t>
      </w:r>
      <w:r>
        <w:rPr>
          <w:rFonts w:hint="eastAsia" w:hAnsi="宋体"/>
          <w:sz w:val="24"/>
        </w:rPr>
        <w:t>、</w:t>
      </w:r>
      <w:r>
        <w:rPr>
          <w:rFonts w:hint="eastAsia"/>
          <w:bCs/>
          <w:sz w:val="24"/>
        </w:rPr>
        <w:t>基金定期报告，包括基金年度报告、基金中期报告和基金季度报告</w:t>
      </w:r>
    </w:p>
    <w:p w14:paraId="223A6896">
      <w:pPr>
        <w:adjustRightInd w:val="0"/>
        <w:snapToGrid w:val="0"/>
        <w:spacing w:line="360" w:lineRule="auto"/>
        <w:ind w:firstLine="480" w:firstLineChars="200"/>
        <w:rPr>
          <w:sz w:val="24"/>
        </w:rPr>
      </w:pPr>
      <w:r>
        <w:rPr>
          <w:rFonts w:hint="eastAsia" w:hAnsi="宋体"/>
          <w:sz w:val="24"/>
        </w:rPr>
        <w:t>基金管理人应当在每年结束之日起</w:t>
      </w:r>
      <w:r>
        <w:rPr>
          <w:rFonts w:hint="eastAsia"/>
          <w:bCs/>
          <w:sz w:val="24"/>
        </w:rPr>
        <w:t>三个月内</w:t>
      </w:r>
      <w:r>
        <w:rPr>
          <w:rFonts w:hint="eastAsia" w:hAnsi="宋体"/>
          <w:sz w:val="24"/>
        </w:rPr>
        <w:t>，编制完成基金年度报告，</w:t>
      </w:r>
      <w:r>
        <w:rPr>
          <w:rFonts w:hint="eastAsia"/>
          <w:bCs/>
          <w:sz w:val="24"/>
        </w:rPr>
        <w:t>将年度报告登载在规定网站上，</w:t>
      </w:r>
      <w:r>
        <w:rPr>
          <w:rFonts w:hint="eastAsia" w:hAnsi="宋体"/>
          <w:sz w:val="24"/>
        </w:rPr>
        <w:t>并将年度报告</w:t>
      </w:r>
      <w:r>
        <w:rPr>
          <w:rFonts w:hint="eastAsia"/>
          <w:bCs/>
          <w:sz w:val="24"/>
        </w:rPr>
        <w:t>提示性公告</w:t>
      </w:r>
      <w:r>
        <w:rPr>
          <w:rFonts w:hint="eastAsia"/>
          <w:sz w:val="24"/>
        </w:rPr>
        <w:t>登载在规定报刊上。基金年度报告</w:t>
      </w:r>
      <w:r>
        <w:rPr>
          <w:rFonts w:hint="eastAsia"/>
          <w:bCs/>
          <w:sz w:val="24"/>
        </w:rPr>
        <w:t>中</w:t>
      </w:r>
      <w:r>
        <w:rPr>
          <w:rFonts w:hint="eastAsia"/>
          <w:sz w:val="24"/>
        </w:rPr>
        <w:t>的财务会计报告应当经过</w:t>
      </w:r>
      <w:r>
        <w:rPr>
          <w:bCs/>
          <w:sz w:val="24"/>
        </w:rPr>
        <w:t>符合《中华人民共和国证券法》规定</w:t>
      </w:r>
      <w:r>
        <w:rPr>
          <w:rFonts w:hint="eastAsia"/>
          <w:bCs/>
          <w:sz w:val="24"/>
        </w:rPr>
        <w:t>的会计师事务所</w:t>
      </w:r>
      <w:r>
        <w:rPr>
          <w:rFonts w:hint="eastAsia"/>
          <w:sz w:val="24"/>
        </w:rPr>
        <w:t>审计。</w:t>
      </w:r>
    </w:p>
    <w:p w14:paraId="0534812D">
      <w:pPr>
        <w:adjustRightInd w:val="0"/>
        <w:snapToGrid w:val="0"/>
        <w:spacing w:line="360" w:lineRule="auto"/>
        <w:ind w:firstLine="480" w:firstLineChars="200"/>
        <w:rPr>
          <w:sz w:val="24"/>
        </w:rPr>
      </w:pPr>
      <w:r>
        <w:rPr>
          <w:rFonts w:hint="eastAsia"/>
          <w:sz w:val="24"/>
        </w:rPr>
        <w:t>基金管理人应当在上半年结束之日起</w:t>
      </w:r>
      <w:r>
        <w:rPr>
          <w:rFonts w:hint="eastAsia"/>
          <w:bCs/>
          <w:sz w:val="24"/>
        </w:rPr>
        <w:t>两个月内</w:t>
      </w:r>
      <w:r>
        <w:rPr>
          <w:rFonts w:hint="eastAsia"/>
          <w:sz w:val="24"/>
        </w:rPr>
        <w:t>，编制完成基金</w:t>
      </w:r>
      <w:r>
        <w:rPr>
          <w:rFonts w:hint="eastAsia"/>
          <w:bCs/>
          <w:sz w:val="24"/>
        </w:rPr>
        <w:t>中期</w:t>
      </w:r>
      <w:r>
        <w:rPr>
          <w:rFonts w:hint="eastAsia"/>
          <w:sz w:val="24"/>
        </w:rPr>
        <w:t>报告，将</w:t>
      </w:r>
      <w:r>
        <w:rPr>
          <w:rFonts w:hint="eastAsia"/>
          <w:bCs/>
          <w:sz w:val="24"/>
        </w:rPr>
        <w:t>中期</w:t>
      </w:r>
      <w:r>
        <w:rPr>
          <w:rFonts w:hint="eastAsia"/>
          <w:sz w:val="24"/>
        </w:rPr>
        <w:t>报告登载在</w:t>
      </w:r>
      <w:r>
        <w:rPr>
          <w:rFonts w:hint="eastAsia"/>
          <w:bCs/>
          <w:sz w:val="24"/>
        </w:rPr>
        <w:t>规定网站</w:t>
      </w:r>
      <w:r>
        <w:rPr>
          <w:rFonts w:hint="eastAsia"/>
          <w:sz w:val="24"/>
        </w:rPr>
        <w:t>上，</w:t>
      </w:r>
      <w:r>
        <w:rPr>
          <w:rFonts w:hint="eastAsia"/>
          <w:bCs/>
          <w:sz w:val="24"/>
        </w:rPr>
        <w:t>并</w:t>
      </w:r>
      <w:r>
        <w:rPr>
          <w:rFonts w:hint="eastAsia"/>
          <w:sz w:val="24"/>
        </w:rPr>
        <w:t>将</w:t>
      </w:r>
      <w:r>
        <w:rPr>
          <w:rFonts w:hint="eastAsia"/>
          <w:bCs/>
          <w:sz w:val="24"/>
        </w:rPr>
        <w:t>中期</w:t>
      </w:r>
      <w:r>
        <w:rPr>
          <w:rFonts w:hint="eastAsia"/>
          <w:sz w:val="24"/>
        </w:rPr>
        <w:t>报告</w:t>
      </w:r>
      <w:r>
        <w:rPr>
          <w:rFonts w:hint="eastAsia"/>
          <w:bCs/>
          <w:sz w:val="24"/>
        </w:rPr>
        <w:t>提示性公告</w:t>
      </w:r>
      <w:r>
        <w:rPr>
          <w:rFonts w:hint="eastAsia"/>
          <w:sz w:val="24"/>
        </w:rPr>
        <w:t>登载在规定报刊上。</w:t>
      </w:r>
    </w:p>
    <w:p w14:paraId="7CD88163">
      <w:pPr>
        <w:adjustRightInd w:val="0"/>
        <w:snapToGrid w:val="0"/>
        <w:spacing w:line="360" w:lineRule="auto"/>
        <w:ind w:firstLine="480" w:firstLineChars="200"/>
        <w:rPr>
          <w:sz w:val="24"/>
        </w:rPr>
      </w:pPr>
      <w:r>
        <w:rPr>
          <w:rFonts w:hint="eastAsia"/>
          <w:sz w:val="24"/>
        </w:rPr>
        <w:t>基金管理人应当在</w:t>
      </w:r>
      <w:r>
        <w:rPr>
          <w:rFonts w:hint="eastAsia"/>
          <w:bCs/>
          <w:sz w:val="24"/>
        </w:rPr>
        <w:t>季度</w:t>
      </w:r>
      <w:r>
        <w:rPr>
          <w:rFonts w:hint="eastAsia"/>
          <w:sz w:val="24"/>
        </w:rPr>
        <w:t>结束之日起15个工作日内，编制完成基金季度报告，</w:t>
      </w:r>
      <w:r>
        <w:rPr>
          <w:rFonts w:hint="eastAsia"/>
          <w:bCs/>
          <w:sz w:val="24"/>
        </w:rPr>
        <w:t>将季度报告登载在规定网站上，</w:t>
      </w:r>
      <w:r>
        <w:rPr>
          <w:rFonts w:hint="eastAsia"/>
          <w:sz w:val="24"/>
        </w:rPr>
        <w:t>并将季度报告</w:t>
      </w:r>
      <w:r>
        <w:rPr>
          <w:rFonts w:hint="eastAsia"/>
          <w:bCs/>
          <w:sz w:val="24"/>
        </w:rPr>
        <w:t>提示性公告</w:t>
      </w:r>
      <w:r>
        <w:rPr>
          <w:rFonts w:hint="eastAsia"/>
          <w:sz w:val="24"/>
        </w:rPr>
        <w:t>登载在规定报刊上。</w:t>
      </w:r>
    </w:p>
    <w:p w14:paraId="2A0A6F81">
      <w:pPr>
        <w:adjustRightInd w:val="0"/>
        <w:snapToGrid w:val="0"/>
        <w:spacing w:line="360" w:lineRule="auto"/>
        <w:ind w:firstLine="480" w:firstLineChars="200"/>
        <w:rPr>
          <w:sz w:val="24"/>
        </w:rPr>
      </w:pPr>
      <w:r>
        <w:rPr>
          <w:rFonts w:hint="eastAsia"/>
          <w:sz w:val="24"/>
        </w:rPr>
        <w:t>《基金合同》生效不足2个月的，基金管理人可以不编制当期季度报告、</w:t>
      </w:r>
      <w:r>
        <w:rPr>
          <w:rFonts w:hint="eastAsia"/>
          <w:bCs/>
          <w:sz w:val="24"/>
        </w:rPr>
        <w:t>中期</w:t>
      </w:r>
      <w:r>
        <w:rPr>
          <w:rFonts w:hint="eastAsia"/>
          <w:sz w:val="24"/>
        </w:rPr>
        <w:t>报告或者年度报告。</w:t>
      </w:r>
    </w:p>
    <w:p w14:paraId="51F644A2">
      <w:pPr>
        <w:adjustRightInd w:val="0"/>
        <w:snapToGrid w:val="0"/>
        <w:spacing w:line="360" w:lineRule="auto"/>
        <w:ind w:firstLine="480" w:firstLineChars="200"/>
        <w:rPr>
          <w:sz w:val="24"/>
        </w:rPr>
      </w:pPr>
      <w:r>
        <w:rPr>
          <w:rFonts w:hint="eastAsia"/>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4FC947C">
      <w:pPr>
        <w:adjustRightInd w:val="0"/>
        <w:snapToGrid w:val="0"/>
        <w:spacing w:line="360" w:lineRule="auto"/>
        <w:ind w:firstLine="480" w:firstLineChars="200"/>
        <w:rPr>
          <w:rFonts w:hint="eastAsia" w:hAnsi="宋体"/>
          <w:sz w:val="24"/>
        </w:rPr>
      </w:pPr>
      <w:r>
        <w:rPr>
          <w:rFonts w:hint="eastAsia"/>
          <w:sz w:val="24"/>
        </w:rPr>
        <w:t>基金管理人应当在基金年度报告和</w:t>
      </w:r>
      <w:r>
        <w:rPr>
          <w:rFonts w:hint="eastAsia"/>
          <w:bCs/>
          <w:sz w:val="24"/>
        </w:rPr>
        <w:t>中期</w:t>
      </w:r>
      <w:r>
        <w:rPr>
          <w:rFonts w:hint="eastAsia" w:hAnsi="宋体"/>
          <w:sz w:val="24"/>
        </w:rPr>
        <w:t>报告中披露基金组合资产情况及其流动性风险分析等。</w:t>
      </w:r>
    </w:p>
    <w:p w14:paraId="6FEFD968">
      <w:pPr>
        <w:adjustRightInd w:val="0"/>
        <w:snapToGrid w:val="0"/>
        <w:spacing w:line="360" w:lineRule="auto"/>
        <w:ind w:firstLine="480" w:firstLineChars="200"/>
        <w:rPr>
          <w:bCs/>
          <w:sz w:val="24"/>
        </w:rPr>
      </w:pPr>
      <w:r>
        <w:rPr>
          <w:rFonts w:hint="eastAsia"/>
          <w:bCs/>
          <w:sz w:val="24"/>
        </w:rPr>
        <w:t>7</w:t>
      </w:r>
      <w:r>
        <w:rPr>
          <w:rFonts w:hint="eastAsia" w:hAnsi="宋体"/>
          <w:sz w:val="24"/>
        </w:rPr>
        <w:t>、临时报告</w:t>
      </w:r>
    </w:p>
    <w:p w14:paraId="143061B0">
      <w:pPr>
        <w:adjustRightInd w:val="0"/>
        <w:snapToGrid w:val="0"/>
        <w:spacing w:line="360" w:lineRule="auto"/>
        <w:ind w:firstLine="480" w:firstLineChars="200"/>
        <w:rPr>
          <w:sz w:val="24"/>
        </w:rPr>
      </w:pPr>
      <w:bookmarkStart w:id="90" w:name="OLE_LINK79"/>
      <w:bookmarkStart w:id="91" w:name="OLE_LINK78"/>
      <w:r>
        <w:rPr>
          <w:rFonts w:hint="eastAsia"/>
          <w:sz w:val="24"/>
        </w:rPr>
        <w:t>本基金发生重大事件，有关信息披露义务人应当依照《信息披露办法》的规定编制临时报告书，并登载在规定报刊和规定网站上。</w:t>
      </w:r>
    </w:p>
    <w:p w14:paraId="32015EFA">
      <w:pPr>
        <w:adjustRightInd w:val="0"/>
        <w:snapToGrid w:val="0"/>
        <w:spacing w:line="360" w:lineRule="auto"/>
        <w:ind w:firstLine="480" w:firstLineChars="200"/>
        <w:rPr>
          <w:sz w:val="24"/>
        </w:rPr>
      </w:pPr>
      <w:r>
        <w:rPr>
          <w:rFonts w:hint="eastAsia"/>
          <w:sz w:val="24"/>
        </w:rPr>
        <w:t>前款所称重大事件，是指可能对基金份额持有人权益或者基金份额的价格产生重大影响的下列事件：</w:t>
      </w:r>
    </w:p>
    <w:p w14:paraId="6B55C253">
      <w:pPr>
        <w:adjustRightInd w:val="0"/>
        <w:snapToGrid w:val="0"/>
        <w:spacing w:line="360" w:lineRule="auto"/>
        <w:ind w:firstLine="480" w:firstLineChars="200"/>
        <w:rPr>
          <w:sz w:val="24"/>
        </w:rPr>
      </w:pPr>
      <w:r>
        <w:rPr>
          <w:rFonts w:hint="eastAsia"/>
          <w:sz w:val="24"/>
        </w:rPr>
        <w:t>（1）基金份额持有人大会的召开及决定的事项；</w:t>
      </w:r>
    </w:p>
    <w:p w14:paraId="7F2D9C95">
      <w:pPr>
        <w:adjustRightInd w:val="0"/>
        <w:snapToGrid w:val="0"/>
        <w:spacing w:line="360" w:lineRule="auto"/>
        <w:ind w:firstLine="480" w:firstLineChars="200"/>
        <w:rPr>
          <w:sz w:val="24"/>
        </w:rPr>
      </w:pPr>
      <w:r>
        <w:rPr>
          <w:rFonts w:hint="eastAsia"/>
          <w:sz w:val="24"/>
        </w:rPr>
        <w:t>（2）《基金合同》终止、基金清算；</w:t>
      </w:r>
    </w:p>
    <w:p w14:paraId="62388925">
      <w:pPr>
        <w:adjustRightInd w:val="0"/>
        <w:snapToGrid w:val="0"/>
        <w:spacing w:line="360" w:lineRule="auto"/>
        <w:ind w:firstLine="480" w:firstLineChars="200"/>
        <w:rPr>
          <w:sz w:val="24"/>
        </w:rPr>
      </w:pPr>
      <w:r>
        <w:rPr>
          <w:rFonts w:hint="eastAsia"/>
          <w:sz w:val="24"/>
        </w:rPr>
        <w:t>（3）转换基金运作方式、基金合并；</w:t>
      </w:r>
    </w:p>
    <w:p w14:paraId="16BC31CA">
      <w:pPr>
        <w:adjustRightInd w:val="0"/>
        <w:snapToGrid w:val="0"/>
        <w:spacing w:line="360" w:lineRule="auto"/>
        <w:ind w:firstLine="480" w:firstLineChars="200"/>
        <w:rPr>
          <w:sz w:val="24"/>
        </w:rPr>
      </w:pPr>
      <w:r>
        <w:rPr>
          <w:rFonts w:hint="eastAsia"/>
          <w:sz w:val="24"/>
        </w:rPr>
        <w:t>（4）更换基金管理人、基金托管人、基金份额登记机构，基金改聘会计师事务所；</w:t>
      </w:r>
    </w:p>
    <w:p w14:paraId="19B2F8A6">
      <w:pPr>
        <w:adjustRightInd w:val="0"/>
        <w:snapToGrid w:val="0"/>
        <w:spacing w:line="360" w:lineRule="auto"/>
        <w:ind w:firstLine="480" w:firstLineChars="200"/>
        <w:rPr>
          <w:sz w:val="24"/>
        </w:rPr>
      </w:pPr>
      <w:r>
        <w:rPr>
          <w:rFonts w:hint="eastAsia"/>
          <w:sz w:val="24"/>
        </w:rPr>
        <w:t>（5）基金管理人委托基金服务机构代为办理基金的份额登记、核算、估值等事项，基金托管人委托基金服务机构代为办理基金的核算、估值、复核等事项；</w:t>
      </w:r>
    </w:p>
    <w:p w14:paraId="40529C06">
      <w:pPr>
        <w:adjustRightInd w:val="0"/>
        <w:snapToGrid w:val="0"/>
        <w:spacing w:line="360" w:lineRule="auto"/>
        <w:ind w:firstLine="480" w:firstLineChars="200"/>
        <w:rPr>
          <w:sz w:val="24"/>
        </w:rPr>
      </w:pPr>
      <w:r>
        <w:rPr>
          <w:rFonts w:hint="eastAsia"/>
          <w:sz w:val="24"/>
        </w:rPr>
        <w:t>（6）基金管理人、基金托管人的法定名称、住所发生变更；</w:t>
      </w:r>
    </w:p>
    <w:p w14:paraId="0E4C0084">
      <w:pPr>
        <w:adjustRightInd w:val="0"/>
        <w:snapToGrid w:val="0"/>
        <w:spacing w:line="360" w:lineRule="auto"/>
        <w:ind w:firstLine="480" w:firstLineChars="200"/>
        <w:rPr>
          <w:sz w:val="24"/>
        </w:rPr>
      </w:pPr>
      <w:r>
        <w:rPr>
          <w:rFonts w:hint="eastAsia"/>
          <w:sz w:val="24"/>
        </w:rPr>
        <w:t>（7）基金管理人变更持有百分之五以上股权的股东、基金管理人的实际控制人变更；</w:t>
      </w:r>
    </w:p>
    <w:p w14:paraId="21B6413E">
      <w:pPr>
        <w:adjustRightInd w:val="0"/>
        <w:snapToGrid w:val="0"/>
        <w:spacing w:line="360" w:lineRule="auto"/>
        <w:ind w:firstLine="480" w:firstLineChars="200"/>
        <w:rPr>
          <w:sz w:val="24"/>
        </w:rPr>
      </w:pPr>
      <w:r>
        <w:rPr>
          <w:rFonts w:hint="eastAsia"/>
          <w:sz w:val="24"/>
        </w:rPr>
        <w:t>（8）基金募集期延长或提前结束募集；</w:t>
      </w:r>
    </w:p>
    <w:p w14:paraId="42714E69">
      <w:pPr>
        <w:adjustRightInd w:val="0"/>
        <w:snapToGrid w:val="0"/>
        <w:spacing w:line="360" w:lineRule="auto"/>
        <w:ind w:firstLine="480" w:firstLineChars="200"/>
        <w:rPr>
          <w:sz w:val="24"/>
        </w:rPr>
      </w:pPr>
      <w:r>
        <w:rPr>
          <w:rFonts w:hint="eastAsia"/>
          <w:sz w:val="24"/>
        </w:rPr>
        <w:t>（9）基金管理人的高级管理人员、基金经理和基金托管人专门基金托管部门负责人发生变动；</w:t>
      </w:r>
    </w:p>
    <w:p w14:paraId="6E04D4B6">
      <w:pPr>
        <w:adjustRightInd w:val="0"/>
        <w:snapToGrid w:val="0"/>
        <w:spacing w:line="360" w:lineRule="auto"/>
        <w:ind w:firstLine="480" w:firstLineChars="200"/>
        <w:rPr>
          <w:sz w:val="24"/>
        </w:rPr>
      </w:pPr>
      <w:r>
        <w:rPr>
          <w:rFonts w:hint="eastAsia"/>
          <w:sz w:val="24"/>
        </w:rPr>
        <w:t>（10）基金管理人的董事在最近12个月内变更超过百分之五十，基金管理人、基金托管人专门基金托管部门的主要业务人员在最近12个月内变动超过百分之三十；</w:t>
      </w:r>
    </w:p>
    <w:p w14:paraId="7B421412">
      <w:pPr>
        <w:adjustRightInd w:val="0"/>
        <w:snapToGrid w:val="0"/>
        <w:spacing w:line="360" w:lineRule="auto"/>
        <w:ind w:firstLine="480" w:firstLineChars="200"/>
        <w:rPr>
          <w:sz w:val="24"/>
        </w:rPr>
      </w:pPr>
      <w:r>
        <w:rPr>
          <w:rFonts w:hint="eastAsia"/>
          <w:sz w:val="24"/>
        </w:rPr>
        <w:t>（11）涉及基金财产、基金管理业务、基金托管业务的诉讼或仲裁；</w:t>
      </w:r>
    </w:p>
    <w:p w14:paraId="52B34EEA">
      <w:pPr>
        <w:adjustRightInd w:val="0"/>
        <w:snapToGrid w:val="0"/>
        <w:spacing w:line="360" w:lineRule="auto"/>
        <w:ind w:firstLine="480" w:firstLineChars="200"/>
        <w:rPr>
          <w:sz w:val="24"/>
        </w:rPr>
      </w:pPr>
      <w:r>
        <w:rPr>
          <w:rFonts w:hint="eastAsia"/>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45AC9AD1">
      <w:pPr>
        <w:adjustRightInd w:val="0"/>
        <w:snapToGrid w:val="0"/>
        <w:spacing w:line="360" w:lineRule="auto"/>
        <w:ind w:firstLine="480" w:firstLineChars="200"/>
        <w:rPr>
          <w:sz w:val="24"/>
        </w:rPr>
      </w:pPr>
      <w:r>
        <w:rPr>
          <w:rFonts w:hint="eastAsia"/>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622525E">
      <w:pPr>
        <w:adjustRightInd w:val="0"/>
        <w:snapToGrid w:val="0"/>
        <w:spacing w:line="360" w:lineRule="auto"/>
        <w:ind w:firstLine="480" w:firstLineChars="200"/>
        <w:rPr>
          <w:sz w:val="24"/>
        </w:rPr>
      </w:pPr>
      <w:r>
        <w:rPr>
          <w:rFonts w:hint="eastAsia"/>
          <w:sz w:val="24"/>
        </w:rPr>
        <w:t>（14）基金收益分配事项；</w:t>
      </w:r>
    </w:p>
    <w:p w14:paraId="7815C2FE">
      <w:pPr>
        <w:adjustRightInd w:val="0"/>
        <w:snapToGrid w:val="0"/>
        <w:spacing w:line="360" w:lineRule="auto"/>
        <w:ind w:firstLine="480" w:firstLineChars="200"/>
        <w:rPr>
          <w:sz w:val="24"/>
        </w:rPr>
      </w:pPr>
      <w:r>
        <w:rPr>
          <w:rFonts w:hint="eastAsia"/>
          <w:sz w:val="24"/>
        </w:rPr>
        <w:t>（15）管理费、托管费、申购费、赎回费等费用计提标准、计提方式和费率发生变更；</w:t>
      </w:r>
    </w:p>
    <w:p w14:paraId="69CF6CC3">
      <w:pPr>
        <w:adjustRightInd w:val="0"/>
        <w:snapToGrid w:val="0"/>
        <w:spacing w:line="360" w:lineRule="auto"/>
        <w:ind w:firstLine="480" w:firstLineChars="200"/>
        <w:rPr>
          <w:sz w:val="24"/>
        </w:rPr>
      </w:pPr>
      <w:r>
        <w:rPr>
          <w:rFonts w:hint="eastAsia"/>
          <w:sz w:val="24"/>
        </w:rPr>
        <w:t>（16）基金份额净值计价错误达基金份额净值百分之零点五；</w:t>
      </w:r>
    </w:p>
    <w:p w14:paraId="6D38C811">
      <w:pPr>
        <w:adjustRightInd w:val="0"/>
        <w:snapToGrid w:val="0"/>
        <w:spacing w:line="360" w:lineRule="auto"/>
        <w:ind w:firstLine="480" w:firstLineChars="200"/>
        <w:rPr>
          <w:sz w:val="24"/>
        </w:rPr>
      </w:pPr>
      <w:r>
        <w:rPr>
          <w:rFonts w:hint="eastAsia"/>
          <w:sz w:val="24"/>
        </w:rPr>
        <w:t>（17）本基金开始办理申购、赎回；</w:t>
      </w:r>
    </w:p>
    <w:p w14:paraId="3DD27FA3">
      <w:pPr>
        <w:adjustRightInd w:val="0"/>
        <w:snapToGrid w:val="0"/>
        <w:spacing w:line="360" w:lineRule="auto"/>
        <w:ind w:firstLine="480" w:firstLineChars="200"/>
        <w:rPr>
          <w:sz w:val="24"/>
        </w:rPr>
      </w:pPr>
      <w:r>
        <w:rPr>
          <w:rFonts w:hint="eastAsia"/>
          <w:sz w:val="24"/>
        </w:rPr>
        <w:t>（18）本基金发生巨额赎回并延期办理；</w:t>
      </w:r>
    </w:p>
    <w:p w14:paraId="4BA9FB40">
      <w:pPr>
        <w:adjustRightInd w:val="0"/>
        <w:snapToGrid w:val="0"/>
        <w:spacing w:line="360" w:lineRule="auto"/>
        <w:ind w:firstLine="480" w:firstLineChars="200"/>
        <w:rPr>
          <w:sz w:val="24"/>
        </w:rPr>
      </w:pPr>
      <w:r>
        <w:rPr>
          <w:rFonts w:hint="eastAsia"/>
          <w:sz w:val="24"/>
        </w:rPr>
        <w:t>（19）本基金连续发生巨额赎回并暂停接受赎回申请或延缓支付赎回款项；</w:t>
      </w:r>
    </w:p>
    <w:p w14:paraId="5CBD6A2F">
      <w:pPr>
        <w:adjustRightInd w:val="0"/>
        <w:snapToGrid w:val="0"/>
        <w:spacing w:line="360" w:lineRule="auto"/>
        <w:ind w:firstLine="480" w:firstLineChars="200"/>
        <w:rPr>
          <w:sz w:val="24"/>
        </w:rPr>
      </w:pPr>
      <w:r>
        <w:rPr>
          <w:rFonts w:hint="eastAsia"/>
          <w:sz w:val="24"/>
        </w:rPr>
        <w:t>（20）本基金暂停接受申购、赎回申请或重新接受申购、赎回申请；</w:t>
      </w:r>
    </w:p>
    <w:p w14:paraId="01ECE895">
      <w:pPr>
        <w:adjustRightInd w:val="0"/>
        <w:snapToGrid w:val="0"/>
        <w:spacing w:line="360" w:lineRule="auto"/>
        <w:ind w:firstLine="480" w:firstLineChars="200"/>
        <w:rPr>
          <w:sz w:val="24"/>
        </w:rPr>
      </w:pPr>
      <w:r>
        <w:rPr>
          <w:rFonts w:hint="eastAsia"/>
          <w:sz w:val="24"/>
        </w:rPr>
        <w:t>（21）发生涉及基金申购、赎回事项调整或潜在影响投资者赎回等重大事项时；</w:t>
      </w:r>
    </w:p>
    <w:p w14:paraId="305BC834">
      <w:pPr>
        <w:adjustRightInd w:val="0"/>
        <w:snapToGrid w:val="0"/>
        <w:spacing w:line="360" w:lineRule="auto"/>
        <w:ind w:firstLine="480" w:firstLineChars="200"/>
        <w:rPr>
          <w:sz w:val="24"/>
        </w:rPr>
      </w:pPr>
      <w:r>
        <w:rPr>
          <w:rFonts w:hint="eastAsia"/>
          <w:sz w:val="24"/>
        </w:rPr>
        <w:t>（22）基金管理人采用摆动定价机制进行估值；</w:t>
      </w:r>
    </w:p>
    <w:p w14:paraId="25CC2363">
      <w:pPr>
        <w:adjustRightInd w:val="0"/>
        <w:snapToGrid w:val="0"/>
        <w:spacing w:line="360" w:lineRule="auto"/>
        <w:ind w:firstLine="480" w:firstLineChars="200"/>
        <w:rPr>
          <w:sz w:val="24"/>
        </w:rPr>
      </w:pPr>
      <w:r>
        <w:rPr>
          <w:rFonts w:hint="eastAsia"/>
          <w:sz w:val="24"/>
        </w:rPr>
        <w:t>（23）本基金增加或调整基金份额类别；</w:t>
      </w:r>
    </w:p>
    <w:p w14:paraId="7136F06F">
      <w:pPr>
        <w:adjustRightInd w:val="0"/>
        <w:snapToGrid w:val="0"/>
        <w:spacing w:line="360" w:lineRule="auto"/>
        <w:ind w:firstLine="480" w:firstLineChars="200"/>
        <w:rPr>
          <w:sz w:val="24"/>
        </w:rPr>
      </w:pPr>
      <w:r>
        <w:rPr>
          <w:rFonts w:hint="eastAsia"/>
          <w:sz w:val="24"/>
        </w:rPr>
        <w:t>（24）本基金推出新业务或服务；</w:t>
      </w:r>
    </w:p>
    <w:p w14:paraId="2592178C">
      <w:pPr>
        <w:adjustRightInd w:val="0"/>
        <w:snapToGrid w:val="0"/>
        <w:spacing w:line="360" w:lineRule="auto"/>
        <w:ind w:firstLine="480" w:firstLineChars="200"/>
        <w:rPr>
          <w:bCs/>
          <w:sz w:val="24"/>
        </w:rPr>
      </w:pPr>
      <w:r>
        <w:rPr>
          <w:rFonts w:hint="eastAsia"/>
          <w:sz w:val="24"/>
        </w:rPr>
        <w:t>（25）基金信息披露义务人认为可能对基金份额持有人权益或者基金份额的价格产生重大影响的其他事项或中国证监会规定和基金合同约定的其他事项。</w:t>
      </w:r>
      <w:bookmarkEnd w:id="90"/>
      <w:bookmarkEnd w:id="91"/>
    </w:p>
    <w:p w14:paraId="7CA08EBC">
      <w:pPr>
        <w:adjustRightInd w:val="0"/>
        <w:snapToGrid w:val="0"/>
        <w:spacing w:line="360" w:lineRule="auto"/>
        <w:ind w:firstLine="480" w:firstLineChars="200"/>
        <w:rPr>
          <w:bCs/>
          <w:sz w:val="24"/>
        </w:rPr>
      </w:pPr>
      <w:r>
        <w:rPr>
          <w:rFonts w:hint="eastAsia"/>
          <w:bCs/>
          <w:sz w:val="24"/>
        </w:rPr>
        <w:t>8</w:t>
      </w:r>
      <w:r>
        <w:rPr>
          <w:rFonts w:hint="eastAsia"/>
          <w:sz w:val="24"/>
        </w:rPr>
        <w:t>、澄清公告</w:t>
      </w:r>
    </w:p>
    <w:p w14:paraId="5A3CF716">
      <w:pPr>
        <w:adjustRightInd w:val="0"/>
        <w:snapToGrid w:val="0"/>
        <w:spacing w:line="360" w:lineRule="auto"/>
        <w:ind w:firstLine="480" w:firstLineChars="200"/>
        <w:rPr>
          <w:sz w:val="24"/>
        </w:rPr>
      </w:pPr>
      <w:r>
        <w:rPr>
          <w:rFonts w:hint="eastAsia"/>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int="eastAsia"/>
          <w:sz w:val="24"/>
        </w:rPr>
        <w:t>的，相关信息披露义务人知悉后应当立即对该消息进行公开澄清。</w:t>
      </w:r>
    </w:p>
    <w:p w14:paraId="2FDF2B7A">
      <w:pPr>
        <w:adjustRightInd w:val="0"/>
        <w:snapToGrid w:val="0"/>
        <w:spacing w:line="360" w:lineRule="auto"/>
        <w:ind w:firstLine="480" w:firstLineChars="200"/>
        <w:rPr>
          <w:bCs/>
          <w:sz w:val="24"/>
        </w:rPr>
      </w:pPr>
      <w:r>
        <w:rPr>
          <w:rFonts w:hint="eastAsia"/>
          <w:bCs/>
          <w:sz w:val="24"/>
        </w:rPr>
        <w:t>9</w:t>
      </w:r>
      <w:r>
        <w:rPr>
          <w:rFonts w:hint="eastAsia"/>
          <w:sz w:val="24"/>
        </w:rPr>
        <w:t>、基金份额持有人大会决议</w:t>
      </w:r>
    </w:p>
    <w:p w14:paraId="0C6FBADB">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14:paraId="78A6A3D8">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786149A5">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、实施侧袋机制期间的信息披露</w:t>
      </w:r>
    </w:p>
    <w:p w14:paraId="04642F1B">
      <w:pPr>
        <w:adjustRightInd w:val="0"/>
        <w:snapToGrid w:val="0"/>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本基金实施侧袋机制的，相关信息披露义务人应当根据法律法规、基金合同和招募说明书的规定进行信息披露，详见本招募说明书“侧袋机制”部分的规定。</w:t>
      </w:r>
    </w:p>
    <w:p w14:paraId="7A880AB9">
      <w:pPr>
        <w:adjustRightInd w:val="0"/>
        <w:snapToGrid w:val="0"/>
        <w:spacing w:line="360" w:lineRule="auto"/>
        <w:ind w:firstLine="480" w:firstLineChars="200"/>
        <w:rPr>
          <w:bCs/>
          <w:sz w:val="24"/>
        </w:rPr>
      </w:pPr>
      <w:r>
        <w:rPr>
          <w:rFonts w:hint="eastAsia"/>
          <w:bCs/>
          <w:sz w:val="24"/>
        </w:rPr>
        <w:t>11、清算报告</w:t>
      </w:r>
    </w:p>
    <w:p w14:paraId="1B0164AB">
      <w:pPr>
        <w:adjustRightInd w:val="0"/>
        <w:snapToGrid w:val="0"/>
        <w:spacing w:line="360" w:lineRule="auto"/>
        <w:ind w:firstLine="480" w:firstLineChars="20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1E5A53A3">
      <w:pPr>
        <w:adjustRightInd w:val="0"/>
        <w:snapToGrid w:val="0"/>
        <w:spacing w:line="360" w:lineRule="auto"/>
        <w:ind w:firstLine="480" w:firstLineChars="200"/>
        <w:rPr>
          <w:bCs/>
          <w:sz w:val="24"/>
        </w:rPr>
      </w:pPr>
      <w:r>
        <w:rPr>
          <w:rFonts w:hint="eastAsia"/>
          <w:bCs/>
          <w:sz w:val="24"/>
        </w:rPr>
        <w:t>12、基金投资资产支持证券情况</w:t>
      </w:r>
    </w:p>
    <w:p w14:paraId="7F5E45DF">
      <w:pPr>
        <w:adjustRightInd w:val="0"/>
        <w:snapToGrid w:val="0"/>
        <w:spacing w:line="360" w:lineRule="auto"/>
        <w:ind w:firstLine="480" w:firstLineChars="20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30BD579B">
      <w:pPr>
        <w:adjustRightInd w:val="0"/>
        <w:snapToGrid w:val="0"/>
        <w:spacing w:line="360" w:lineRule="auto"/>
        <w:ind w:firstLine="480" w:firstLineChars="200"/>
        <w:rPr>
          <w:bCs/>
          <w:sz w:val="24"/>
        </w:rPr>
      </w:pPr>
      <w:r>
        <w:rPr>
          <w:bCs/>
          <w:sz w:val="24"/>
        </w:rPr>
        <w:t>13</w:t>
      </w:r>
      <w:r>
        <w:rPr>
          <w:rFonts w:hint="eastAsia"/>
          <w:bCs/>
          <w:sz w:val="24"/>
        </w:rPr>
        <w:t>、基金投资证券投资基金情况</w:t>
      </w:r>
    </w:p>
    <w:p w14:paraId="6C0BEAA4">
      <w:pPr>
        <w:adjustRightInd w:val="0"/>
        <w:snapToGrid w:val="0"/>
        <w:spacing w:line="360" w:lineRule="auto"/>
        <w:ind w:firstLine="480" w:firstLineChars="200"/>
        <w:rPr>
          <w:bCs/>
          <w:sz w:val="24"/>
        </w:rPr>
      </w:pPr>
      <w:r>
        <w:rPr>
          <w:rFonts w:hint="eastAsia"/>
          <w:bCs/>
          <w:sz w:val="24"/>
        </w:rPr>
        <w:t>本基金在定期报告和招募说明书（更新）中应设立专门章节披露所持基金的相关情况并揭示相关风险：（1）投资策略、持仓情况、损益情况、净值披露时间等；（2）交易及持有基金产生的费用，包括申购费、赎回费、</w:t>
      </w:r>
      <w:r>
        <w:rPr>
          <w:rFonts w:hint="eastAsia" w:hAnsi="宋体"/>
          <w:sz w:val="24"/>
        </w:rPr>
        <w:t>销售服务费、</w:t>
      </w:r>
      <w:r>
        <w:rPr>
          <w:rFonts w:hint="eastAsia"/>
          <w:bCs/>
          <w:sz w:val="24"/>
        </w:rPr>
        <w:t>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74C4E7F4">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基金投资港股通股票情况</w:t>
      </w:r>
    </w:p>
    <w:p w14:paraId="7275664A">
      <w:pPr>
        <w:adjustRightInd w:val="0"/>
        <w:snapToGrid w:val="0"/>
        <w:spacing w:line="360" w:lineRule="auto"/>
        <w:ind w:firstLine="480" w:firstLineChars="200"/>
        <w:rPr>
          <w:bCs/>
          <w:sz w:val="24"/>
        </w:rPr>
      </w:pPr>
      <w:r>
        <w:rPr>
          <w:rFonts w:hint="eastAsia"/>
          <w:bCs/>
          <w:sz w:val="24"/>
        </w:rPr>
        <w:t>本基金可投资港股通股票，基金应当在季度报告、中期报告、年度报告等定期报告和招募说明书（更新）等文件中披露港股通股票的投资情况。法律法规或中国证监会另有规定的，从其规定。</w:t>
      </w:r>
    </w:p>
    <w:p w14:paraId="1DB921FD">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、本基金可投资港股通ETF，基金管理人将按相关法律法规要求进行披露。</w:t>
      </w:r>
    </w:p>
    <w:p w14:paraId="3576015D">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w:t>
      </w:r>
      <w:r>
        <w:rPr>
          <w:rFonts w:hint="eastAsia" w:hAnsi="宋体"/>
          <w:sz w:val="24"/>
        </w:rPr>
        <w:t>中国证监会规定的其他信息。</w:t>
      </w:r>
    </w:p>
    <w:p w14:paraId="1EDDF6AA">
      <w:pPr>
        <w:adjustRightInd w:val="0"/>
        <w:snapToGrid w:val="0"/>
        <w:spacing w:line="360" w:lineRule="auto"/>
        <w:ind w:firstLine="482" w:firstLineChars="200"/>
        <w:rPr>
          <w:b/>
          <w:bCs/>
          <w:sz w:val="24"/>
        </w:rPr>
      </w:pPr>
      <w:r>
        <w:rPr>
          <w:b/>
          <w:bCs/>
          <w:sz w:val="24"/>
        </w:rPr>
        <w:t>（六）信息披露事务管理</w:t>
      </w:r>
    </w:p>
    <w:p w14:paraId="3ABBE1C1">
      <w:pPr>
        <w:adjustRightInd w:val="0"/>
        <w:snapToGrid w:val="0"/>
        <w:spacing w:line="360" w:lineRule="auto"/>
        <w:ind w:firstLine="480" w:firstLineChars="200"/>
        <w:rPr>
          <w:rFonts w:hint="eastAsia" w:hAnsi="宋体"/>
          <w:sz w:val="24"/>
        </w:rPr>
      </w:pPr>
      <w:r>
        <w:rPr>
          <w:rFonts w:hint="eastAsia" w:hAnsi="宋体"/>
          <w:sz w:val="24"/>
        </w:rPr>
        <w:t>基金管理人、基金托管人应当建立健全信息披露管理制度，指定专门部门及高级管理人员负责管理信息披露事务。</w:t>
      </w:r>
    </w:p>
    <w:p w14:paraId="64C54649">
      <w:pPr>
        <w:adjustRightInd w:val="0"/>
        <w:snapToGrid w:val="0"/>
        <w:spacing w:line="360" w:lineRule="auto"/>
        <w:ind w:firstLine="480" w:firstLineChars="200"/>
        <w:rPr>
          <w:rFonts w:hint="eastAsia" w:hAnsi="宋体"/>
          <w:sz w:val="24"/>
        </w:rPr>
      </w:pPr>
      <w:r>
        <w:rPr>
          <w:rFonts w:hint="eastAsia" w:hAnsi="宋体"/>
          <w:sz w:val="24"/>
        </w:rPr>
        <w:t>基金信息披露义务人公开披露基金信息，应当符合中国证监会相关基金信息披露内容与格式准则等法律法规的规定。</w:t>
      </w:r>
    </w:p>
    <w:p w14:paraId="6E5097AB">
      <w:pPr>
        <w:adjustRightInd w:val="0"/>
        <w:snapToGrid w:val="0"/>
        <w:spacing w:line="360" w:lineRule="auto"/>
        <w:ind w:firstLine="480" w:firstLineChars="200"/>
        <w:rPr>
          <w:rFonts w:hint="eastAsia" w:hAnsi="宋体"/>
          <w:sz w:val="24"/>
        </w:rPr>
      </w:pPr>
      <w:r>
        <w:rPr>
          <w:rFonts w:hint="eastAsia" w:hAnsi="宋体"/>
          <w:sz w:val="24"/>
        </w:rPr>
        <w:t>基金托管人应当按照相关法律法规、中国证监会的规定和《基金合同》的约定，对基金管理人编制的基金资产净值、基金份额净值、基金份额申购赎回价格、基金定期报告、更新的招募说明书、</w:t>
      </w:r>
      <w:r>
        <w:rPr>
          <w:rFonts w:hint="eastAsia"/>
          <w:sz w:val="24"/>
        </w:rPr>
        <w:t>基金</w:t>
      </w:r>
      <w:r>
        <w:rPr>
          <w:rFonts w:hint="eastAsia"/>
          <w:bCs/>
          <w:sz w:val="24"/>
        </w:rPr>
        <w:t>产品资料概要、</w:t>
      </w:r>
      <w:r>
        <w:rPr>
          <w:rFonts w:hint="eastAsia" w:hAnsi="宋体"/>
          <w:sz w:val="24"/>
        </w:rPr>
        <w:t>基金清算报告等相关基金信息进行复核、审查，并向基金管理人进行书面或电子确认。</w:t>
      </w:r>
    </w:p>
    <w:p w14:paraId="3FE35CC9">
      <w:pPr>
        <w:adjustRightInd w:val="0"/>
        <w:snapToGrid w:val="0"/>
        <w:spacing w:line="360" w:lineRule="auto"/>
        <w:ind w:firstLine="480" w:firstLineChars="200"/>
        <w:rPr>
          <w:rFonts w:hint="eastAsia" w:hAnsi="宋体"/>
          <w:sz w:val="24"/>
        </w:rPr>
      </w:pPr>
      <w:r>
        <w:rPr>
          <w:rFonts w:hint="eastAsia" w:hAnsi="宋体"/>
          <w:sz w:val="24"/>
        </w:rPr>
        <w:t>基金管理人、基金托管人应当在规定报刊中选择</w:t>
      </w:r>
      <w:r>
        <w:rPr>
          <w:sz w:val="24"/>
        </w:rPr>
        <w:t>披露信息</w:t>
      </w:r>
      <w:r>
        <w:rPr>
          <w:bCs/>
          <w:sz w:val="24"/>
        </w:rPr>
        <w:t>的</w:t>
      </w:r>
      <w:r>
        <w:rPr>
          <w:rFonts w:hint="eastAsia"/>
          <w:bCs/>
          <w:sz w:val="24"/>
        </w:rPr>
        <w:t>报刊</w:t>
      </w:r>
      <w:r>
        <w:rPr>
          <w:rFonts w:hint="eastAsia" w:hAnsi="宋体"/>
          <w:sz w:val="24"/>
        </w:rPr>
        <w:t>。基金管理人、基金托管人应当向中国证监会基金电子披露网站报送拟披露的基金信息，并保证相关报送信息的真实、准确、完整、及时。</w:t>
      </w:r>
    </w:p>
    <w:p w14:paraId="2C9EE941">
      <w:pPr>
        <w:adjustRightInd w:val="0"/>
        <w:snapToGrid w:val="0"/>
        <w:spacing w:line="360" w:lineRule="auto"/>
        <w:ind w:firstLine="480" w:firstLineChars="200"/>
        <w:rPr>
          <w:rFonts w:hint="eastAsia"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3911B419">
      <w:pPr>
        <w:adjustRightInd w:val="0"/>
        <w:snapToGrid w:val="0"/>
        <w:spacing w:line="360" w:lineRule="auto"/>
        <w:ind w:firstLine="480" w:firstLineChars="200"/>
        <w:rPr>
          <w:rFonts w:hint="eastAsia"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14:paraId="30C31B79">
      <w:pPr>
        <w:adjustRightInd w:val="0"/>
        <w:snapToGrid w:val="0"/>
        <w:spacing w:line="360" w:lineRule="auto"/>
        <w:ind w:firstLine="480" w:firstLineChars="200"/>
        <w:rPr>
          <w:rFonts w:hint="eastAsia" w:hAnsi="宋体"/>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CF56E5D">
      <w:pPr>
        <w:adjustRightInd w:val="0"/>
        <w:snapToGrid w:val="0"/>
        <w:spacing w:line="360" w:lineRule="auto"/>
        <w:ind w:firstLine="482" w:firstLineChars="200"/>
        <w:rPr>
          <w:b/>
          <w:sz w:val="24"/>
        </w:rPr>
      </w:pPr>
      <w:r>
        <w:rPr>
          <w:rFonts w:hAnsi="宋体"/>
          <w:b/>
          <w:sz w:val="24"/>
        </w:rPr>
        <w:t>（七）信息披露文件的存放与查阅</w:t>
      </w:r>
    </w:p>
    <w:p w14:paraId="783AACB8">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p>
    <w:p w14:paraId="4FA13CE3">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89"/>
      <w:bookmarkStart w:id="92" w:name="_Toc56690596"/>
      <w:r>
        <w:rPr>
          <w:rFonts w:hint="eastAsia" w:ascii="宋体" w:hAnsi="宋体"/>
          <w:b/>
          <w:kern w:val="0"/>
          <w:sz w:val="30"/>
        </w:rPr>
        <w:t>十六、侧袋</w:t>
      </w:r>
      <w:r>
        <w:rPr>
          <w:rFonts w:ascii="宋体" w:hAnsi="宋体"/>
          <w:b/>
          <w:kern w:val="0"/>
          <w:sz w:val="30"/>
        </w:rPr>
        <w:t>机制</w:t>
      </w:r>
      <w:bookmarkEnd w:id="92"/>
    </w:p>
    <w:p w14:paraId="45104621">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（一）侧袋机制的实施条件</w:t>
      </w:r>
    </w:p>
    <w:p w14:paraId="27C7C07A">
      <w:pPr>
        <w:adjustRightInd w:val="0"/>
        <w:snapToGrid w:val="0"/>
        <w:spacing w:line="360" w:lineRule="auto"/>
        <w:ind w:firstLine="480" w:firstLineChars="200"/>
        <w:rPr>
          <w:rFonts w:hint="eastAsia"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A8D121D">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基金管理人应当在启用侧袋机制后及时发布临时公告，</w:t>
      </w:r>
      <w:bookmarkStart w:id="93" w:name="_Hlk45746268"/>
      <w:r>
        <w:rPr>
          <w:rFonts w:hint="eastAsia" w:hAnsi="宋体"/>
          <w:bCs/>
          <w:sz w:val="24"/>
          <w:szCs w:val="24"/>
        </w:rPr>
        <w:t>并在</w:t>
      </w:r>
      <w:bookmarkStart w:id="94" w:name="_Hlk45746204"/>
      <w:r>
        <w:rPr>
          <w:rFonts w:hint="eastAsia" w:hAnsi="宋体"/>
          <w:bCs/>
          <w:sz w:val="24"/>
          <w:szCs w:val="24"/>
        </w:rPr>
        <w:t>五个工作日内</w:t>
      </w:r>
      <w:bookmarkEnd w:id="93"/>
      <w:bookmarkEnd w:id="94"/>
      <w:r>
        <w:rPr>
          <w:rFonts w:hint="eastAsia" w:hAnsi="宋体"/>
          <w:bCs/>
          <w:sz w:val="24"/>
          <w:szCs w:val="24"/>
        </w:rPr>
        <w:t>聘请</w:t>
      </w:r>
      <w:bookmarkStart w:id="95" w:name="_Hlk45746277"/>
      <w:r>
        <w:rPr>
          <w:rFonts w:hint="eastAsia" w:hAnsi="宋体"/>
          <w:bCs/>
          <w:sz w:val="24"/>
          <w:szCs w:val="24"/>
        </w:rPr>
        <w:t>侧袋机制启用日发表意见且</w:t>
      </w:r>
      <w:bookmarkEnd w:id="95"/>
      <w:r>
        <w:rPr>
          <w:rFonts w:hint="eastAsia" w:hAnsi="宋体"/>
          <w:bCs/>
          <w:sz w:val="24"/>
          <w:szCs w:val="24"/>
        </w:rPr>
        <w:t>符合《中华人民共和国证券法》规定的会计师事务所</w:t>
      </w:r>
      <w:bookmarkStart w:id="96" w:name="_Hlk45746299"/>
      <w:r>
        <w:rPr>
          <w:rFonts w:hint="eastAsia" w:hAnsi="宋体"/>
          <w:bCs/>
          <w:sz w:val="24"/>
          <w:szCs w:val="24"/>
        </w:rPr>
        <w:t>进行审计并披露</w:t>
      </w:r>
      <w:bookmarkEnd w:id="96"/>
      <w:r>
        <w:rPr>
          <w:rFonts w:hint="eastAsia" w:hAnsi="宋体"/>
          <w:bCs/>
          <w:sz w:val="24"/>
          <w:szCs w:val="24"/>
        </w:rPr>
        <w:t>专项审计意见。</w:t>
      </w:r>
    </w:p>
    <w:p w14:paraId="57ED48D0">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（二）实施侧袋机制期间基金份额的申购与赎回</w:t>
      </w:r>
    </w:p>
    <w:p w14:paraId="0E240CD6">
      <w:pPr>
        <w:adjustRightInd w:val="0"/>
        <w:snapToGrid w:val="0"/>
        <w:spacing w:line="360" w:lineRule="auto"/>
        <w:ind w:firstLine="480" w:firstLineChars="200"/>
        <w:rPr>
          <w:rFonts w:hint="eastAsia"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7BEC8A05">
      <w:pPr>
        <w:adjustRightInd w:val="0"/>
        <w:snapToGrid w:val="0"/>
        <w:spacing w:line="360" w:lineRule="auto"/>
        <w:ind w:firstLine="480" w:firstLineChars="200"/>
        <w:rPr>
          <w:rFonts w:hint="eastAsia"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7640C920">
      <w:pPr>
        <w:adjustRightInd w:val="0"/>
        <w:snapToGrid w:val="0"/>
        <w:spacing w:line="360" w:lineRule="auto"/>
        <w:ind w:firstLine="480" w:firstLineChars="200"/>
        <w:rPr>
          <w:rFonts w:hint="eastAsia"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14:paraId="0DE68C5A">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（三）实施侧袋机制期间的基金投资</w:t>
      </w:r>
    </w:p>
    <w:p w14:paraId="000B8FF2">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14:paraId="7B6D8124">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14:paraId="51EB727A">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基金管理人不得在侧袋账户中进行除特定资产处置变现以外的其他投资操作。</w:t>
      </w:r>
    </w:p>
    <w:p w14:paraId="67BAD1C9">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（四）实施侧袋机制期间的基金估值</w:t>
      </w:r>
    </w:p>
    <w:p w14:paraId="22AD03BC">
      <w:pPr>
        <w:adjustRightInd w:val="0"/>
        <w:snapToGrid w:val="0"/>
        <w:spacing w:line="360" w:lineRule="auto"/>
        <w:ind w:firstLine="480" w:firstLineChars="200"/>
        <w:rPr>
          <w:rFonts w:hint="eastAsia"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5155399A">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（五）实施侧袋账户期间的基金费用</w:t>
      </w:r>
    </w:p>
    <w:p w14:paraId="68890333">
      <w:pPr>
        <w:adjustRightInd w:val="0"/>
        <w:snapToGrid w:val="0"/>
        <w:spacing w:line="360" w:lineRule="auto"/>
        <w:ind w:firstLine="480" w:firstLineChars="200"/>
        <w:rPr>
          <w:rFonts w:hint="eastAsia" w:hAnsi="宋体"/>
          <w:bCs/>
          <w:sz w:val="24"/>
          <w:szCs w:val="24"/>
        </w:rPr>
      </w:pPr>
      <w:r>
        <w:rPr>
          <w:rFonts w:hint="eastAsia" w:hAnsi="宋体"/>
          <w:bCs/>
          <w:sz w:val="24"/>
          <w:szCs w:val="24"/>
        </w:rPr>
        <w:t>1、本基金实施侧袋机制的，管理费和托管费</w:t>
      </w:r>
      <w:r>
        <w:rPr>
          <w:rFonts w:hint="eastAsia" w:ascii="宋体" w:hAnsi="宋体"/>
          <w:sz w:val="24"/>
        </w:rPr>
        <w:t>等</w:t>
      </w:r>
      <w:r>
        <w:rPr>
          <w:rFonts w:hint="eastAsia" w:hAnsi="宋体"/>
          <w:bCs/>
          <w:sz w:val="24"/>
          <w:szCs w:val="24"/>
        </w:rPr>
        <w:t>按主袋账户基金资产净值作为基数计提。</w:t>
      </w:r>
    </w:p>
    <w:p w14:paraId="53C71011">
      <w:pPr>
        <w:adjustRightInd w:val="0"/>
        <w:snapToGrid w:val="0"/>
        <w:spacing w:line="360" w:lineRule="auto"/>
        <w:ind w:firstLine="480" w:firstLineChars="200"/>
        <w:rPr>
          <w:rFonts w:hint="eastAsia"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14:paraId="2C770FEB">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（六）侧袋账户中特定资产的处置变现和支付</w:t>
      </w:r>
    </w:p>
    <w:p w14:paraId="1862B084">
      <w:pPr>
        <w:adjustRightInd w:val="0"/>
        <w:snapToGrid w:val="0"/>
        <w:spacing w:line="360" w:lineRule="auto"/>
        <w:ind w:firstLine="480" w:firstLineChars="200"/>
        <w:rPr>
          <w:rFonts w:hint="eastAsia"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104801DD">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0F9CDAE5">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14:paraId="5998A16B">
      <w:pPr>
        <w:adjustRightInd w:val="0"/>
        <w:snapToGrid w:val="0"/>
        <w:spacing w:line="360" w:lineRule="auto"/>
        <w:ind w:firstLine="482" w:firstLineChars="200"/>
        <w:rPr>
          <w:rFonts w:hint="eastAsia" w:hAnsi="宋体"/>
          <w:b/>
          <w:bCs/>
          <w:sz w:val="24"/>
          <w:szCs w:val="24"/>
        </w:rPr>
      </w:pPr>
      <w:r>
        <w:rPr>
          <w:rFonts w:hint="eastAsia" w:hAnsi="宋体"/>
          <w:b/>
          <w:bCs/>
          <w:sz w:val="24"/>
          <w:szCs w:val="24"/>
        </w:rPr>
        <w:t>（七）侧袋机制的信息披露</w:t>
      </w:r>
    </w:p>
    <w:p w14:paraId="305D7E58">
      <w:pPr>
        <w:adjustRightInd w:val="0"/>
        <w:snapToGrid w:val="0"/>
        <w:spacing w:line="360" w:lineRule="auto"/>
        <w:ind w:firstLine="480" w:firstLineChars="200"/>
        <w:rPr>
          <w:rFonts w:hint="eastAsia" w:hAnsi="宋体"/>
          <w:bCs/>
          <w:sz w:val="24"/>
          <w:szCs w:val="24"/>
        </w:rPr>
      </w:pPr>
      <w:r>
        <w:rPr>
          <w:rFonts w:hint="eastAsia" w:hAnsi="宋体"/>
          <w:bCs/>
          <w:sz w:val="24"/>
          <w:szCs w:val="24"/>
        </w:rPr>
        <w:t>1、临时公告</w:t>
      </w:r>
    </w:p>
    <w:p w14:paraId="46F8901E">
      <w:pPr>
        <w:adjustRightInd w:val="0"/>
        <w:snapToGrid w:val="0"/>
        <w:spacing w:line="360" w:lineRule="auto"/>
        <w:ind w:firstLine="480" w:firstLineChars="200"/>
        <w:rPr>
          <w:rFonts w:hint="eastAsia"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14:paraId="2246D585">
      <w:pPr>
        <w:adjustRightInd w:val="0"/>
        <w:snapToGrid w:val="0"/>
        <w:spacing w:line="360" w:lineRule="auto"/>
        <w:ind w:firstLine="480" w:firstLineChars="200"/>
        <w:rPr>
          <w:rFonts w:hint="eastAsia" w:hAnsi="宋体"/>
          <w:bCs/>
          <w:sz w:val="24"/>
          <w:szCs w:val="24"/>
        </w:rPr>
      </w:pPr>
      <w:r>
        <w:rPr>
          <w:rFonts w:hint="eastAsia" w:hAnsi="宋体"/>
          <w:bCs/>
          <w:sz w:val="24"/>
          <w:szCs w:val="24"/>
        </w:rPr>
        <w:t>2、基金净值信息</w:t>
      </w:r>
    </w:p>
    <w:p w14:paraId="0FDA4A95">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10EA1F70">
      <w:pPr>
        <w:adjustRightInd w:val="0"/>
        <w:snapToGrid w:val="0"/>
        <w:spacing w:line="360" w:lineRule="auto"/>
        <w:ind w:firstLine="480" w:firstLineChars="200"/>
        <w:rPr>
          <w:rFonts w:hint="eastAsia" w:hAnsi="宋体"/>
          <w:bCs/>
          <w:sz w:val="24"/>
          <w:szCs w:val="24"/>
        </w:rPr>
      </w:pPr>
      <w:r>
        <w:rPr>
          <w:rFonts w:hint="eastAsia" w:hAnsi="宋体"/>
          <w:bCs/>
          <w:sz w:val="24"/>
          <w:szCs w:val="24"/>
        </w:rPr>
        <w:t>3、定期报告</w:t>
      </w:r>
    </w:p>
    <w:p w14:paraId="2B176A70">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97" w:name="_Hlk45747214"/>
      <w:r>
        <w:rPr>
          <w:rFonts w:hint="eastAsia" w:hAnsi="宋体"/>
          <w:bCs/>
          <w:sz w:val="24"/>
          <w:szCs w:val="24"/>
        </w:rPr>
        <w:t>会计师事务所对基金年度报告进行审计时，应对报告期内基金侧袋机制运行相关的会计核算和年度报告披露等发表审计意见。</w:t>
      </w:r>
      <w:bookmarkEnd w:id="97"/>
    </w:p>
    <w:p w14:paraId="238A2C48">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98" w:name="_Toc56690597"/>
      <w:r>
        <w:rPr>
          <w:rFonts w:hint="eastAsia" w:ascii="宋体" w:hAnsi="宋体"/>
          <w:b/>
          <w:kern w:val="0"/>
          <w:sz w:val="30"/>
        </w:rPr>
        <w:t>十七、风险揭示</w:t>
      </w:r>
      <w:bookmarkEnd w:id="98"/>
    </w:p>
    <w:p w14:paraId="3516EF47">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9" w:name="_Hlt91150550"/>
      <w:bookmarkEnd w:id="99"/>
      <w:bookmarkStart w:id="100" w:name="_Hlt88901012"/>
      <w:bookmarkEnd w:id="100"/>
      <w:bookmarkStart w:id="101" w:name="_Toc109537396"/>
      <w:r>
        <w:rPr>
          <w:rFonts w:hAnsi="宋体"/>
          <w:sz w:val="24"/>
          <w:szCs w:val="24"/>
        </w:rPr>
        <w:t>生的收益，也可能承担</w:t>
      </w:r>
      <w:bookmarkEnd w:id="101"/>
      <w:r>
        <w:rPr>
          <w:rFonts w:hAnsi="宋体"/>
          <w:sz w:val="24"/>
          <w:szCs w:val="24"/>
        </w:rPr>
        <w:t>基金投资所带来的损失。</w:t>
      </w:r>
    </w:p>
    <w:p w14:paraId="5B4A4D66">
      <w:pPr>
        <w:adjustRightInd w:val="0"/>
        <w:snapToGrid w:val="0"/>
        <w:spacing w:line="360" w:lineRule="auto"/>
        <w:ind w:firstLine="480" w:firstLineChars="200"/>
        <w:rPr>
          <w:rFonts w:hint="eastAsia" w:hAnsi="宋体"/>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w:t>
      </w:r>
    </w:p>
    <w:p w14:paraId="44961B69">
      <w:pPr>
        <w:adjustRightInd w:val="0"/>
        <w:snapToGrid w:val="0"/>
        <w:spacing w:line="360" w:lineRule="auto"/>
        <w:ind w:firstLine="480" w:firstLineChars="200"/>
        <w:rPr>
          <w:sz w:val="24"/>
          <w:szCs w:val="24"/>
        </w:rPr>
      </w:pPr>
      <w:r>
        <w:rPr>
          <w:rFonts w:hAnsi="宋体"/>
          <w:sz w:val="24"/>
          <w:szCs w:val="24"/>
        </w:rPr>
        <w:t>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w:t>
      </w:r>
      <w:r>
        <w:rPr>
          <w:rFonts w:hint="eastAsia" w:hAnsi="宋体"/>
          <w:sz w:val="24"/>
          <w:szCs w:val="24"/>
        </w:rPr>
        <w:t>、</w:t>
      </w:r>
      <w:r>
        <w:rPr>
          <w:rFonts w:hAnsi="宋体"/>
          <w:sz w:val="24"/>
          <w:szCs w:val="24"/>
        </w:rPr>
        <w:t>基金中基金等不同类型，</w:t>
      </w:r>
      <w:r>
        <w:rPr>
          <w:rFonts w:hint="eastAsia" w:hAnsi="宋体"/>
          <w:sz w:val="24"/>
          <w:szCs w:val="24"/>
        </w:rPr>
        <w:t>基金中</w:t>
      </w:r>
      <w:r>
        <w:rPr>
          <w:rFonts w:hAnsi="宋体"/>
          <w:sz w:val="24"/>
          <w:szCs w:val="24"/>
        </w:rPr>
        <w:t>基金</w:t>
      </w:r>
      <w:r>
        <w:rPr>
          <w:rFonts w:hint="eastAsia" w:hAnsi="宋体"/>
          <w:sz w:val="24"/>
          <w:szCs w:val="24"/>
        </w:rPr>
        <w:t>进一步</w:t>
      </w:r>
      <w:r>
        <w:rPr>
          <w:rFonts w:hAnsi="宋体"/>
          <w:sz w:val="24"/>
          <w:szCs w:val="24"/>
        </w:rPr>
        <w:t>分为股票型基金中基金、混合型基金中基金、债券型基金中基金、</w:t>
      </w:r>
      <w:r>
        <w:rPr>
          <w:rFonts w:hint="eastAsia" w:hAnsi="宋体"/>
          <w:sz w:val="24"/>
          <w:szCs w:val="24"/>
        </w:rPr>
        <w:t>货币型</w:t>
      </w:r>
      <w:r>
        <w:rPr>
          <w:rFonts w:hAnsi="宋体"/>
          <w:sz w:val="24"/>
          <w:szCs w:val="24"/>
        </w:rPr>
        <w:t>基金中基金等不同类型，投资人投资不同类型的基金将获得不同的收益预期，也将承担不同程度的风险。一般来说，基金的收益预期越高，投资人承担的风险也越大。</w:t>
      </w:r>
    </w:p>
    <w:p w14:paraId="23B19F2E">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6E8A0061">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62E2251A">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72C38BD2">
      <w:pPr>
        <w:widowControl/>
        <w:adjustRightInd w:val="0"/>
        <w:snapToGrid w:val="0"/>
        <w:spacing w:line="360" w:lineRule="auto"/>
        <w:ind w:firstLine="480" w:firstLineChars="200"/>
        <w:rPr>
          <w:sz w:val="24"/>
          <w:szCs w:val="24"/>
        </w:rPr>
      </w:pPr>
      <w:r>
        <w:rPr>
          <w:rFonts w:hAnsi="宋体"/>
          <w:sz w:val="24"/>
          <w:szCs w:val="24"/>
        </w:rPr>
        <w:t>基金管理人承诺以诚实信用、</w:t>
      </w:r>
      <w:r>
        <w:rPr>
          <w:rFonts w:hint="eastAsia" w:hAnsi="宋体"/>
          <w:sz w:val="24"/>
          <w:szCs w:val="24"/>
        </w:rPr>
        <w:t>谨慎</w:t>
      </w:r>
      <w:r>
        <w:rPr>
          <w:rFonts w:hAnsi="宋体"/>
          <w:sz w:val="24"/>
          <w:szCs w:val="24"/>
        </w:rPr>
        <w:t>勤勉的原则管理和运用基金资产，但不保证</w:t>
      </w:r>
      <w:r>
        <w:rPr>
          <w:rFonts w:hint="eastAsia" w:hAnsi="宋体"/>
          <w:sz w:val="24"/>
          <w:szCs w:val="24"/>
        </w:rPr>
        <w:t>投资于</w:t>
      </w:r>
      <w:r>
        <w:rPr>
          <w:rFonts w:hAnsi="宋体"/>
          <w:sz w:val="24"/>
          <w:szCs w:val="24"/>
        </w:rPr>
        <w:t>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14:paraId="36EBAAE2">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14:paraId="213B62EF">
      <w:pPr>
        <w:adjustRightInd w:val="0"/>
        <w:snapToGrid w:val="0"/>
        <w:spacing w:line="360" w:lineRule="auto"/>
        <w:ind w:firstLine="482" w:firstLineChars="200"/>
        <w:rPr>
          <w:b/>
          <w:bCs/>
          <w:sz w:val="24"/>
        </w:rPr>
      </w:pPr>
      <w:r>
        <w:rPr>
          <w:b/>
          <w:bCs/>
          <w:sz w:val="24"/>
        </w:rPr>
        <w:t>（一）市场风险</w:t>
      </w:r>
    </w:p>
    <w:p w14:paraId="2F4B794F">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14:paraId="7967164B">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14:paraId="736DCE18">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0F351014">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4873D70E">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E6E62B5">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5564C309">
      <w:pPr>
        <w:adjustRightInd w:val="0"/>
        <w:snapToGrid w:val="0"/>
        <w:spacing w:line="360" w:lineRule="auto"/>
        <w:ind w:firstLine="482" w:firstLineChars="200"/>
        <w:rPr>
          <w:b/>
          <w:bCs/>
          <w:sz w:val="24"/>
        </w:rPr>
      </w:pPr>
      <w:r>
        <w:rPr>
          <w:b/>
          <w:bCs/>
          <w:sz w:val="24"/>
        </w:rPr>
        <w:t>（二）管理风险</w:t>
      </w:r>
    </w:p>
    <w:p w14:paraId="4680CDC7">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04984D14">
      <w:pPr>
        <w:adjustRightInd w:val="0"/>
        <w:snapToGrid w:val="0"/>
        <w:spacing w:line="360" w:lineRule="auto"/>
        <w:ind w:firstLine="482" w:firstLineChars="200"/>
        <w:rPr>
          <w:b/>
          <w:bCs/>
          <w:sz w:val="24"/>
        </w:rPr>
      </w:pPr>
      <w:r>
        <w:rPr>
          <w:b/>
          <w:bCs/>
          <w:sz w:val="24"/>
        </w:rPr>
        <w:t>（三）流动性风险</w:t>
      </w:r>
    </w:p>
    <w:p w14:paraId="26D6AF95">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本基金属于开放式基金，</w:t>
      </w:r>
      <w:r>
        <w:rPr>
          <w:rFonts w:hint="eastAsia" w:hAnsi="宋体"/>
          <w:kern w:val="0"/>
          <w:sz w:val="24"/>
          <w:szCs w:val="24"/>
        </w:rPr>
        <w:t>但</w:t>
      </w:r>
      <w:r>
        <w:rPr>
          <w:rFonts w:hAnsi="宋体"/>
          <w:kern w:val="0"/>
          <w:sz w:val="24"/>
          <w:szCs w:val="24"/>
        </w:rPr>
        <w:t>设置最短持有期，</w:t>
      </w:r>
      <w:r>
        <w:rPr>
          <w:rFonts w:hint="eastAsia" w:hAnsi="宋体"/>
          <w:kern w:val="0"/>
          <w:sz w:val="24"/>
          <w:szCs w:val="24"/>
        </w:rPr>
        <w:t>基金份额持有人持有的每份基金份额最短持有期限为六个月，对于满足最短持有期限的投资人，</w:t>
      </w:r>
      <w:r>
        <w:rPr>
          <w:rFonts w:hAnsi="宋体"/>
          <w:kern w:val="0"/>
          <w:sz w:val="24"/>
          <w:szCs w:val="24"/>
        </w:rPr>
        <w:t>基金管理人在每个开放日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79F9008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1、本基金的申购、赎回安排</w:t>
      </w:r>
    </w:p>
    <w:p w14:paraId="226C029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采用开放方式运作，基金管理人在开放日办理基金份额的申购和赎回，但对于每份基金份额，基金份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int="eastAsia" w:hAnsi="宋体"/>
          <w:kern w:val="0"/>
          <w:sz w:val="24"/>
          <w:szCs w:val="24"/>
        </w:rPr>
        <w:t>，但基金管理人根据法律法规、中国证监会的要求或基金合同的规定公告暂停申购、赎回时除外。</w:t>
      </w:r>
      <w:r>
        <w:rPr>
          <w:bCs/>
          <w:sz w:val="24"/>
        </w:rPr>
        <w:t>基金管理人</w:t>
      </w:r>
      <w:r>
        <w:rPr>
          <w:rFonts w:hint="eastAsia"/>
          <w:bCs/>
          <w:sz w:val="24"/>
        </w:rPr>
        <w:t>可根据实际情况依法决定本基金开始办理申购的具体日期</w:t>
      </w:r>
      <w:r>
        <w:rPr>
          <w:rFonts w:hint="eastAsia" w:hAnsi="宋体"/>
          <w:kern w:val="0"/>
          <w:sz w:val="24"/>
          <w:szCs w:val="24"/>
        </w:rPr>
        <w:t>，具体业务办理时间在申购开始公告中规定。基金管理人自基金合同生效之日起六个月后</w:t>
      </w:r>
      <w:r>
        <w:rPr>
          <w:rFonts w:hint="eastAsia"/>
          <w:bCs/>
          <w:sz w:val="24"/>
        </w:rPr>
        <w:t>月</w:t>
      </w:r>
      <w:r>
        <w:rPr>
          <w:rFonts w:hint="eastAsia" w:hAnsi="宋体"/>
          <w:kern w:val="0"/>
          <w:sz w:val="24"/>
          <w:szCs w:val="24"/>
        </w:rPr>
        <w:t>度对日（含该日）开始办理赎回，具体业务办理时间在赎回开始公告中规定。</w:t>
      </w:r>
    </w:p>
    <w:p w14:paraId="19FD770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若基金份额持有人多次申购本基金导致持有多笔不同期限的本基金基金份额时，基金份额持有人在赎回时需特别关注申请赎回的基金份额数量，若申请赎回的基金份额超过了该基金份额持有人持续持有超过六个月的基金份额数量，则基金份额持有人的赎回申请将全部被予以拒绝。基金份额持有人需承担赎回申请失败的风险。</w:t>
      </w:r>
    </w:p>
    <w:p w14:paraId="4A21082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2、投资市场、行业及资产的流动性风险评估</w:t>
      </w:r>
    </w:p>
    <w:p w14:paraId="64B7DCA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为基金中基金，投资于公开募集证券投资基金的基金份额的资产不低于基金资产的80%，主要投资对象为具有良好流动性的金融工具，同时本基金基于分散投资的原则在行业和个券方面未有高集中度的特征，综合评估在正常市场环境下本基金的流动性风险适中。</w:t>
      </w:r>
    </w:p>
    <w:p w14:paraId="3AEDDD2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3、巨额赎回情形下的流动性风险管理措施</w:t>
      </w:r>
    </w:p>
    <w:p w14:paraId="5E204CE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AB36CB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237D52A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（1）全额赎回：当基金管理人认为有能力支付投资人的全部赎回申请时，按正常赎回程序执行。</w:t>
      </w:r>
    </w:p>
    <w:p w14:paraId="4F61ABA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63776E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14:paraId="319022D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3BCF2BC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0DCF07F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24645D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4、实施备用的流动性风险管理工具的情形、程序及对投资者的潜在影响</w:t>
      </w:r>
    </w:p>
    <w:p w14:paraId="57BB744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本基金在面临大规模赎回的情况下有可能因为无法变现造成流动性风险。</w:t>
      </w:r>
    </w:p>
    <w:p w14:paraId="237EFD0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35E1ACB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016A628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E3A4AF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14:paraId="4578B79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1A6D22A9">
      <w:pPr>
        <w:adjustRightInd w:val="0"/>
        <w:snapToGrid w:val="0"/>
        <w:spacing w:line="360" w:lineRule="auto"/>
        <w:ind w:firstLine="482" w:firstLineChars="200"/>
        <w:rPr>
          <w:b/>
          <w:bCs/>
          <w:sz w:val="24"/>
        </w:rPr>
      </w:pPr>
      <w:r>
        <w:rPr>
          <w:b/>
          <w:bCs/>
          <w:sz w:val="24"/>
        </w:rPr>
        <w:t>（四）信用风险</w:t>
      </w:r>
    </w:p>
    <w:p w14:paraId="0AE1E8BC">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26D6DBF6">
      <w:pPr>
        <w:adjustRightInd w:val="0"/>
        <w:snapToGrid w:val="0"/>
        <w:spacing w:line="360" w:lineRule="auto"/>
        <w:ind w:firstLine="482" w:firstLineChars="200"/>
        <w:rPr>
          <w:b/>
          <w:bCs/>
          <w:sz w:val="24"/>
        </w:rPr>
      </w:pPr>
      <w:r>
        <w:rPr>
          <w:b/>
          <w:bCs/>
          <w:sz w:val="24"/>
        </w:rPr>
        <w:t>（五）本基金的</w:t>
      </w:r>
      <w:r>
        <w:rPr>
          <w:rFonts w:hint="eastAsia"/>
          <w:b/>
          <w:bCs/>
          <w:sz w:val="24"/>
        </w:rPr>
        <w:t>特有</w:t>
      </w:r>
      <w:r>
        <w:rPr>
          <w:b/>
          <w:bCs/>
          <w:sz w:val="24"/>
        </w:rPr>
        <w:t>风险</w:t>
      </w:r>
    </w:p>
    <w:p w14:paraId="4D139D9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1、本基金为混合型基金中基金，本基金投资于经中国证监会依法核准或注册的公开募集证券投资基金的基金份额的资产不低于本基金资产的80%；</w:t>
      </w:r>
      <w:r>
        <w:rPr>
          <w:rFonts w:hint="eastAsia"/>
          <w:sz w:val="24"/>
        </w:rPr>
        <w:t>投资于股票（含存托凭证）、股票型基金（包括股票指数基金）、混合型基金</w:t>
      </w:r>
      <w:r>
        <w:rPr>
          <w:rFonts w:hint="eastAsia"/>
          <w:bCs/>
          <w:sz w:val="24"/>
        </w:rPr>
        <w:t>等</w:t>
      </w:r>
      <w:r>
        <w:rPr>
          <w:rFonts w:hint="eastAsia"/>
          <w:sz w:val="24"/>
        </w:rPr>
        <w:t>资产占基金资产的比例为5%-40%（其中，</w:t>
      </w:r>
      <w:r>
        <w:rPr>
          <w:rFonts w:hint="eastAsia"/>
          <w:bCs/>
          <w:sz w:val="24"/>
        </w:rPr>
        <w:t>投资于境内股票、股票型基金、计入权益类资产的混合型基金占基金资产的</w:t>
      </w:r>
      <w:r>
        <w:rPr>
          <w:bCs/>
          <w:sz w:val="24"/>
        </w:rPr>
        <w:t>比例</w:t>
      </w:r>
      <w:r>
        <w:rPr>
          <w:rFonts w:hint="eastAsia"/>
          <w:bCs/>
          <w:sz w:val="24"/>
        </w:rPr>
        <w:t>不低于5%，</w:t>
      </w:r>
      <w:r>
        <w:rPr>
          <w:rFonts w:hint="eastAsia"/>
          <w:sz w:val="24"/>
        </w:rPr>
        <w:t>投资于港股通股票的比例占股票资产的0%-50%）</w:t>
      </w:r>
      <w:r>
        <w:rPr>
          <w:rFonts w:hint="eastAsia" w:hAnsi="宋体"/>
          <w:kern w:val="0"/>
          <w:sz w:val="24"/>
          <w:szCs w:val="24"/>
        </w:rPr>
        <w:t>；投资于QDII基金和香港互认基金的比例合计不超过基金资产的20%；投资于货币市场基金的比例不超过基金资产的15%</w:t>
      </w:r>
      <w:r>
        <w:rPr>
          <w:rFonts w:hint="eastAsia"/>
          <w:bCs/>
          <w:sz w:val="24"/>
          <w:lang w:eastAsia="zh-CN"/>
        </w:rPr>
        <w:t>；</w:t>
      </w:r>
      <w:r>
        <w:rPr>
          <w:rFonts w:hint="eastAsia"/>
          <w:bCs/>
          <w:sz w:val="24"/>
        </w:rPr>
        <w:t>投资于商品基金（含商品期货基金和黄金ETF）的比例不超过基金资产的10%</w:t>
      </w:r>
      <w:r>
        <w:rPr>
          <w:rFonts w:hint="eastAsia" w:hAnsi="宋体"/>
          <w:kern w:val="0"/>
          <w:sz w:val="24"/>
          <w:szCs w:val="24"/>
        </w:rPr>
        <w:t>。因此本基金所持有的基金的业绩表现、持有基金的基金管理人水平等因素将影响到本基金的基金业绩表现。</w:t>
      </w:r>
    </w:p>
    <w:p w14:paraId="328C0C1E">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w:t>
      </w:r>
      <w:r>
        <w:rPr>
          <w:rFonts w:hint="eastAsia" w:hAnsi="宋体"/>
          <w:kern w:val="0"/>
          <w:sz w:val="24"/>
          <w:szCs w:val="24"/>
        </w:rPr>
        <w:t>、本基金为基金中基金，由于本基金所持有的相当比例的基金暂停估值，导致基金管理人无法计算当日本基金资产净值；或者由于本基金持有的相当比例的基金份额或适合本基金投资的基金份额拒绝或暂停申购、暂停上市或二级市场交易停牌、基金管理人无法找到其他合适的可替代的基金品种，或其他可能对本基金业绩产生负面影响的情形，本基金可能拒绝或暂停申购业务。</w:t>
      </w:r>
    </w:p>
    <w:p w14:paraId="7771E3CE">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3</w:t>
      </w:r>
      <w:r>
        <w:rPr>
          <w:rFonts w:hint="eastAsia" w:hAnsi="宋体"/>
          <w:kern w:val="0"/>
          <w:sz w:val="24"/>
          <w:szCs w:val="24"/>
        </w:rPr>
        <w:t>、本基金为基金中基金，由于本基金所持有的相当比例的基金暂停估值，导致基金管理人无法计算当日本基金资产净值；或者由于本基金持有的相当比例的基金份额拒绝或暂停赎回、暂停上市或二级市场交易停牌、延期办理赎回、延期支付赎回款项，或其他可能对本基金业绩产生负面影响的情形，本基金可能暂停赎回或延缓支付赎回款项。</w:t>
      </w:r>
    </w:p>
    <w:p w14:paraId="01F21A7B">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4</w:t>
      </w:r>
      <w:r>
        <w:rPr>
          <w:rFonts w:hint="eastAsia" w:hAnsi="宋体"/>
          <w:kern w:val="0"/>
          <w:sz w:val="24"/>
          <w:szCs w:val="24"/>
        </w:rPr>
        <w:t>、本基金为基金中基金，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697B3A2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本基金为基金中基金，本基金可能投资于封闭运作基金、定期开放基金等流通受限基金。本基金投资流动受限基金将面临所投资基金的流动性风险，因此可能在本基金需要变现资产时，受流动性所限，本基金无法卖出所持有的流通受限基金，由此可能给基金净值带来不利影响或损失。</w:t>
      </w:r>
    </w:p>
    <w:p w14:paraId="74F15B6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6、本基金的投资范围包括QDII基金，因此本基金可能间接面临海外市场风险、汇率风险、法律和政治风险、会计制度风险、税务风险等风险。并且，由于本基金可以投资于QDII基金，本基金的申购/赎回确认日、支付赎回款项日以及份额净值公告日等可能晚于一般基金。</w:t>
      </w:r>
    </w:p>
    <w:p w14:paraId="4ED6CB6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7、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w:t>
      </w:r>
      <w:r>
        <w:rPr>
          <w:rFonts w:hint="eastAsia"/>
          <w:bCs/>
          <w:sz w:val="24"/>
        </w:rPr>
        <w:t>月</w:t>
      </w:r>
      <w:r>
        <w:rPr>
          <w:rFonts w:hint="eastAsia" w:hAnsi="宋体"/>
          <w:kern w:val="0"/>
          <w:sz w:val="24"/>
          <w:szCs w:val="24"/>
        </w:rPr>
        <w:t>度对日的前一日；对于每笔申购的基金份额而言，最短持有期限自该笔申购份额确认日（含该日）至六个月后</w:t>
      </w:r>
      <w:r>
        <w:rPr>
          <w:rFonts w:hint="eastAsia"/>
          <w:bCs/>
          <w:sz w:val="24"/>
        </w:rPr>
        <w:t>月</w:t>
      </w:r>
      <w:r>
        <w:rPr>
          <w:rFonts w:hint="eastAsia" w:hAnsi="宋体"/>
          <w:kern w:val="0"/>
          <w:sz w:val="24"/>
          <w:szCs w:val="24"/>
        </w:rPr>
        <w:t>度对日的前一日。因此，对于基金份额持有人而言，存在投资本基金后六个月内无法赎回的风险。</w:t>
      </w:r>
    </w:p>
    <w:p w14:paraId="0D57F49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8、本基金可投资创业板股票，创业板个股上市后的前五个交易日不设价格涨跌幅限制，第六个交易日开始涨跌幅限制比例为20%。</w:t>
      </w:r>
    </w:p>
    <w:p w14:paraId="25A30172">
      <w:pPr>
        <w:adjustRightInd w:val="0"/>
        <w:snapToGrid w:val="0"/>
        <w:spacing w:line="360" w:lineRule="auto"/>
        <w:ind w:firstLine="480" w:firstLineChars="200"/>
        <w:rPr>
          <w:rFonts w:hint="eastAsia" w:hAnsi="宋体"/>
          <w:b/>
          <w:kern w:val="0"/>
          <w:sz w:val="24"/>
          <w:szCs w:val="24"/>
        </w:rPr>
      </w:pPr>
      <w:r>
        <w:rPr>
          <w:rFonts w:hAnsi="宋体"/>
          <w:kern w:val="0"/>
          <w:sz w:val="24"/>
          <w:szCs w:val="24"/>
        </w:rPr>
        <w:t>9</w:t>
      </w:r>
      <w:r>
        <w:rPr>
          <w:rFonts w:hint="eastAsia" w:hAnsi="宋体"/>
          <w:kern w:val="0"/>
          <w:sz w:val="24"/>
          <w:szCs w:val="24"/>
        </w:rPr>
        <w:t>、</w:t>
      </w:r>
      <w:r>
        <w:rPr>
          <w:rFonts w:hAnsi="宋体"/>
          <w:kern w:val="0"/>
          <w:sz w:val="24"/>
          <w:szCs w:val="24"/>
        </w:rPr>
        <w:t>投资</w:t>
      </w:r>
      <w:r>
        <w:rPr>
          <w:rFonts w:hint="eastAsia" w:hAnsi="宋体"/>
          <w:kern w:val="0"/>
          <w:sz w:val="24"/>
          <w:szCs w:val="24"/>
        </w:rPr>
        <w:t>资产支持证券</w:t>
      </w:r>
      <w:r>
        <w:rPr>
          <w:rFonts w:hAnsi="宋体"/>
          <w:kern w:val="0"/>
          <w:sz w:val="24"/>
          <w:szCs w:val="24"/>
        </w:rPr>
        <w:t>的特定风险</w:t>
      </w:r>
    </w:p>
    <w:p w14:paraId="515D159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25AA3FCC">
      <w:pPr>
        <w:widowControl/>
        <w:adjustRightInd w:val="0"/>
        <w:snapToGrid w:val="0"/>
        <w:spacing w:line="360" w:lineRule="auto"/>
        <w:ind w:firstLine="480" w:firstLineChars="200"/>
        <w:rPr>
          <w:rFonts w:hint="eastAsia" w:hAnsi="宋体"/>
          <w:b/>
          <w:kern w:val="0"/>
          <w:sz w:val="24"/>
          <w:szCs w:val="24"/>
        </w:rPr>
      </w:pPr>
      <w:r>
        <w:rPr>
          <w:rFonts w:hAnsi="宋体"/>
          <w:kern w:val="0"/>
          <w:sz w:val="24"/>
          <w:szCs w:val="24"/>
        </w:rPr>
        <w:t>10</w:t>
      </w:r>
      <w:r>
        <w:rPr>
          <w:rFonts w:hint="eastAsia" w:hAnsi="宋体"/>
          <w:kern w:val="0"/>
          <w:sz w:val="24"/>
          <w:szCs w:val="24"/>
        </w:rPr>
        <w:t>、投资流通受限证券的特定风险</w:t>
      </w:r>
    </w:p>
    <w:p w14:paraId="4D07915D">
      <w:pPr>
        <w:widowControl/>
        <w:adjustRightInd w:val="0"/>
        <w:snapToGrid w:val="0"/>
        <w:spacing w:line="360" w:lineRule="auto"/>
        <w:ind w:firstLine="480" w:firstLineChars="200"/>
        <w:rPr>
          <w:rFonts w:hint="eastAsia" w:hAnsi="宋体"/>
          <w:kern w:val="0"/>
          <w:sz w:val="24"/>
          <w:szCs w:val="24"/>
        </w:rPr>
      </w:pPr>
      <w:r>
        <w:rPr>
          <w:rFonts w:hint="eastAsia" w:hAnsi="宋体"/>
          <w:sz w:val="24"/>
          <w:lang w:val="en-US" w:eastAsia="zh-CN"/>
        </w:rPr>
        <w:t>本</w:t>
      </w:r>
      <w:r>
        <w:rPr>
          <w:rFonts w:hint="eastAsia" w:hAnsi="宋体"/>
          <w:sz w:val="24"/>
        </w:rPr>
        <w:t>基金若投资流动受限证券</w:t>
      </w:r>
      <w:r>
        <w:rPr>
          <w:rFonts w:hint="eastAsia" w:hAnsi="宋体"/>
          <w:sz w:val="24"/>
          <w:lang w:eastAsia="zh-CN"/>
        </w:rPr>
        <w:t>，</w:t>
      </w:r>
      <w:r>
        <w:rPr>
          <w:rFonts w:hint="eastAsia" w:hAnsi="宋体"/>
          <w:kern w:val="0"/>
          <w:sz w:val="24"/>
          <w:szCs w:val="24"/>
        </w:rPr>
        <w:t>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727A2982">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11</w:t>
      </w:r>
      <w:r>
        <w:rPr>
          <w:rFonts w:hint="eastAsia" w:hAnsi="宋体"/>
          <w:kern w:val="0"/>
          <w:sz w:val="24"/>
          <w:szCs w:val="24"/>
        </w:rPr>
        <w:t>、</w:t>
      </w:r>
      <w:r>
        <w:rPr>
          <w:rFonts w:hint="eastAsia"/>
          <w:sz w:val="24"/>
        </w:rPr>
        <w:t>通过内地与香港股票市场交易互联互通机制投资于香港证券市场股票和交易型开放式基金的风险</w:t>
      </w:r>
    </w:p>
    <w:p w14:paraId="3C9FE27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本基金的投资范围包括港股通股票、港股通</w:t>
      </w:r>
      <w:r>
        <w:rPr>
          <w:rFonts w:hAnsi="宋体"/>
          <w:kern w:val="0"/>
          <w:sz w:val="24"/>
          <w:szCs w:val="24"/>
        </w:rPr>
        <w:t>ETF</w:t>
      </w:r>
      <w:r>
        <w:rPr>
          <w:rFonts w:hint="eastAsia" w:hAnsi="宋体"/>
          <w:kern w:val="0"/>
          <w:sz w:val="24"/>
          <w:szCs w:val="24"/>
        </w:rPr>
        <w:t>，会面临港股通机制下因投资环境、投资标的、市场制度以及交易规则等差异带来的特有风险，具体如下：</w:t>
      </w:r>
    </w:p>
    <w:p w14:paraId="63D4834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（1）投资于香港证券市场的特有风险</w:t>
      </w:r>
    </w:p>
    <w:p w14:paraId="2BB236A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1）香港证券市场与内地证券市场规则差异的</w:t>
      </w:r>
      <w:r>
        <w:rPr>
          <w:rFonts w:hAnsi="宋体"/>
          <w:kern w:val="0"/>
          <w:sz w:val="24"/>
          <w:szCs w:val="24"/>
        </w:rPr>
        <w:t>风险</w:t>
      </w:r>
    </w:p>
    <w:p w14:paraId="24CB5A1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14:paraId="6037B5B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2）港股通标的证券价格较大波动的风险</w:t>
      </w:r>
    </w:p>
    <w:p w14:paraId="4E0183E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港股通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港股通</w:t>
      </w:r>
      <w:r>
        <w:rPr>
          <w:rFonts w:hAnsi="宋体"/>
          <w:kern w:val="0"/>
          <w:sz w:val="24"/>
          <w:szCs w:val="24"/>
        </w:rPr>
        <w:t>ETF</w:t>
      </w:r>
      <w:r>
        <w:rPr>
          <w:rFonts w:hint="eastAsia" w:hAnsi="宋体"/>
          <w:kern w:val="0"/>
          <w:sz w:val="24"/>
          <w:szCs w:val="24"/>
        </w:rPr>
        <w:t>可能出现因跟踪标的指数成份证券大幅波动、流动性不佳、受有关场外结构化产品影响、交易异常情形等原因而引起价格较大波动、折溢价率和跟踪误差偏离合理区间等情形；此外，香港证券市场实行</w:t>
      </w:r>
      <w:r>
        <w:rPr>
          <w:rFonts w:hAnsi="宋体"/>
          <w:kern w:val="0"/>
          <w:sz w:val="24"/>
          <w:szCs w:val="24"/>
        </w:rPr>
        <w:t>T+0</w:t>
      </w:r>
      <w:r>
        <w:rPr>
          <w:rFonts w:hint="eastAsia" w:hAnsi="宋体"/>
          <w:kern w:val="0"/>
          <w:sz w:val="24"/>
          <w:szCs w:val="24"/>
        </w:rPr>
        <w:t>回转交易机制，且股票及</w:t>
      </w:r>
      <w:r>
        <w:rPr>
          <w:rFonts w:hAnsi="宋体"/>
          <w:kern w:val="0"/>
          <w:sz w:val="24"/>
          <w:szCs w:val="24"/>
        </w:rPr>
        <w:t>ETF</w:t>
      </w:r>
      <w:r>
        <w:rPr>
          <w:rFonts w:hint="eastAsia" w:hAnsi="宋体"/>
          <w:kern w:val="0"/>
          <w:sz w:val="24"/>
          <w:szCs w:val="24"/>
        </w:rPr>
        <w:t>交易不设涨跌幅限制，加之香港市场结构性产品和衍生品种类相对丰富以及做空机制的存在，港股通标的证券价格可能表现出更为剧烈的波动，由此增加本基金净值的波动风险。</w:t>
      </w:r>
    </w:p>
    <w:p w14:paraId="6712ECF9">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3</w:t>
      </w:r>
      <w:r>
        <w:rPr>
          <w:rFonts w:hint="eastAsia" w:hAnsi="宋体"/>
          <w:kern w:val="0"/>
          <w:sz w:val="24"/>
          <w:szCs w:val="24"/>
        </w:rPr>
        <w:t>）中小市值公司投资风险</w:t>
      </w:r>
    </w:p>
    <w:p w14:paraId="45E3289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中小市值公司存在业绩不稳定、股价波动性较大、市场流动性较差等风险，若本基金投资中小市值股票，本基金的投资风险可能增加。</w:t>
      </w:r>
    </w:p>
    <w:p w14:paraId="6B36CA6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4）股份数量、股票面值大幅变化的风险</w:t>
      </w:r>
    </w:p>
    <w:p w14:paraId="36CCD43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部分港股通上市公司基本面变化大，股票价格低可能存在大比例折价供股或配股、频繁分拆合并股份的行为，投资者持有的股份数量、股票面值可能发生大幅变化，由此可能增加本基金的投资风险。</w:t>
      </w:r>
    </w:p>
    <w:p w14:paraId="68341CE4">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）停牌风险</w:t>
      </w:r>
    </w:p>
    <w:p w14:paraId="34AC424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与内地市场相比，香港市场证券停牌制度存在一定差异，港股通标的证券可能出现长时间停牌现象，由此可能增加本基金的投资风险。</w:t>
      </w:r>
    </w:p>
    <w:p w14:paraId="4BD0D51E">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6</w:t>
      </w:r>
      <w:r>
        <w:rPr>
          <w:rFonts w:hint="eastAsia" w:hAnsi="宋体"/>
          <w:kern w:val="0"/>
          <w:sz w:val="24"/>
          <w:szCs w:val="24"/>
        </w:rPr>
        <w:t>）直接退市风险</w:t>
      </w:r>
    </w:p>
    <w:p w14:paraId="72662FB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14:paraId="29B47399">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7</w:t>
      </w:r>
      <w:r>
        <w:rPr>
          <w:rFonts w:hint="eastAsia" w:hAnsi="宋体"/>
          <w:kern w:val="0"/>
          <w:sz w:val="24"/>
          <w:szCs w:val="24"/>
        </w:rPr>
        <w:t>）港股通</w:t>
      </w:r>
      <w:r>
        <w:rPr>
          <w:rFonts w:hAnsi="宋体"/>
          <w:kern w:val="0"/>
          <w:sz w:val="24"/>
          <w:szCs w:val="24"/>
        </w:rPr>
        <w:t>ETF</w:t>
      </w:r>
      <w:r>
        <w:rPr>
          <w:rFonts w:hint="eastAsia" w:hAnsi="宋体"/>
          <w:kern w:val="0"/>
          <w:sz w:val="24"/>
          <w:szCs w:val="24"/>
        </w:rPr>
        <w:t>终止上市或更换管理人的风险</w:t>
      </w:r>
    </w:p>
    <w:p w14:paraId="15E29C7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与内地证券市场相比，香港市场</w:t>
      </w:r>
      <w:r>
        <w:rPr>
          <w:rFonts w:hAnsi="宋体"/>
          <w:kern w:val="0"/>
          <w:sz w:val="24"/>
          <w:szCs w:val="24"/>
        </w:rPr>
        <w:t>ETF</w:t>
      </w:r>
      <w:r>
        <w:rPr>
          <w:rFonts w:hint="eastAsia" w:hAnsi="宋体"/>
          <w:kern w:val="0"/>
          <w:sz w:val="24"/>
          <w:szCs w:val="24"/>
        </w:rPr>
        <w:t>终止上市或更换基金管理人等制度安排存在一定差异，港股通</w:t>
      </w:r>
      <w:r>
        <w:rPr>
          <w:rFonts w:hAnsi="宋体"/>
          <w:kern w:val="0"/>
          <w:sz w:val="24"/>
          <w:szCs w:val="24"/>
        </w:rPr>
        <w:t>ETF</w:t>
      </w:r>
      <w:r>
        <w:rPr>
          <w:rFonts w:hint="eastAsia" w:hAnsi="宋体"/>
          <w:kern w:val="0"/>
          <w:sz w:val="24"/>
          <w:szCs w:val="24"/>
        </w:rPr>
        <w:t>可能因基金管理人主动退出香港市场导致终止上市或更换基金管理人，由此可能增加本基金的投资风险。</w:t>
      </w:r>
    </w:p>
    <w:p w14:paraId="1F2D5C31">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8</w:t>
      </w:r>
      <w:r>
        <w:rPr>
          <w:rFonts w:hint="eastAsia" w:hAnsi="宋体"/>
          <w:kern w:val="0"/>
          <w:sz w:val="24"/>
          <w:szCs w:val="24"/>
        </w:rPr>
        <w:t>）港股通</w:t>
      </w:r>
      <w:r>
        <w:rPr>
          <w:rFonts w:hAnsi="宋体"/>
          <w:kern w:val="0"/>
          <w:sz w:val="24"/>
          <w:szCs w:val="24"/>
        </w:rPr>
        <w:t>ETF</w:t>
      </w:r>
      <w:r>
        <w:rPr>
          <w:rFonts w:hint="eastAsia" w:hAnsi="宋体"/>
          <w:kern w:val="0"/>
          <w:sz w:val="24"/>
          <w:szCs w:val="24"/>
        </w:rPr>
        <w:t>清盘的风险</w:t>
      </w:r>
    </w:p>
    <w:p w14:paraId="582DFAA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与内地证券市场相比，香港市场</w:t>
      </w:r>
      <w:r>
        <w:rPr>
          <w:rFonts w:hAnsi="宋体"/>
          <w:kern w:val="0"/>
          <w:sz w:val="24"/>
          <w:szCs w:val="24"/>
        </w:rPr>
        <w:t>ETF</w:t>
      </w:r>
      <w:r>
        <w:rPr>
          <w:rFonts w:hint="eastAsia" w:hAnsi="宋体"/>
          <w:kern w:val="0"/>
          <w:sz w:val="24"/>
          <w:szCs w:val="24"/>
        </w:rPr>
        <w:t>发生清盘业务，将基金资产变现所得的资金派发给投资者后，投资者证券账户中相应基金份额的注销日与清盘资金发放日之间可能间隔较长时间，对清盘后尚未注销的基金份额，投资者需审慎评估其价值。以上情况可能增加本基金的投资风险。</w:t>
      </w:r>
    </w:p>
    <w:p w14:paraId="136FE8F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（2）通过内地与香港股票市场交易互联互通机制投资的特有风险</w:t>
      </w:r>
    </w:p>
    <w:p w14:paraId="1F08DBA3">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w:t>
      </w:r>
      <w:r>
        <w:rPr>
          <w:rFonts w:hint="eastAsia" w:hAnsi="宋体"/>
          <w:kern w:val="0"/>
          <w:sz w:val="24"/>
          <w:szCs w:val="24"/>
        </w:rPr>
        <w:t>）港股通机制及其规则变动带来的风险</w:t>
      </w:r>
    </w:p>
    <w:p w14:paraId="4B9C381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5DB932E5">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w:t>
      </w:r>
      <w:r>
        <w:rPr>
          <w:rFonts w:hint="eastAsia" w:hAnsi="宋体"/>
          <w:kern w:val="0"/>
          <w:sz w:val="24"/>
          <w:szCs w:val="24"/>
        </w:rPr>
        <w:t>）港股通</w:t>
      </w:r>
      <w:r>
        <w:rPr>
          <w:rFonts w:hAnsi="宋体"/>
          <w:kern w:val="0"/>
          <w:sz w:val="24"/>
          <w:szCs w:val="24"/>
        </w:rPr>
        <w:t>标的证券</w:t>
      </w:r>
      <w:r>
        <w:rPr>
          <w:rFonts w:hint="eastAsia" w:hAnsi="宋体"/>
          <w:kern w:val="0"/>
          <w:sz w:val="24"/>
          <w:szCs w:val="24"/>
        </w:rPr>
        <w:t>范围受限及动态调整的风险</w:t>
      </w:r>
    </w:p>
    <w:p w14:paraId="535F26B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本基金可以通过港股通买卖的标的证券存在一定的范围限制，且港股通标的证券名单会动态调整。对于被调出的港股通标的证券，自调整之日起，本基金将不得再行买入。以上情形可能对本基金带来不利影响。</w:t>
      </w:r>
    </w:p>
    <w:p w14:paraId="58263B2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3</w:t>
      </w:r>
      <w:r>
        <w:rPr>
          <w:rFonts w:hint="eastAsia" w:hAnsi="宋体"/>
          <w:kern w:val="0"/>
          <w:sz w:val="24"/>
          <w:szCs w:val="24"/>
        </w:rPr>
        <w:t>）港股通交易日不连贯带来的基金净值波动风险</w:t>
      </w:r>
    </w:p>
    <w:p w14:paraId="600B01A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14:paraId="5EA37EE4">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4</w:t>
      </w:r>
      <w:r>
        <w:rPr>
          <w:rFonts w:hint="eastAsia" w:hAnsi="宋体"/>
          <w:kern w:val="0"/>
          <w:sz w:val="24"/>
          <w:szCs w:val="24"/>
        </w:rPr>
        <w:t>）交收制度带来的基金流动性风险</w:t>
      </w:r>
    </w:p>
    <w:p w14:paraId="7EAC213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香港证券市场与内地证券市场在证券资金的交收期安排上存在差异，香港证券市场实行</w:t>
      </w:r>
      <w:r>
        <w:rPr>
          <w:rFonts w:hAnsi="宋体"/>
          <w:kern w:val="0"/>
          <w:sz w:val="24"/>
          <w:szCs w:val="24"/>
        </w:rPr>
        <w:t>T+2</w:t>
      </w:r>
      <w:r>
        <w:rPr>
          <w:rFonts w:hint="eastAsia" w:hAnsi="宋体"/>
          <w:kern w:val="0"/>
          <w:sz w:val="24"/>
          <w:szCs w:val="24"/>
        </w:rPr>
        <w:t>日（</w:t>
      </w:r>
      <w:r>
        <w:rPr>
          <w:rFonts w:hAnsi="宋体"/>
          <w:kern w:val="0"/>
          <w:sz w:val="24"/>
          <w:szCs w:val="24"/>
        </w:rPr>
        <w:t>T</w:t>
      </w:r>
      <w:r>
        <w:rPr>
          <w:rFonts w:hint="eastAsia" w:hAnsi="宋体"/>
          <w:kern w:val="0"/>
          <w:sz w:val="24"/>
          <w:szCs w:val="24"/>
        </w:rPr>
        <w:t>日买卖股票，资金和股票在</w:t>
      </w:r>
      <w:r>
        <w:rPr>
          <w:rFonts w:hAnsi="宋体"/>
          <w:kern w:val="0"/>
          <w:sz w:val="24"/>
          <w:szCs w:val="24"/>
        </w:rPr>
        <w:t>T+2</w:t>
      </w:r>
      <w:r>
        <w:rPr>
          <w:rFonts w:hint="eastAsia" w:hAnsi="宋体"/>
          <w:kern w:val="0"/>
          <w:sz w:val="24"/>
          <w:szCs w:val="24"/>
        </w:rPr>
        <w:t>日才进行交收）的交收安排，本基金在</w:t>
      </w:r>
      <w:r>
        <w:rPr>
          <w:rFonts w:hAnsi="宋体"/>
          <w:kern w:val="0"/>
          <w:sz w:val="24"/>
          <w:szCs w:val="24"/>
        </w:rPr>
        <w:t>T</w:t>
      </w:r>
      <w:r>
        <w:rPr>
          <w:rFonts w:hint="eastAsia" w:hAnsi="宋体"/>
          <w:kern w:val="0"/>
          <w:sz w:val="24"/>
          <w:szCs w:val="24"/>
        </w:rPr>
        <w:t>日（港股通交易日）卖出股票，</w:t>
      </w:r>
      <w:r>
        <w:rPr>
          <w:rFonts w:hAnsi="宋体"/>
          <w:kern w:val="0"/>
          <w:sz w:val="24"/>
          <w:szCs w:val="24"/>
        </w:rPr>
        <w:t>T+2</w:t>
      </w:r>
      <w:r>
        <w:rPr>
          <w:rFonts w:hint="eastAsia" w:hAnsi="宋体"/>
          <w:kern w:val="0"/>
          <w:sz w:val="24"/>
          <w:szCs w:val="24"/>
        </w:rPr>
        <w:t>日（港股通交易日，即为卖出当日之后第二个港股通交易日）在香港市场完成清算交收，卖出的资金在</w:t>
      </w:r>
      <w:r>
        <w:rPr>
          <w:rFonts w:hAnsi="宋体"/>
          <w:kern w:val="0"/>
          <w:sz w:val="24"/>
          <w:szCs w:val="24"/>
        </w:rPr>
        <w:t>T+3</w:t>
      </w:r>
      <w:r>
        <w:rPr>
          <w:rFonts w:hint="eastAsia" w:hAnsi="宋体"/>
          <w:kern w:val="0"/>
          <w:sz w:val="24"/>
          <w:szCs w:val="24"/>
        </w:rPr>
        <w:t>日才能回到人民币资金账户，因此卖出资金回到本基金人民币账户的周期比内地证券市场要长；此外港股的交收可能因香港出现台风或黑色暴雨等发生延迟交易。因此交收制度的不同以及港股通交易日的设定原因，本基金可能面临卖出港股后资金不能及时到账，而造成支付赎回款日期比正常情况延后的风险。</w:t>
      </w:r>
    </w:p>
    <w:p w14:paraId="5DE4FE21">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）交易额度限制的风险</w:t>
      </w:r>
    </w:p>
    <w:p w14:paraId="5AE04DA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在内地与香港股票市场交易互联互通机制下，港股通交易实施每日额度限制，如当日额度使用完毕，当日投资者可能无法通过港股通买入，本基金可能面临每日额度不足而交易失败的风险。</w:t>
      </w:r>
    </w:p>
    <w:p w14:paraId="487AC230">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6</w:t>
      </w:r>
      <w:r>
        <w:rPr>
          <w:rFonts w:hint="eastAsia" w:hAnsi="宋体"/>
          <w:kern w:val="0"/>
          <w:sz w:val="24"/>
          <w:szCs w:val="24"/>
        </w:rPr>
        <w:t>）无法进行交易或交易中断的风险</w:t>
      </w:r>
    </w:p>
    <w:p w14:paraId="121A81D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出现联交所规定的特定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w:t>
      </w:r>
      <w:r>
        <w:rPr>
          <w:rFonts w:hAnsi="宋体"/>
          <w:kern w:val="0"/>
          <w:sz w:val="24"/>
          <w:szCs w:val="24"/>
        </w:rPr>
        <w:t>15</w:t>
      </w:r>
      <w:r>
        <w:rPr>
          <w:rFonts w:hint="eastAsia" w:hAnsi="宋体"/>
          <w:kern w:val="0"/>
          <w:sz w:val="24"/>
          <w:szCs w:val="24"/>
        </w:rPr>
        <w:t>分钟以上不能申报和撤销申报的交易中断风险。</w:t>
      </w:r>
    </w:p>
    <w:p w14:paraId="1CF9BB73">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7</w:t>
      </w:r>
      <w:r>
        <w:rPr>
          <w:rFonts w:hint="eastAsia" w:hAnsi="宋体"/>
          <w:kern w:val="0"/>
          <w:sz w:val="24"/>
          <w:szCs w:val="24"/>
        </w:rPr>
        <w:t>）汇率风险</w:t>
      </w:r>
    </w:p>
    <w:p w14:paraId="12B39EF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14:paraId="7CA6FEC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8</w:t>
      </w:r>
      <w:r>
        <w:rPr>
          <w:rFonts w:hint="eastAsia" w:hAnsi="宋体"/>
          <w:kern w:val="0"/>
          <w:sz w:val="24"/>
          <w:szCs w:val="24"/>
        </w:rPr>
        <w:t>）交易价格受限的风险</w:t>
      </w:r>
    </w:p>
    <w:p w14:paraId="178B04C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14:paraId="5E8BB2E1">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9</w:t>
      </w:r>
      <w:r>
        <w:rPr>
          <w:rFonts w:hint="eastAsia" w:hAnsi="宋体"/>
          <w:kern w:val="0"/>
          <w:sz w:val="24"/>
          <w:szCs w:val="24"/>
        </w:rPr>
        <w:t>）港股通制度下对公司行为的处理规则带来的风险</w:t>
      </w:r>
    </w:p>
    <w:p w14:paraId="5AA54D8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14:paraId="17464FA9">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10</w:t>
      </w:r>
      <w:r>
        <w:rPr>
          <w:rFonts w:hint="eastAsia" w:hAnsi="宋体"/>
          <w:kern w:val="0"/>
          <w:sz w:val="24"/>
          <w:szCs w:val="24"/>
        </w:rPr>
        <w:t>）结算风险</w:t>
      </w:r>
    </w:p>
    <w:p w14:paraId="64F4882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14:paraId="23981E01">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11</w:t>
      </w:r>
      <w:r>
        <w:rPr>
          <w:rFonts w:hint="eastAsia" w:hAnsi="宋体"/>
          <w:kern w:val="0"/>
          <w:sz w:val="24"/>
          <w:szCs w:val="24"/>
        </w:rPr>
        <w:t>）现金红利获得时间有所延后的风险</w:t>
      </w:r>
    </w:p>
    <w:p w14:paraId="092CBD7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对于在联交所上市公司派发的现金红利或联交所上市</w:t>
      </w:r>
      <w:r>
        <w:rPr>
          <w:rFonts w:hAnsi="宋体"/>
          <w:kern w:val="0"/>
          <w:sz w:val="24"/>
          <w:szCs w:val="24"/>
        </w:rPr>
        <w:t>ETF</w:t>
      </w:r>
      <w:r>
        <w:rPr>
          <w:rFonts w:hint="eastAsia" w:hAnsi="宋体"/>
          <w:kern w:val="0"/>
          <w:sz w:val="24"/>
          <w:szCs w:val="24"/>
        </w:rPr>
        <w:t>进行的收益分配，由于中国结算需要在收到香港结算派发的外币红利资金后进行换汇、清算、发放等业务处理，投资者通过港股通业务获得的现金红利将会较香港市场有所延后。</w:t>
      </w:r>
    </w:p>
    <w:p w14:paraId="784C3424">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12</w:t>
      </w:r>
      <w:r>
        <w:rPr>
          <w:rFonts w:hint="eastAsia" w:hAnsi="宋体"/>
          <w:kern w:val="0"/>
          <w:sz w:val="24"/>
          <w:szCs w:val="24"/>
        </w:rPr>
        <w:t>）投资方式受限的风险</w:t>
      </w:r>
    </w:p>
    <w:p w14:paraId="57E4972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本基金通过港股通业务暂不能参与新股发行认购、超额供股和超额公开配售，以及</w:t>
      </w:r>
      <w:r>
        <w:rPr>
          <w:rFonts w:hAnsi="宋体"/>
          <w:kern w:val="0"/>
          <w:sz w:val="24"/>
          <w:szCs w:val="24"/>
        </w:rPr>
        <w:t>ETF</w:t>
      </w:r>
      <w:r>
        <w:rPr>
          <w:rFonts w:hint="eastAsia" w:hAnsi="宋体"/>
          <w:kern w:val="0"/>
          <w:sz w:val="24"/>
          <w:szCs w:val="24"/>
        </w:rPr>
        <w:t>发行认购和申购赎回。</w:t>
      </w:r>
    </w:p>
    <w:p w14:paraId="08980A9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（3）本基金可根据投资策略需要或不同配置地市场环境的变化，选择将部分基金资产投资于港股通股票及港股通</w:t>
      </w:r>
      <w:r>
        <w:rPr>
          <w:rFonts w:hAnsi="宋体"/>
          <w:kern w:val="0"/>
          <w:sz w:val="24"/>
          <w:szCs w:val="24"/>
        </w:rPr>
        <w:t>ETF</w:t>
      </w:r>
      <w:r>
        <w:rPr>
          <w:rFonts w:hint="eastAsia" w:hAnsi="宋体"/>
          <w:kern w:val="0"/>
          <w:sz w:val="24"/>
          <w:szCs w:val="24"/>
        </w:rPr>
        <w:t>或选择不将基金资产投资于港股通股票及港股通</w:t>
      </w:r>
      <w:r>
        <w:rPr>
          <w:rFonts w:hAnsi="宋体"/>
          <w:kern w:val="0"/>
          <w:sz w:val="24"/>
          <w:szCs w:val="24"/>
        </w:rPr>
        <w:t>ETF</w:t>
      </w:r>
      <w:r>
        <w:rPr>
          <w:rFonts w:hint="eastAsia" w:hAnsi="宋体"/>
          <w:kern w:val="0"/>
          <w:sz w:val="24"/>
          <w:szCs w:val="24"/>
        </w:rPr>
        <w:t>，基金资产并非必然投资港股通股票及港股通</w:t>
      </w:r>
      <w:r>
        <w:rPr>
          <w:rFonts w:hAnsi="宋体"/>
          <w:kern w:val="0"/>
          <w:sz w:val="24"/>
          <w:szCs w:val="24"/>
        </w:rPr>
        <w:t>ETF</w:t>
      </w:r>
      <w:r>
        <w:rPr>
          <w:rFonts w:hint="eastAsia" w:hAnsi="宋体"/>
          <w:kern w:val="0"/>
          <w:sz w:val="24"/>
          <w:szCs w:val="24"/>
        </w:rPr>
        <w:t>。</w:t>
      </w:r>
    </w:p>
    <w:p w14:paraId="640993D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w:t>
      </w:r>
      <w:r>
        <w:rPr>
          <w:rFonts w:hAnsi="宋体"/>
          <w:kern w:val="0"/>
          <w:sz w:val="24"/>
          <w:szCs w:val="24"/>
        </w:rPr>
        <w:t>2</w:t>
      </w:r>
      <w:r>
        <w:rPr>
          <w:rFonts w:hint="eastAsia" w:hAnsi="宋体"/>
          <w:kern w:val="0"/>
          <w:sz w:val="24"/>
          <w:szCs w:val="24"/>
        </w:rPr>
        <w:t>、投资香港互认基金的特有风险</w:t>
      </w:r>
    </w:p>
    <w:p w14:paraId="24ABCA8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互认基金是指依照香港法律在香港设立、运作和公开销售，并经中国证监会批准在内地公开销售的单位信托、互惠基金或者其他形式的集体投资计划，香港互认基金管理人委托内地符合条件的机构作为代理人办理基金在境内的相关业务。本基金可投资于香港互认基金，主要存在如下风险：</w:t>
      </w:r>
    </w:p>
    <w:p w14:paraId="48612060">
      <w:pPr>
        <w:pStyle w:val="50"/>
        <w:widowControl/>
        <w:numPr>
          <w:ilvl w:val="0"/>
          <w:numId w:val="2"/>
        </w:numPr>
        <w:adjustRightInd w:val="0"/>
        <w:snapToGrid w:val="0"/>
        <w:spacing w:line="360" w:lineRule="auto"/>
        <w:ind w:firstLineChars="0"/>
        <w:rPr>
          <w:rFonts w:hint="eastAsia" w:hAnsi="宋体"/>
          <w:kern w:val="0"/>
          <w:sz w:val="24"/>
          <w:szCs w:val="24"/>
        </w:rPr>
      </w:pPr>
      <w:r>
        <w:rPr>
          <w:rFonts w:hint="eastAsia" w:hAnsi="宋体"/>
          <w:kern w:val="0"/>
          <w:sz w:val="24"/>
          <w:szCs w:val="24"/>
        </w:rPr>
        <w:t>香港互认基金境外投资风险</w:t>
      </w:r>
    </w:p>
    <w:p w14:paraId="6623CD5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香港互认基金投资标的主要包括内地以外的其他司法管辖区（简称为</w:t>
      </w:r>
      <w:r>
        <w:rPr>
          <w:rFonts w:hAnsi="宋体"/>
          <w:kern w:val="0"/>
          <w:sz w:val="24"/>
          <w:szCs w:val="24"/>
        </w:rPr>
        <w:t>“</w:t>
      </w:r>
      <w:r>
        <w:rPr>
          <w:rFonts w:hint="eastAsia" w:hAnsi="宋体"/>
          <w:kern w:val="0"/>
          <w:sz w:val="24"/>
          <w:szCs w:val="24"/>
        </w:rPr>
        <w:t>境外</w:t>
      </w:r>
      <w:r>
        <w:rPr>
          <w:rFonts w:hAnsi="宋体"/>
          <w:kern w:val="0"/>
          <w:sz w:val="24"/>
          <w:szCs w:val="24"/>
        </w:rPr>
        <w:t>”</w:t>
      </w:r>
      <w:r>
        <w:rPr>
          <w:rFonts w:hint="eastAsia" w:hAnsi="宋体"/>
          <w:kern w:val="0"/>
          <w:sz w:val="24"/>
          <w:szCs w:val="24"/>
        </w:rPr>
        <w:t>）的金融工具，投资香港互认基金面临不同于内地投资标的的投资风险，包括但不限于境外投资的市场风险、政府管制风险、政治风险、法律风险、汇率风险、基金的税务风险、境外特殊标的风险等，从而可能增加本基金的投资风险。</w:t>
      </w:r>
    </w:p>
    <w:p w14:paraId="6513BC54">
      <w:pPr>
        <w:pStyle w:val="50"/>
        <w:widowControl/>
        <w:numPr>
          <w:ilvl w:val="0"/>
          <w:numId w:val="3"/>
        </w:numPr>
        <w:adjustRightInd w:val="0"/>
        <w:snapToGrid w:val="0"/>
        <w:spacing w:line="360" w:lineRule="auto"/>
        <w:ind w:firstLineChars="0"/>
        <w:rPr>
          <w:rFonts w:hint="eastAsia" w:hAnsi="宋体"/>
          <w:kern w:val="0"/>
          <w:sz w:val="24"/>
          <w:szCs w:val="24"/>
        </w:rPr>
      </w:pPr>
      <w:r>
        <w:rPr>
          <w:rFonts w:hint="eastAsia" w:hAnsi="宋体"/>
          <w:kern w:val="0"/>
          <w:sz w:val="24"/>
          <w:szCs w:val="24"/>
        </w:rPr>
        <w:t>境外投资市场风险</w:t>
      </w:r>
    </w:p>
    <w:p w14:paraId="3C73634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境外投资受到所投资市场宏观经济运行情况、货币政策、财政政策、产业政策、税法、汇率、交易规则、结算、托管以及其他运作风险等多种因素的影响，上述因素的波动和变化可能会使香港互认基金资产面临潜在风险。</w:t>
      </w:r>
    </w:p>
    <w:p w14:paraId="35A749EA">
      <w:pPr>
        <w:widowControl/>
        <w:adjustRightInd w:val="0"/>
        <w:snapToGrid w:val="0"/>
        <w:spacing w:line="360" w:lineRule="auto"/>
        <w:ind w:left="480"/>
        <w:rPr>
          <w:rFonts w:hint="eastAsia" w:hAnsi="宋体"/>
          <w:kern w:val="0"/>
          <w:sz w:val="24"/>
          <w:szCs w:val="24"/>
        </w:rPr>
      </w:pPr>
      <w:r>
        <w:rPr>
          <w:rFonts w:hint="eastAsia" w:hAnsi="宋体"/>
          <w:kern w:val="0"/>
          <w:sz w:val="24"/>
          <w:szCs w:val="24"/>
        </w:rPr>
        <w:t>2）政府管制风险</w:t>
      </w:r>
    </w:p>
    <w:p w14:paraId="64E5F66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境外市场与内地市场的管制程度和具体措施不同，当地政府可能通过对财政、货币、产业等方面的政策进行管制，由此导致市场波动而影响香港互认基金收益。</w:t>
      </w:r>
    </w:p>
    <w:p w14:paraId="435B560E">
      <w:pPr>
        <w:widowControl/>
        <w:adjustRightInd w:val="0"/>
        <w:snapToGrid w:val="0"/>
        <w:spacing w:line="360" w:lineRule="auto"/>
        <w:ind w:left="480"/>
        <w:rPr>
          <w:rFonts w:hint="eastAsia" w:hAnsi="宋体"/>
          <w:kern w:val="0"/>
          <w:sz w:val="24"/>
          <w:szCs w:val="24"/>
        </w:rPr>
      </w:pPr>
      <w:r>
        <w:rPr>
          <w:rFonts w:hint="eastAsia" w:hAnsi="宋体"/>
          <w:kern w:val="0"/>
          <w:sz w:val="24"/>
          <w:szCs w:val="24"/>
        </w:rPr>
        <w:t>3）政治风险</w:t>
      </w:r>
    </w:p>
    <w:p w14:paraId="0BF210C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因政治局势变化（如战争、罢工等）可能导致当地市场出现较大波动，从而给香港互认基金的投资收益造成直接或间接的影响。此外，香港互认基金所投资市场可能会不时采取某些管制措施，如资本或外汇管制、对公司或行业的国有化以及征收高额税收等，从而对香港互认基金收益带来不利影响。</w:t>
      </w:r>
    </w:p>
    <w:p w14:paraId="4251D019">
      <w:pPr>
        <w:widowControl/>
        <w:adjustRightInd w:val="0"/>
        <w:snapToGrid w:val="0"/>
        <w:spacing w:line="360" w:lineRule="auto"/>
        <w:ind w:left="480"/>
        <w:rPr>
          <w:rFonts w:hint="eastAsia" w:hAnsi="宋体"/>
          <w:kern w:val="0"/>
          <w:sz w:val="24"/>
          <w:szCs w:val="24"/>
        </w:rPr>
      </w:pPr>
      <w:r>
        <w:rPr>
          <w:rFonts w:hint="eastAsia" w:hAnsi="宋体"/>
          <w:kern w:val="0"/>
          <w:sz w:val="24"/>
          <w:szCs w:val="24"/>
        </w:rPr>
        <w:t>4）法律风险</w:t>
      </w:r>
    </w:p>
    <w:p w14:paraId="590C300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由于境外市场法律法规的颁布或变更，可能导致香港互认基金的某些投资行为受到限制，从而使得香港互认基金资产面临损失的可能。</w:t>
      </w:r>
    </w:p>
    <w:p w14:paraId="50E0CFAD">
      <w:pPr>
        <w:widowControl/>
        <w:adjustRightInd w:val="0"/>
        <w:snapToGrid w:val="0"/>
        <w:spacing w:line="360" w:lineRule="auto"/>
        <w:ind w:left="480"/>
        <w:rPr>
          <w:rFonts w:hint="eastAsia" w:hAnsi="宋体"/>
          <w:kern w:val="0"/>
          <w:sz w:val="24"/>
          <w:szCs w:val="24"/>
        </w:rPr>
      </w:pPr>
      <w:r>
        <w:rPr>
          <w:rFonts w:hint="eastAsia" w:hAnsi="宋体"/>
          <w:kern w:val="0"/>
          <w:sz w:val="24"/>
          <w:szCs w:val="24"/>
        </w:rPr>
        <w:t>5）汇率风险</w:t>
      </w:r>
    </w:p>
    <w:p w14:paraId="5F7C6EC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互认基金的计价基础货币可能为美元、港币等外币，因此，本基金以人民币投资香港互认基金，可能承受由于人民币兑外币的汇率波动而产生的外汇风险。外币之间的汇率变化以及换汇费用将会影响本基金的投资收益。</w:t>
      </w:r>
    </w:p>
    <w:p w14:paraId="0B4A61D3">
      <w:pPr>
        <w:widowControl/>
        <w:adjustRightInd w:val="0"/>
        <w:snapToGrid w:val="0"/>
        <w:spacing w:line="360" w:lineRule="auto"/>
        <w:ind w:left="480"/>
        <w:rPr>
          <w:rFonts w:hint="eastAsia" w:hAnsi="宋体"/>
          <w:kern w:val="0"/>
          <w:sz w:val="24"/>
          <w:szCs w:val="24"/>
        </w:rPr>
      </w:pPr>
      <w:r>
        <w:rPr>
          <w:rFonts w:hint="eastAsia" w:hAnsi="宋体"/>
          <w:kern w:val="0"/>
          <w:sz w:val="24"/>
          <w:szCs w:val="24"/>
        </w:rPr>
        <w:t>6）基金的税务风险</w:t>
      </w:r>
    </w:p>
    <w:p w14:paraId="08665D7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由于境外市场在税务方面的法律法规与内地存在一定差异，境外市场可能会要求香港互认基金就股息、利息、资本利得等收益向当地税务机构缴纳税金，该行为会使香港互认基金收益受到一定影响。此外，境外市场的税收规定可能发生变化，或者实施具有追溯力的修订，从而导致本基金在该市场缴纳额外税项，影响香港互认基金收益。</w:t>
      </w:r>
    </w:p>
    <w:p w14:paraId="46327DD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7）境外特殊标的风险</w:t>
      </w:r>
    </w:p>
    <w:p w14:paraId="6BF774D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不同于内地证券投资基金，香港互认基金的投资标的可能包括低于投资级别或未评级的债券、其他集合投资计划、房地产投资信托基金、商品、期权、股票挂钩票据等衍生工具等。</w:t>
      </w:r>
    </w:p>
    <w:p w14:paraId="307C563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这些不同于内地的特殊投资标的存在特殊风险，可能使得香港互认基金资产面临损失。</w:t>
      </w:r>
    </w:p>
    <w:p w14:paraId="51AB456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（2）香港基金互认机制相关风险</w:t>
      </w:r>
    </w:p>
    <w:p w14:paraId="71E14BD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互认基金在内地销售需持续满足相关法规及监管要求，如基金在运作过程中不符合互认基金的条件或香港基金互认机制终止，相关香港互认基金可能会暂停或终止在内地销售；此外，香港互认基金在内地销售还可能面临内地代理人、内地销售机构或内地登记结算机构的操作风险、技术风险，跨境数据传输和跨境资金结算的系统风险、税收风险等，从而可能增加本基金的投资风险。</w:t>
      </w:r>
    </w:p>
    <w:p w14:paraId="46F4857B">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w:t>
      </w:r>
      <w:r>
        <w:rPr>
          <w:rFonts w:hint="eastAsia" w:hAnsi="宋体"/>
          <w:kern w:val="0"/>
          <w:sz w:val="24"/>
          <w:szCs w:val="24"/>
        </w:rPr>
        <w:t>）香港互认基金暂停或终止内地销售的风险</w:t>
      </w:r>
    </w:p>
    <w:p w14:paraId="46BF072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若基金管理人或互认基金不满足中国证监会规定的香港互认基金条件，或监管部门终止香港基金互认机制，相关的香港互认基金将可能无法继续在内地销售。此外，香港互认基金将受到全面的额度限制。若在内地销售的全部香港互认基金的销售额度达到中国证监会和</w:t>
      </w:r>
      <w:r>
        <w:rPr>
          <w:rFonts w:hAnsi="宋体"/>
          <w:kern w:val="0"/>
          <w:sz w:val="24"/>
          <w:szCs w:val="24"/>
        </w:rPr>
        <w:t>/</w:t>
      </w:r>
      <w:r>
        <w:rPr>
          <w:rFonts w:hint="eastAsia" w:hAnsi="宋体"/>
          <w:kern w:val="0"/>
          <w:sz w:val="24"/>
          <w:szCs w:val="24"/>
        </w:rPr>
        <w:t>或香港证监会和</w:t>
      </w:r>
      <w:r>
        <w:rPr>
          <w:rFonts w:hAnsi="宋体"/>
          <w:kern w:val="0"/>
          <w:sz w:val="24"/>
          <w:szCs w:val="24"/>
        </w:rPr>
        <w:t>/</w:t>
      </w:r>
      <w:r>
        <w:rPr>
          <w:rFonts w:hint="eastAsia" w:hAnsi="宋体"/>
          <w:kern w:val="0"/>
          <w:sz w:val="24"/>
          <w:szCs w:val="24"/>
        </w:rPr>
        <w:t>或国家外汇管理局和</w:t>
      </w:r>
      <w:r>
        <w:rPr>
          <w:rFonts w:hAnsi="宋体"/>
          <w:kern w:val="0"/>
          <w:sz w:val="24"/>
          <w:szCs w:val="24"/>
        </w:rPr>
        <w:t>/</w:t>
      </w:r>
      <w:r>
        <w:rPr>
          <w:rFonts w:hint="eastAsia" w:hAnsi="宋体"/>
          <w:kern w:val="0"/>
          <w:sz w:val="24"/>
          <w:szCs w:val="24"/>
        </w:rPr>
        <w:t>或其他监管机构规定的额度或者不时调整的额度，香港互认基金将暂停接受内地投资者的申购申请。</w:t>
      </w:r>
    </w:p>
    <w:p w14:paraId="244FE5E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2）内地代理人、内地销售机构或内地登记结算机构的操作风险、技术风险</w:t>
      </w:r>
    </w:p>
    <w:p w14:paraId="7D7BACE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内地投资者的申购、赎回由内地销售机构、内地代理人及</w:t>
      </w:r>
      <w:r>
        <w:rPr>
          <w:rFonts w:hAnsi="宋体"/>
          <w:kern w:val="0"/>
          <w:sz w:val="24"/>
          <w:szCs w:val="24"/>
        </w:rPr>
        <w:t>/</w:t>
      </w:r>
      <w:r>
        <w:rPr>
          <w:rFonts w:hint="eastAsia" w:hAnsi="宋体"/>
          <w:kern w:val="0"/>
          <w:sz w:val="24"/>
          <w:szCs w:val="24"/>
        </w:rPr>
        <w:t>或内地登记结算机构与互认基金的基金管理人、行政管理人进行数据清算和资金交收，并由名义持有人代名持有内地投资者的基金份额。内地销售机构、内地代理人或内地登记结算机构在业务各环节操作过程中，因操作失误或违反操作规程等原因可能引致风险，可能因为技术系统的故障或者差错而影响清算交收的正常进行，或者导致投资者的利益受到影响。</w:t>
      </w:r>
    </w:p>
    <w:p w14:paraId="30E6EB0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3）跨境数据传输和跨境资金结算的系统风险</w:t>
      </w:r>
    </w:p>
    <w:p w14:paraId="66FA1EE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赎回香港互认基金的数据清算和资金交收将通过内地登记结算机构的基金登记结算系统平台和基金管理人或行政管理人采用的登记结算系统平台进行传输和交换，可能会发生并非由相关参与主体的过错而导致的技术系统故障或者差错而影响清算交收的正常进行。</w:t>
      </w:r>
    </w:p>
    <w:p w14:paraId="5BF5BE2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4）税收风险</w:t>
      </w:r>
    </w:p>
    <w:p w14:paraId="31D5CB2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由于中国内地与香港的税收政策存在差异，可能导致在内地销售的香港互认基金份额的资产回报有别于在香港销售的份额。同时，中国内地关于在内地销售的香港互认基金与内地普通证券投资基金之间在税收政策上也存在差异，例如香港互认基金份额转让需支付香港印花税以及份额转让定额税项，内地个人投资者从香港互认基金分配获得的收益需缴纳个人所得税等，以上税收差异可能使内地销售的互认基金份额的投资收益和回报受到影响。</w:t>
      </w:r>
    </w:p>
    <w:p w14:paraId="06CF62E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5）名义持有人机制风险</w:t>
      </w:r>
    </w:p>
    <w:p w14:paraId="493CA86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与内地基金的注册登记规则不同，内地投资者持有的互认基金份额将由名义持有人代名持有并以名义持有人的名义登记为份额持有人。内地投资者并不会被基金注册登记机构直接登记于份额持有人登记册上。虽然在此安排下内地投资者仍是互认基金份额的实益拥有人，但名义持有人是该等基金份额法律上的拥有人。在此情况下，内地投资者与互认基金管理人、受托人并无任何直接合约关系。内地投资者对互认基金管理人及／或受托人若有任何权利主张，可通过名义持有人向互认基金管理人及／或受托人提出，相应费用由内地投资者自行承担。</w:t>
      </w:r>
    </w:p>
    <w:p w14:paraId="4BA952C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6）强制赎回风险</w:t>
      </w:r>
    </w:p>
    <w:p w14:paraId="72B4E4C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内地销售的互认基金份额而言，若赎回部分基金份额将导致赎回后其持有的相应类别的基金份额的价值少于互认基金规定的最低持有额，互认基金管理人有权要求剩余的基金份额一并被全部赎回。除此之外，若互认基金管理人认为基金投资者继续持有互认基金份额存在违反任何法律法规、基金合同约定或其他互认基金要求（如可能对互认基金或其他基金份额持有人产生不利的监管、税务或财政后果）的情况下，互认基金管理人可以强制赎回基金投资者持有的互认基金份额。</w:t>
      </w:r>
    </w:p>
    <w:p w14:paraId="3C41847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7）基金份额净值计算和差错处理差异的风险</w:t>
      </w:r>
    </w:p>
    <w:p w14:paraId="4B791E9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香港互认基金与内地公募基金根据适用的法规以及各自基金合同约定，其在基金份额净值计算、估值错误处理规则等方面存在差异，相应的过错责任方按基金合同约定承担赔偿责任的处理也会有所不同，由此可能增加本基金的相关投资风险。</w:t>
      </w:r>
    </w:p>
    <w:p w14:paraId="3BB133C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w:t>
      </w:r>
      <w:r>
        <w:rPr>
          <w:rFonts w:hAnsi="宋体"/>
          <w:kern w:val="0"/>
          <w:sz w:val="24"/>
          <w:szCs w:val="24"/>
        </w:rPr>
        <w:t>3</w:t>
      </w:r>
      <w:r>
        <w:rPr>
          <w:rFonts w:hint="eastAsia" w:hAnsi="宋体"/>
          <w:kern w:val="0"/>
          <w:sz w:val="24"/>
          <w:szCs w:val="24"/>
        </w:rPr>
        <w:t>、投资公募REITs可能面临的风险</w:t>
      </w:r>
    </w:p>
    <w:p w14:paraId="0CFD988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90%；三是公募REITs采取封闭式运作，不开放申购与赎回，在证券交易所上市，场外份额持有人需将基金份额转托管至场内才可卖出或申报预受要约。</w:t>
      </w:r>
    </w:p>
    <w:p w14:paraId="3C24E62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投资公募REITs可能面临以下风险，包括但不限于：</w:t>
      </w:r>
    </w:p>
    <w:p w14:paraId="03EC288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基金价格波动风险。公募REITs大部分资产投资于不动产项目，具有权益属性，受经济环境、运营管理等因素影响，不动产项目市场价值及现金流情况可能发生变化，可能引起公募REITs价格波动，甚至存在不动产项目遭遇极端事件（如地震、台风等）发生较大损失而影响基金价格的风险。</w:t>
      </w:r>
    </w:p>
    <w:p w14:paraId="32C0147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不动产项目运营风险。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此外，公募REITs可直接或间接对外借款，存在不动产项目经营不达预期，基金无法偿还借款的风险。</w:t>
      </w:r>
    </w:p>
    <w:p w14:paraId="0EAC1C78">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基金份额交易价格折溢价风险。公募REITs基金合同生效后，将根据相关法律法规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3926CCC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流动性风险。公募REITs采取封闭式运作，不开放申购赎回，只能在二级市场交易，存在流动性不足的风险。此外，公募REITs持有不动产资产支持证券全部份额，如发生特殊情况需要处置不动产资产支持证券，可能会由于不动产资产支持证券流动性较弱而带来损失（如证券不能卖出或贬值出售等）。不动产资产支持证券通过项目公司持有的不动产资产可能会存在无法处置及变现的风险。</w:t>
      </w:r>
    </w:p>
    <w:p w14:paraId="4EB8565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5</w:t>
      </w:r>
      <w:r>
        <w:rPr>
          <w:rFonts w:hint="eastAsia" w:hAnsi="宋体"/>
          <w:kern w:val="0"/>
          <w:sz w:val="24"/>
          <w:szCs w:val="24"/>
        </w:rPr>
        <w:t>）终止上市风险。公募REITs运作过程中可能因触发法律法规或交易所规定的终止上市情形而终止上市，导致投资者无法在二级市场交易。</w:t>
      </w:r>
    </w:p>
    <w:p w14:paraId="39841A6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6</w:t>
      </w:r>
      <w:r>
        <w:rPr>
          <w:rFonts w:hint="eastAsia" w:hAnsi="宋体"/>
          <w:kern w:val="0"/>
          <w:sz w:val="24"/>
          <w:szCs w:val="24"/>
        </w:rPr>
        <w:t>）政策调整风险。公募REITs存在因相关法律法规或监管机构政策修改等基金管理人无法控制的因素的变化，使基金或投资者利益受到影响的风险，例如：公募REITs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68B8366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7）利益冲突风险。公募REITs基金管理人可能同时管理多只同类型的公募REITs；公募REITs基金管理人聘请的运营管理机构可能持有或为其他同类型的不动产项目提供运营管理服务；公募REITs原始权益人也可能持有或管理其他同类型的不动产项目等。由于上述情况，公募REITs的关联方可能与公募REITs存在一定的利益冲突。</w:t>
      </w:r>
    </w:p>
    <w:p w14:paraId="199C7974">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8</w:t>
      </w:r>
      <w:r>
        <w:rPr>
          <w:rFonts w:hint="eastAsia" w:hAnsi="宋体"/>
          <w:kern w:val="0"/>
          <w:sz w:val="24"/>
          <w:szCs w:val="24"/>
        </w:rPr>
        <w:t>）估值风险。不动产资产的评估以收益法为主，收益法进行估价时需要测算收益期、测算未来收益、确定报酬率或者资本化率，并将未来收益折现为现值。由于不动产资产的评估值是基于相关假设条件测算得到的，估值技术和信息的局限性导致不动产资产的评估值并不代表对不动产资产真实的公允价值，也不构成未来可交易价格的保证。在不动产项目出售的过程中，可能出现成交价格低于估值的情形，对基金财务状况造成不利影响。</w:t>
      </w:r>
    </w:p>
    <w:p w14:paraId="2B8516A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9</w:t>
      </w:r>
      <w:r>
        <w:rPr>
          <w:rFonts w:hint="eastAsia" w:hAnsi="宋体"/>
          <w:kern w:val="0"/>
          <w:sz w:val="24"/>
          <w:szCs w:val="24"/>
        </w:rPr>
        <w:t>）市场风险。公募REITs除投资于不动产资产支持证券外，也可以根据基金合同约定投资于其他资产，因此也面临证券市场价格波动风险。</w:t>
      </w:r>
    </w:p>
    <w:p w14:paraId="44711A9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10</w:t>
      </w:r>
      <w:r>
        <w:rPr>
          <w:rFonts w:hint="eastAsia" w:hAnsi="宋体"/>
          <w:kern w:val="0"/>
          <w:sz w:val="24"/>
          <w:szCs w:val="24"/>
        </w:rPr>
        <w:t>）公募REITs相关法律法规和交易所业务规则，可能根据市场情况进行修改，或者制定新的法律法规和业务规则，投资者应当及时予以关注和了解。</w:t>
      </w:r>
    </w:p>
    <w:p w14:paraId="3F44E41C">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w:t>
      </w:r>
      <w:r>
        <w:rPr>
          <w:rFonts w:hAnsi="宋体"/>
          <w:kern w:val="0"/>
          <w:sz w:val="24"/>
          <w:szCs w:val="24"/>
        </w:rPr>
        <w:t>4</w:t>
      </w:r>
      <w:r>
        <w:rPr>
          <w:rFonts w:hint="eastAsia" w:hAnsi="宋体"/>
          <w:kern w:val="0"/>
          <w:sz w:val="24"/>
          <w:szCs w:val="24"/>
        </w:rPr>
        <w:t>、本基金可投资于商品基金，因此将间接承担商品基金可能面临的商品价格波动风险、投资商品期货合约的风险、盯市风险等商品投资风险。</w:t>
      </w:r>
    </w:p>
    <w:p w14:paraId="4ECACC6A">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15</w:t>
      </w:r>
      <w:r>
        <w:rPr>
          <w:rFonts w:hint="eastAsia" w:hAnsi="宋体"/>
          <w:kern w:val="0"/>
          <w:sz w:val="24"/>
          <w:szCs w:val="24"/>
        </w:rPr>
        <w:t>、投资科创板股票的特定风险</w:t>
      </w:r>
    </w:p>
    <w:p w14:paraId="7A1493CE">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614AA7F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（1）市场风险</w:t>
      </w:r>
    </w:p>
    <w:p w14:paraId="43558C7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3868156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科创板个股上市后的前五个交易日无涨跌停限制，其后涨跌幅限制为20%，科创板股票上市首日即可作为融资融券标的，可能导致较大的股票价格波动。</w:t>
      </w:r>
    </w:p>
    <w:p w14:paraId="09FE052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（2）流动性风险</w:t>
      </w:r>
    </w:p>
    <w:p w14:paraId="506CE0E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科创板整体投资门槛较高，二级市场上个人投资者参与度相对较低，机构持有个股大量流通盘导致个股流动性较差，基金组合存在无法及时变现及其他相关流动性风险。</w:t>
      </w:r>
    </w:p>
    <w:p w14:paraId="70EC616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（3）退市风险</w:t>
      </w:r>
    </w:p>
    <w:p w14:paraId="14058BC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科创板退市制度较主板更为严格，且不再设置暂停上市、恢复上市和重新上市环节，上市公司退市风险更大。</w:t>
      </w:r>
    </w:p>
    <w:p w14:paraId="609120B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）系统性风险</w:t>
      </w:r>
    </w:p>
    <w:p w14:paraId="3EDB47E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科创板企业均为市场认可度较高的科技创新企业，在企业经营及盈利模式上存在趋同，所以科创板个股相关性较高，市场表现不佳时，系统性风险将更为显著。</w:t>
      </w:r>
    </w:p>
    <w:p w14:paraId="07941B3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5</w:t>
      </w:r>
      <w:r>
        <w:rPr>
          <w:rFonts w:hint="eastAsia" w:hAnsi="宋体"/>
          <w:kern w:val="0"/>
          <w:sz w:val="24"/>
          <w:szCs w:val="24"/>
        </w:rPr>
        <w:t>）政策风险</w:t>
      </w:r>
    </w:p>
    <w:p w14:paraId="22175E0F">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国家对高新技术产业扶持力度及重视程度的变化会对科创板企业带来较大影响，国际经济形势变化对战略新兴产业及科创板个股也会带来政策影响。</w:t>
      </w:r>
    </w:p>
    <w:p w14:paraId="78A2CFA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w:t>
      </w:r>
      <w:r>
        <w:rPr>
          <w:rFonts w:hAnsi="宋体"/>
          <w:kern w:val="0"/>
          <w:sz w:val="24"/>
          <w:szCs w:val="24"/>
        </w:rPr>
        <w:t>6</w:t>
      </w:r>
      <w:r>
        <w:rPr>
          <w:rFonts w:hint="eastAsia" w:hAnsi="宋体"/>
          <w:kern w:val="0"/>
          <w:sz w:val="24"/>
          <w:szCs w:val="24"/>
        </w:rPr>
        <w:t>、投资存托凭证的特定风险</w:t>
      </w:r>
    </w:p>
    <w:p w14:paraId="27FD961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3B03146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F9019A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本基金可根据投资策略需要或市场环境的变化，选择将部分基金资产投资于存托凭证或选择不将基金资产投资于存托凭证，基金资产并非必然投资存托凭证。</w:t>
      </w:r>
    </w:p>
    <w:p w14:paraId="598C2B52">
      <w:pPr>
        <w:widowControl/>
        <w:adjustRightInd w:val="0"/>
        <w:snapToGrid w:val="0"/>
        <w:spacing w:line="360" w:lineRule="auto"/>
        <w:ind w:firstLine="482" w:firstLineChars="200"/>
        <w:rPr>
          <w:rFonts w:hint="eastAsia" w:hAnsi="宋体"/>
          <w:b/>
          <w:kern w:val="0"/>
          <w:sz w:val="24"/>
          <w:szCs w:val="24"/>
        </w:rPr>
      </w:pPr>
      <w:r>
        <w:rPr>
          <w:rFonts w:hint="eastAsia" w:hAnsi="宋体"/>
          <w:b/>
          <w:kern w:val="0"/>
          <w:sz w:val="24"/>
          <w:szCs w:val="24"/>
        </w:rPr>
        <w:t>（六）本基金法律文件风险收益特征表述与销售机构基金风险评价可能不一致的风险</w:t>
      </w:r>
    </w:p>
    <w:p w14:paraId="60B4FA51">
      <w:pPr>
        <w:widowControl/>
        <w:adjustRightInd w:val="0"/>
        <w:snapToGrid w:val="0"/>
        <w:spacing w:line="360" w:lineRule="auto"/>
        <w:ind w:firstLine="480" w:firstLineChars="200"/>
        <w:rPr>
          <w:rFonts w:hint="eastAsia" w:hAnsi="宋体"/>
          <w:bCs/>
          <w:kern w:val="0"/>
          <w:sz w:val="24"/>
          <w:szCs w:val="24"/>
        </w:rPr>
      </w:pPr>
      <w:r>
        <w:rPr>
          <w:rFonts w:hint="eastAsia" w:hAnsi="宋体"/>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051934E2">
      <w:pPr>
        <w:widowControl/>
        <w:adjustRightInd w:val="0"/>
        <w:snapToGrid w:val="0"/>
        <w:spacing w:line="360" w:lineRule="auto"/>
        <w:ind w:firstLine="482" w:firstLineChars="200"/>
        <w:rPr>
          <w:b/>
          <w:kern w:val="0"/>
          <w:sz w:val="24"/>
          <w:szCs w:val="24"/>
        </w:rPr>
      </w:pPr>
      <w:r>
        <w:rPr>
          <w:rFonts w:hint="eastAsia" w:hAnsi="宋体"/>
          <w:b/>
          <w:kern w:val="0"/>
          <w:sz w:val="24"/>
          <w:szCs w:val="24"/>
        </w:rPr>
        <w:t>（七）</w:t>
      </w:r>
      <w:r>
        <w:rPr>
          <w:rFonts w:hAnsi="宋体"/>
          <w:b/>
          <w:kern w:val="0"/>
          <w:sz w:val="24"/>
          <w:szCs w:val="24"/>
        </w:rPr>
        <w:t>其他风险</w:t>
      </w:r>
    </w:p>
    <w:p w14:paraId="4EF6327D">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、因技术因素而产生的风险，如电脑系统不可靠产生的风险；</w:t>
      </w:r>
    </w:p>
    <w:p w14:paraId="078B410D">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14:paraId="6DC92939">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、因人为因素而产生的风险、如内幕交易、欺诈行为等产生的风险；</w:t>
      </w:r>
    </w:p>
    <w:p w14:paraId="4476E3A5">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、对主要业务人员如基金经理的依赖而可能产生的风险；</w:t>
      </w:r>
    </w:p>
    <w:p w14:paraId="0D1A96F7">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、因业务竞争压力可能产生的风险；</w:t>
      </w:r>
    </w:p>
    <w:p w14:paraId="10EE586B">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14:paraId="4284DAF8">
      <w:pPr>
        <w:widowControl/>
        <w:adjustRightInd w:val="0"/>
        <w:snapToGrid w:val="0"/>
        <w:spacing w:line="360" w:lineRule="auto"/>
        <w:ind w:firstLine="480" w:firstLineChars="200"/>
        <w:rPr>
          <w:kern w:val="0"/>
          <w:sz w:val="24"/>
        </w:rPr>
      </w:pPr>
      <w:r>
        <w:rPr>
          <w:kern w:val="0"/>
          <w:sz w:val="24"/>
          <w:szCs w:val="24"/>
        </w:rPr>
        <w:t>7</w:t>
      </w:r>
      <w:r>
        <w:rPr>
          <w:rFonts w:hAnsi="宋体"/>
          <w:kern w:val="0"/>
          <w:sz w:val="24"/>
          <w:szCs w:val="24"/>
        </w:rPr>
        <w:t>、其他意外导致的风险。</w:t>
      </w:r>
      <w:bookmarkStart w:id="102" w:name="OLE_LINK15"/>
    </w:p>
    <w:p w14:paraId="541AC647">
      <w:pPr>
        <w:widowControl/>
        <w:spacing w:line="360" w:lineRule="auto"/>
        <w:rPr>
          <w:kern w:val="0"/>
          <w:sz w:val="24"/>
        </w:rPr>
      </w:pPr>
    </w:p>
    <w:p w14:paraId="755D0B69">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103" w:name="_Toc56690598"/>
      <w:bookmarkStart w:id="104" w:name="_Hlk195284411"/>
      <w:r>
        <w:rPr>
          <w:rFonts w:hint="eastAsia" w:hAnsi="宋体"/>
          <w:b/>
          <w:kern w:val="0"/>
          <w:sz w:val="30"/>
        </w:rPr>
        <w:t>十八</w:t>
      </w:r>
      <w:r>
        <w:rPr>
          <w:rFonts w:hAnsi="宋体"/>
          <w:b/>
          <w:kern w:val="0"/>
          <w:sz w:val="30"/>
        </w:rPr>
        <w:t>、基金合同的变更、终止与基金财</w:t>
      </w:r>
      <w:bookmarkEnd w:id="102"/>
      <w:r>
        <w:rPr>
          <w:rFonts w:hAnsi="宋体"/>
          <w:b/>
          <w:kern w:val="0"/>
          <w:sz w:val="30"/>
        </w:rPr>
        <w:t>产的清算</w:t>
      </w:r>
      <w:bookmarkEnd w:id="103"/>
    </w:p>
    <w:p w14:paraId="06DE2823">
      <w:pPr>
        <w:adjustRightInd w:val="0"/>
        <w:snapToGrid w:val="0"/>
        <w:spacing w:line="360" w:lineRule="auto"/>
        <w:ind w:firstLine="482" w:firstLineChars="200"/>
        <w:rPr>
          <w:b/>
          <w:bCs/>
          <w:sz w:val="24"/>
        </w:rPr>
      </w:pPr>
      <w:r>
        <w:rPr>
          <w:b/>
          <w:bCs/>
          <w:sz w:val="24"/>
        </w:rPr>
        <w:t>（一）《基金合同》的变更</w:t>
      </w:r>
    </w:p>
    <w:p w14:paraId="2135BD99">
      <w:pPr>
        <w:adjustRightInd w:val="0"/>
        <w:snapToGrid w:val="0"/>
        <w:spacing w:line="360" w:lineRule="auto"/>
        <w:ind w:firstLine="480" w:firstLineChars="200"/>
        <w:rPr>
          <w:rFonts w:hint="eastAsia"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104603F6">
      <w:pPr>
        <w:adjustRightInd w:val="0"/>
        <w:snapToGrid w:val="0"/>
        <w:spacing w:line="360" w:lineRule="auto"/>
        <w:ind w:firstLine="480" w:firstLineChars="200"/>
        <w:rPr>
          <w:rFonts w:hint="eastAsia" w:hAnsi="宋体"/>
          <w:kern w:val="0"/>
          <w:sz w:val="24"/>
        </w:rPr>
      </w:pPr>
      <w:r>
        <w:rPr>
          <w:rFonts w:hint="eastAsia" w:hAnsi="宋体"/>
          <w:kern w:val="0"/>
          <w:sz w:val="24"/>
        </w:rPr>
        <w:t>2、关于《基金合同》变更的基金份额持有人大会决议自生效后方可执行，自决议生效后依照《信息披露办法》的规定在规定媒介公告。</w:t>
      </w:r>
    </w:p>
    <w:p w14:paraId="62456289">
      <w:pPr>
        <w:adjustRightInd w:val="0"/>
        <w:snapToGrid w:val="0"/>
        <w:spacing w:line="360" w:lineRule="auto"/>
        <w:ind w:firstLine="482" w:firstLineChars="200"/>
        <w:rPr>
          <w:b/>
          <w:bCs/>
          <w:sz w:val="24"/>
        </w:rPr>
      </w:pPr>
      <w:r>
        <w:rPr>
          <w:b/>
          <w:bCs/>
          <w:sz w:val="24"/>
        </w:rPr>
        <w:t>（二）《基金合同》的终止事由</w:t>
      </w:r>
    </w:p>
    <w:p w14:paraId="6F9C9753">
      <w:pPr>
        <w:adjustRightInd w:val="0"/>
        <w:snapToGrid w:val="0"/>
        <w:spacing w:line="360" w:lineRule="auto"/>
        <w:ind w:firstLine="480" w:firstLineChars="200"/>
        <w:rPr>
          <w:rFonts w:hint="eastAsia" w:hAnsi="宋体"/>
          <w:kern w:val="0"/>
          <w:sz w:val="24"/>
        </w:rPr>
      </w:pPr>
      <w:r>
        <w:rPr>
          <w:rFonts w:hint="eastAsia" w:hAnsi="宋体"/>
          <w:kern w:val="0"/>
          <w:sz w:val="24"/>
        </w:rPr>
        <w:t>有下列情形之一的，经履行相关程序后，《基金合同》应当终止：</w:t>
      </w:r>
    </w:p>
    <w:p w14:paraId="0CC0F0E6">
      <w:pPr>
        <w:adjustRightInd w:val="0"/>
        <w:snapToGrid w:val="0"/>
        <w:spacing w:line="360" w:lineRule="auto"/>
        <w:ind w:firstLine="480" w:firstLineChars="200"/>
        <w:rPr>
          <w:rFonts w:hint="eastAsia" w:hAnsi="宋体"/>
          <w:kern w:val="0"/>
          <w:sz w:val="24"/>
        </w:rPr>
      </w:pPr>
      <w:r>
        <w:rPr>
          <w:rFonts w:hint="eastAsia" w:hAnsi="宋体"/>
          <w:kern w:val="0"/>
          <w:sz w:val="24"/>
        </w:rPr>
        <w:t>1、基金份额持有人大会决定终止的；</w:t>
      </w:r>
    </w:p>
    <w:p w14:paraId="68882E90">
      <w:pPr>
        <w:adjustRightInd w:val="0"/>
        <w:snapToGrid w:val="0"/>
        <w:spacing w:line="360" w:lineRule="auto"/>
        <w:ind w:firstLine="480" w:firstLineChars="200"/>
        <w:rPr>
          <w:rFonts w:hint="eastAsia" w:hAnsi="宋体"/>
          <w:kern w:val="0"/>
          <w:sz w:val="24"/>
        </w:rPr>
      </w:pPr>
      <w:r>
        <w:rPr>
          <w:rFonts w:hint="eastAsia" w:hAnsi="宋体"/>
          <w:kern w:val="0"/>
          <w:sz w:val="24"/>
        </w:rPr>
        <w:t>2、基金管理人、基金托管人职责终止，在6个月内没有新基金管理人、新基金托管人承接的；</w:t>
      </w:r>
    </w:p>
    <w:p w14:paraId="67592F1D">
      <w:pPr>
        <w:adjustRightInd w:val="0"/>
        <w:snapToGrid w:val="0"/>
        <w:spacing w:line="360" w:lineRule="auto"/>
        <w:ind w:firstLine="480" w:firstLineChars="200"/>
        <w:rPr>
          <w:rFonts w:hint="eastAsia" w:hAnsi="宋体"/>
          <w:kern w:val="0"/>
          <w:sz w:val="24"/>
        </w:rPr>
      </w:pPr>
      <w:r>
        <w:rPr>
          <w:rFonts w:hint="eastAsia" w:hAnsi="宋体"/>
          <w:kern w:val="0"/>
          <w:sz w:val="24"/>
        </w:rPr>
        <w:t>3、《基金合同》约定的其他情形；</w:t>
      </w:r>
    </w:p>
    <w:p w14:paraId="3CE0EB0E">
      <w:pPr>
        <w:adjustRightInd w:val="0"/>
        <w:snapToGrid w:val="0"/>
        <w:spacing w:line="360" w:lineRule="auto"/>
        <w:ind w:firstLine="480" w:firstLineChars="200"/>
        <w:rPr>
          <w:rFonts w:hint="eastAsia" w:hAnsi="宋体"/>
          <w:kern w:val="0"/>
          <w:sz w:val="24"/>
        </w:rPr>
      </w:pPr>
      <w:r>
        <w:rPr>
          <w:rFonts w:hint="eastAsia" w:hAnsi="宋体"/>
          <w:kern w:val="0"/>
          <w:sz w:val="24"/>
        </w:rPr>
        <w:t>4、相关法律法规和中国证监会规定的其他情况。</w:t>
      </w:r>
    </w:p>
    <w:p w14:paraId="0E03823C">
      <w:pPr>
        <w:adjustRightInd w:val="0"/>
        <w:snapToGrid w:val="0"/>
        <w:spacing w:line="360" w:lineRule="auto"/>
        <w:ind w:firstLine="482" w:firstLineChars="200"/>
        <w:rPr>
          <w:b/>
          <w:bCs/>
          <w:sz w:val="24"/>
        </w:rPr>
      </w:pPr>
      <w:r>
        <w:rPr>
          <w:b/>
          <w:bCs/>
          <w:sz w:val="24"/>
        </w:rPr>
        <w:t>（三）基金财产的清算</w:t>
      </w:r>
    </w:p>
    <w:p w14:paraId="36FE64C3">
      <w:pPr>
        <w:adjustRightInd w:val="0"/>
        <w:snapToGrid w:val="0"/>
        <w:spacing w:line="360" w:lineRule="auto"/>
        <w:ind w:firstLine="480" w:firstLineChars="200"/>
        <w:rPr>
          <w:rFonts w:hint="eastAsia"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14:paraId="134250A5">
      <w:pPr>
        <w:adjustRightInd w:val="0"/>
        <w:snapToGrid w:val="0"/>
        <w:spacing w:line="360" w:lineRule="auto"/>
        <w:ind w:firstLine="480" w:firstLineChars="200"/>
        <w:rPr>
          <w:rFonts w:hint="eastAsia" w:hAnsi="宋体"/>
          <w:kern w:val="0"/>
          <w:sz w:val="24"/>
        </w:rPr>
      </w:pPr>
      <w:r>
        <w:rPr>
          <w:rFonts w:hint="eastAsia" w:hAnsi="宋体"/>
          <w:kern w:val="0"/>
          <w:sz w:val="24"/>
        </w:rPr>
        <w:t>2、基金财产清算小组组成：基金财产清算小组成员由基金管理人、基金托管人、</w:t>
      </w:r>
      <w:r>
        <w:rPr>
          <w:bCs/>
          <w:sz w:val="24"/>
        </w:rPr>
        <w:t>符合《中华人民共和国证券法》规定</w:t>
      </w:r>
      <w:r>
        <w:rPr>
          <w:rFonts w:hint="eastAsia" w:hAnsi="宋体"/>
          <w:kern w:val="0"/>
          <w:sz w:val="24"/>
        </w:rPr>
        <w:t>的注册会计师、律师以及中国证监会指定的人员组成。基金财产清算小组可以聘用必要的工作人员。</w:t>
      </w:r>
    </w:p>
    <w:p w14:paraId="380042BD">
      <w:pPr>
        <w:adjustRightInd w:val="0"/>
        <w:snapToGrid w:val="0"/>
        <w:spacing w:line="360" w:lineRule="auto"/>
        <w:ind w:firstLine="480" w:firstLineChars="200"/>
        <w:rPr>
          <w:rFonts w:hint="eastAsia"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14:paraId="471C4CDC">
      <w:pPr>
        <w:adjustRightInd w:val="0"/>
        <w:snapToGrid w:val="0"/>
        <w:spacing w:line="360" w:lineRule="auto"/>
        <w:ind w:firstLine="480" w:firstLineChars="200"/>
        <w:rPr>
          <w:rFonts w:hint="eastAsia" w:hAnsi="宋体"/>
          <w:kern w:val="0"/>
          <w:sz w:val="24"/>
        </w:rPr>
      </w:pPr>
      <w:r>
        <w:rPr>
          <w:rFonts w:hint="eastAsia" w:hAnsi="宋体"/>
          <w:kern w:val="0"/>
          <w:sz w:val="24"/>
        </w:rPr>
        <w:t>4、基金财产清算程序：</w:t>
      </w:r>
    </w:p>
    <w:p w14:paraId="7DA12C29">
      <w:pPr>
        <w:adjustRightInd w:val="0"/>
        <w:snapToGrid w:val="0"/>
        <w:spacing w:line="360" w:lineRule="auto"/>
        <w:ind w:firstLine="480" w:firstLineChars="200"/>
        <w:rPr>
          <w:rFonts w:hint="eastAsia" w:hAnsi="宋体"/>
          <w:kern w:val="0"/>
          <w:sz w:val="24"/>
        </w:rPr>
      </w:pPr>
      <w:r>
        <w:rPr>
          <w:rFonts w:hint="eastAsia" w:hAnsi="宋体"/>
          <w:kern w:val="0"/>
          <w:sz w:val="24"/>
        </w:rPr>
        <w:t>（1）《基金合同》终止情形出现时，由基金财产清算小组统一接管基金财产；</w:t>
      </w:r>
    </w:p>
    <w:p w14:paraId="5263B747">
      <w:pPr>
        <w:adjustRightInd w:val="0"/>
        <w:snapToGrid w:val="0"/>
        <w:spacing w:line="360" w:lineRule="auto"/>
        <w:ind w:firstLine="480" w:firstLineChars="200"/>
        <w:rPr>
          <w:rFonts w:hint="eastAsia" w:hAnsi="宋体"/>
          <w:kern w:val="0"/>
          <w:sz w:val="24"/>
        </w:rPr>
      </w:pPr>
      <w:r>
        <w:rPr>
          <w:rFonts w:hint="eastAsia" w:hAnsi="宋体"/>
          <w:kern w:val="0"/>
          <w:sz w:val="24"/>
        </w:rPr>
        <w:t>（2）对基金财产和债权债务进行清理和确认；</w:t>
      </w:r>
    </w:p>
    <w:p w14:paraId="0ABC2E1F">
      <w:pPr>
        <w:adjustRightInd w:val="0"/>
        <w:snapToGrid w:val="0"/>
        <w:spacing w:line="360" w:lineRule="auto"/>
        <w:ind w:firstLine="480" w:firstLineChars="200"/>
        <w:rPr>
          <w:rFonts w:hint="eastAsia" w:hAnsi="宋体"/>
          <w:kern w:val="0"/>
          <w:sz w:val="24"/>
        </w:rPr>
      </w:pPr>
      <w:r>
        <w:rPr>
          <w:rFonts w:hint="eastAsia" w:hAnsi="宋体"/>
          <w:kern w:val="0"/>
          <w:sz w:val="24"/>
        </w:rPr>
        <w:t>（3）对基金财产进行估值和变现；</w:t>
      </w:r>
    </w:p>
    <w:p w14:paraId="2BEA5CE0">
      <w:pPr>
        <w:adjustRightInd w:val="0"/>
        <w:snapToGrid w:val="0"/>
        <w:spacing w:line="360" w:lineRule="auto"/>
        <w:ind w:firstLine="480" w:firstLineChars="200"/>
        <w:rPr>
          <w:rFonts w:hint="eastAsia" w:hAnsi="宋体"/>
          <w:kern w:val="0"/>
          <w:sz w:val="24"/>
        </w:rPr>
      </w:pPr>
      <w:r>
        <w:rPr>
          <w:rFonts w:hint="eastAsia" w:hAnsi="宋体"/>
          <w:kern w:val="0"/>
          <w:sz w:val="24"/>
        </w:rPr>
        <w:t>（4）制作清算报告；</w:t>
      </w:r>
    </w:p>
    <w:p w14:paraId="69D9B926">
      <w:pPr>
        <w:adjustRightInd w:val="0"/>
        <w:snapToGrid w:val="0"/>
        <w:spacing w:line="360" w:lineRule="auto"/>
        <w:ind w:firstLine="480" w:firstLineChars="200"/>
        <w:rPr>
          <w:rFonts w:hint="eastAsia" w:hAnsi="宋体"/>
          <w:kern w:val="0"/>
          <w:sz w:val="24"/>
        </w:rPr>
      </w:pPr>
      <w:r>
        <w:rPr>
          <w:rFonts w:hint="eastAsia" w:hAnsi="宋体"/>
          <w:kern w:val="0"/>
          <w:sz w:val="24"/>
        </w:rPr>
        <w:t>（5）聘请会计师事务所对清算报告进行外部审计，聘请律师事务所对清算报告出具法律意见书；</w:t>
      </w:r>
    </w:p>
    <w:p w14:paraId="72B8220A">
      <w:pPr>
        <w:adjustRightInd w:val="0"/>
        <w:snapToGrid w:val="0"/>
        <w:spacing w:line="360" w:lineRule="auto"/>
        <w:ind w:firstLine="480" w:firstLineChars="200"/>
        <w:rPr>
          <w:rFonts w:hint="eastAsia" w:hAnsi="宋体"/>
          <w:kern w:val="0"/>
          <w:sz w:val="24"/>
        </w:rPr>
      </w:pPr>
      <w:r>
        <w:rPr>
          <w:rFonts w:hint="eastAsia" w:hAnsi="宋体"/>
          <w:kern w:val="0"/>
          <w:sz w:val="24"/>
        </w:rPr>
        <w:t>（6）将清算报告报中国证监会备案并公告；</w:t>
      </w:r>
    </w:p>
    <w:p w14:paraId="56408CE5">
      <w:pPr>
        <w:adjustRightInd w:val="0"/>
        <w:snapToGrid w:val="0"/>
        <w:spacing w:line="360" w:lineRule="auto"/>
        <w:ind w:firstLine="480" w:firstLineChars="200"/>
        <w:rPr>
          <w:rFonts w:hint="eastAsia" w:hAnsi="宋体"/>
          <w:kern w:val="0"/>
          <w:sz w:val="24"/>
        </w:rPr>
      </w:pPr>
      <w:r>
        <w:rPr>
          <w:rFonts w:hint="eastAsia" w:hAnsi="宋体"/>
          <w:kern w:val="0"/>
          <w:sz w:val="24"/>
        </w:rPr>
        <w:t>（7）对基金剩余财产进行分配。</w:t>
      </w:r>
    </w:p>
    <w:p w14:paraId="2263505D">
      <w:pPr>
        <w:adjustRightInd w:val="0"/>
        <w:snapToGrid w:val="0"/>
        <w:spacing w:line="360" w:lineRule="auto"/>
        <w:ind w:firstLine="480" w:firstLineChars="200"/>
        <w:rPr>
          <w:rFonts w:hint="eastAsia" w:hAnsi="宋体"/>
          <w:kern w:val="0"/>
          <w:sz w:val="24"/>
        </w:rPr>
      </w:pPr>
      <w:r>
        <w:rPr>
          <w:rFonts w:hint="eastAsia" w:hAnsi="宋体"/>
          <w:kern w:val="0"/>
          <w:sz w:val="24"/>
        </w:rPr>
        <w:t>5、基金财产清算的期限为6个月，但因本基金所持证券的流动性受到限制而不能及时变现的，清算期限相应顺延。</w:t>
      </w:r>
    </w:p>
    <w:p w14:paraId="6D877DD9">
      <w:pPr>
        <w:adjustRightInd w:val="0"/>
        <w:snapToGrid w:val="0"/>
        <w:spacing w:line="360" w:lineRule="auto"/>
        <w:ind w:firstLine="482" w:firstLineChars="200"/>
        <w:rPr>
          <w:b/>
          <w:bCs/>
          <w:sz w:val="24"/>
        </w:rPr>
      </w:pPr>
      <w:r>
        <w:rPr>
          <w:b/>
          <w:bCs/>
          <w:sz w:val="24"/>
        </w:rPr>
        <w:t>（四）清算费用</w:t>
      </w:r>
    </w:p>
    <w:p w14:paraId="521AC789">
      <w:pPr>
        <w:adjustRightInd w:val="0"/>
        <w:snapToGrid w:val="0"/>
        <w:spacing w:line="360" w:lineRule="auto"/>
        <w:ind w:firstLine="480" w:firstLineChars="200"/>
        <w:rPr>
          <w:rFonts w:hint="eastAsia"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14:paraId="11E84A1B">
      <w:pPr>
        <w:adjustRightInd w:val="0"/>
        <w:snapToGrid w:val="0"/>
        <w:spacing w:line="360" w:lineRule="auto"/>
        <w:ind w:firstLine="482" w:firstLineChars="200"/>
        <w:rPr>
          <w:b/>
          <w:bCs/>
          <w:sz w:val="24"/>
        </w:rPr>
      </w:pPr>
      <w:r>
        <w:rPr>
          <w:b/>
          <w:bCs/>
          <w:sz w:val="24"/>
        </w:rPr>
        <w:t>（五）基金财产清算剩余资产的分配</w:t>
      </w:r>
    </w:p>
    <w:p w14:paraId="7C0E5617">
      <w:pPr>
        <w:adjustRightInd w:val="0"/>
        <w:snapToGrid w:val="0"/>
        <w:spacing w:line="360" w:lineRule="auto"/>
        <w:ind w:firstLine="480" w:firstLineChars="200"/>
        <w:rPr>
          <w:rFonts w:hint="eastAsia"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14:paraId="58A276DC">
      <w:pPr>
        <w:adjustRightInd w:val="0"/>
        <w:snapToGrid w:val="0"/>
        <w:spacing w:line="360" w:lineRule="auto"/>
        <w:ind w:firstLine="482" w:firstLineChars="200"/>
        <w:rPr>
          <w:b/>
          <w:bCs/>
          <w:sz w:val="24"/>
        </w:rPr>
      </w:pPr>
      <w:r>
        <w:rPr>
          <w:b/>
          <w:bCs/>
          <w:sz w:val="24"/>
        </w:rPr>
        <w:t>（六）基金财产清算的公告</w:t>
      </w:r>
    </w:p>
    <w:p w14:paraId="21A06684">
      <w:pPr>
        <w:adjustRightInd w:val="0"/>
        <w:snapToGrid w:val="0"/>
        <w:spacing w:line="360" w:lineRule="auto"/>
        <w:ind w:firstLine="480" w:firstLineChars="200"/>
        <w:rPr>
          <w:rFonts w:hint="eastAsia" w:hAnsi="宋体"/>
          <w:kern w:val="0"/>
          <w:sz w:val="24"/>
          <w:szCs w:val="24"/>
        </w:rPr>
      </w:pPr>
      <w:r>
        <w:rPr>
          <w:rFonts w:hint="eastAsia" w:hAnsi="宋体"/>
          <w:kern w:val="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r>
        <w:rPr>
          <w:rFonts w:hint="eastAsia" w:hAnsi="宋体"/>
          <w:kern w:val="0"/>
          <w:sz w:val="24"/>
          <w:szCs w:val="24"/>
        </w:rPr>
        <w:t>，基金财产清算小组应当将清算报告登载在规定网站上，并将清算报告提示性公告登载在规定报刊上</w:t>
      </w:r>
      <w:r>
        <w:rPr>
          <w:rFonts w:hint="eastAsia" w:hAnsi="宋体"/>
          <w:kern w:val="0"/>
          <w:sz w:val="24"/>
        </w:rPr>
        <w:t>。</w:t>
      </w:r>
    </w:p>
    <w:p w14:paraId="07068CF0">
      <w:pPr>
        <w:adjustRightInd w:val="0"/>
        <w:snapToGrid w:val="0"/>
        <w:spacing w:line="360" w:lineRule="auto"/>
        <w:ind w:firstLine="482" w:firstLineChars="200"/>
        <w:rPr>
          <w:b/>
          <w:bCs/>
          <w:sz w:val="24"/>
        </w:rPr>
      </w:pPr>
      <w:r>
        <w:rPr>
          <w:b/>
          <w:bCs/>
          <w:sz w:val="24"/>
        </w:rPr>
        <w:t>（七）基金财产清算账册及文件的保存</w:t>
      </w:r>
    </w:p>
    <w:p w14:paraId="408C7365">
      <w:pPr>
        <w:adjustRightInd w:val="0"/>
        <w:snapToGrid w:val="0"/>
        <w:spacing w:line="360" w:lineRule="auto"/>
        <w:ind w:firstLine="480" w:firstLineChars="200"/>
        <w:rPr>
          <w:rFonts w:hint="eastAsia"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14:paraId="465DC451">
      <w:pPr>
        <w:widowControl/>
        <w:adjustRightInd w:val="0"/>
        <w:snapToGrid w:val="0"/>
        <w:spacing w:line="500" w:lineRule="exact"/>
        <w:ind w:firstLine="480" w:firstLineChars="200"/>
        <w:rPr>
          <w:rFonts w:hint="eastAsia" w:ascii="宋体" w:hAnsi="宋体"/>
          <w:kern w:val="0"/>
          <w:sz w:val="24"/>
        </w:rPr>
      </w:pPr>
    </w:p>
    <w:p w14:paraId="004FD817">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End w:id="104"/>
      <w:bookmarkStart w:id="105" w:name="_Toc56690599"/>
      <w:r>
        <w:rPr>
          <w:rFonts w:hint="eastAsia" w:ascii="宋体" w:hAnsi="宋体"/>
          <w:b/>
          <w:kern w:val="0"/>
          <w:sz w:val="30"/>
        </w:rPr>
        <w:t>十九、基金合同内容摘要</w:t>
      </w:r>
      <w:bookmarkEnd w:id="105"/>
    </w:p>
    <w:p w14:paraId="3AFC4649">
      <w:pPr>
        <w:adjustRightInd w:val="0"/>
        <w:snapToGrid w:val="0"/>
        <w:spacing w:line="360" w:lineRule="auto"/>
        <w:ind w:firstLine="482" w:firstLineChars="200"/>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2D02AC5F">
      <w:pPr>
        <w:adjustRightInd w:val="0"/>
        <w:snapToGrid w:val="0"/>
        <w:spacing w:line="360" w:lineRule="auto"/>
        <w:ind w:firstLine="480" w:firstLineChars="200"/>
        <w:rPr>
          <w:rFonts w:hint="eastAsia" w:hAnsi="宋体"/>
          <w:kern w:val="0"/>
          <w:sz w:val="24"/>
        </w:rPr>
      </w:pPr>
      <w:r>
        <w:rPr>
          <w:rFonts w:hAnsi="宋体"/>
          <w:kern w:val="0"/>
          <w:sz w:val="24"/>
        </w:rPr>
        <w:t>1、基金管理人的权利与义务</w:t>
      </w:r>
    </w:p>
    <w:p w14:paraId="0CE01BE9">
      <w:pPr>
        <w:adjustRightInd w:val="0"/>
        <w:snapToGrid w:val="0"/>
        <w:spacing w:line="360" w:lineRule="auto"/>
        <w:ind w:firstLine="480" w:firstLineChars="200"/>
        <w:rPr>
          <w:rFonts w:hint="eastAsia" w:hAnsi="宋体"/>
          <w:kern w:val="0"/>
          <w:sz w:val="24"/>
        </w:rPr>
      </w:pPr>
      <w:r>
        <w:rPr>
          <w:rFonts w:hAnsi="宋体"/>
          <w:kern w:val="0"/>
          <w:sz w:val="24"/>
        </w:rPr>
        <w:t>根据《基金法》、《运作办法》及其他有关规定，基金管理人的权利包括但不限于：</w:t>
      </w:r>
    </w:p>
    <w:p w14:paraId="4D78FBBB">
      <w:pPr>
        <w:adjustRightInd w:val="0"/>
        <w:snapToGrid w:val="0"/>
        <w:spacing w:line="360" w:lineRule="auto"/>
        <w:ind w:firstLine="480" w:firstLineChars="200"/>
        <w:rPr>
          <w:rFonts w:hint="eastAsia" w:hAnsi="宋体"/>
          <w:kern w:val="0"/>
          <w:sz w:val="24"/>
        </w:rPr>
      </w:pPr>
      <w:r>
        <w:rPr>
          <w:rFonts w:hint="eastAsia" w:hAnsi="宋体"/>
          <w:kern w:val="0"/>
          <w:sz w:val="24"/>
        </w:rPr>
        <w:t>1）依法募集资金；</w:t>
      </w:r>
    </w:p>
    <w:p w14:paraId="61768D6F">
      <w:pPr>
        <w:adjustRightInd w:val="0"/>
        <w:snapToGrid w:val="0"/>
        <w:spacing w:line="360" w:lineRule="auto"/>
        <w:ind w:firstLine="480" w:firstLineChars="200"/>
        <w:rPr>
          <w:rFonts w:hint="eastAsia" w:hAnsi="宋体"/>
          <w:kern w:val="0"/>
          <w:sz w:val="24"/>
        </w:rPr>
      </w:pPr>
      <w:r>
        <w:rPr>
          <w:rFonts w:hint="eastAsia" w:hAnsi="宋体"/>
          <w:kern w:val="0"/>
          <w:sz w:val="24"/>
        </w:rPr>
        <w:t>2）自《基金合同》生效之日起，根据法律法规和《基金合同》独立运用并管理基金财产；</w:t>
      </w:r>
    </w:p>
    <w:p w14:paraId="47F72BFD">
      <w:pPr>
        <w:adjustRightInd w:val="0"/>
        <w:snapToGrid w:val="0"/>
        <w:spacing w:line="360" w:lineRule="auto"/>
        <w:ind w:firstLine="480" w:firstLineChars="200"/>
        <w:rPr>
          <w:rFonts w:hint="eastAsia" w:hAnsi="宋体"/>
          <w:kern w:val="0"/>
          <w:sz w:val="24"/>
        </w:rPr>
      </w:pPr>
      <w:r>
        <w:rPr>
          <w:rFonts w:hint="eastAsia" w:hAnsi="宋体"/>
          <w:kern w:val="0"/>
          <w:sz w:val="24"/>
        </w:rPr>
        <w:t>3）依照《基金合同》收取基金管理费以及法律法规规定或中国证监会批准的其他费用；</w:t>
      </w:r>
    </w:p>
    <w:p w14:paraId="1840BAD3">
      <w:pPr>
        <w:adjustRightInd w:val="0"/>
        <w:snapToGrid w:val="0"/>
        <w:spacing w:line="360" w:lineRule="auto"/>
        <w:ind w:firstLine="480" w:firstLineChars="200"/>
        <w:rPr>
          <w:rFonts w:hint="eastAsia" w:hAnsi="宋体"/>
          <w:kern w:val="0"/>
          <w:sz w:val="24"/>
        </w:rPr>
      </w:pPr>
      <w:r>
        <w:rPr>
          <w:rFonts w:hint="eastAsia" w:hAnsi="宋体"/>
          <w:kern w:val="0"/>
          <w:sz w:val="24"/>
        </w:rPr>
        <w:t>4）销售基金份额；</w:t>
      </w:r>
    </w:p>
    <w:p w14:paraId="253F1631">
      <w:pPr>
        <w:adjustRightInd w:val="0"/>
        <w:snapToGrid w:val="0"/>
        <w:spacing w:line="360" w:lineRule="auto"/>
        <w:ind w:firstLine="480" w:firstLineChars="200"/>
        <w:rPr>
          <w:rFonts w:hint="eastAsia" w:hAnsi="宋体"/>
          <w:kern w:val="0"/>
          <w:sz w:val="24"/>
        </w:rPr>
      </w:pPr>
      <w:r>
        <w:rPr>
          <w:rFonts w:hint="eastAsia" w:hAnsi="宋体"/>
          <w:kern w:val="0"/>
          <w:sz w:val="24"/>
        </w:rPr>
        <w:t>5）按照规定召集基金份额持有人大会；</w:t>
      </w:r>
    </w:p>
    <w:p w14:paraId="5CB0B26C">
      <w:pPr>
        <w:adjustRightInd w:val="0"/>
        <w:snapToGrid w:val="0"/>
        <w:spacing w:line="360" w:lineRule="auto"/>
        <w:ind w:firstLine="480" w:firstLineChars="200"/>
        <w:rPr>
          <w:rFonts w:hint="eastAsia" w:hAnsi="宋体"/>
          <w:kern w:val="0"/>
          <w:sz w:val="24"/>
        </w:rPr>
      </w:pPr>
      <w:r>
        <w:rPr>
          <w:rFonts w:hint="eastAsia" w:hAnsi="宋体"/>
          <w:kern w:val="0"/>
          <w:sz w:val="24"/>
        </w:rPr>
        <w:t>6）依据《基金合同》及有关法律规定监督基金托管人，如认为基金托管人违反了《基金合同》及国家有关法律规定，应呈报中国证监会和其他监管部门，并采取必要措施保护基金投资者的利益；</w:t>
      </w:r>
    </w:p>
    <w:p w14:paraId="21DCBF97">
      <w:pPr>
        <w:adjustRightInd w:val="0"/>
        <w:snapToGrid w:val="0"/>
        <w:spacing w:line="360" w:lineRule="auto"/>
        <w:ind w:firstLine="480" w:firstLineChars="200"/>
        <w:rPr>
          <w:rFonts w:hint="eastAsia" w:hAnsi="宋体"/>
          <w:kern w:val="0"/>
          <w:sz w:val="24"/>
        </w:rPr>
      </w:pPr>
      <w:r>
        <w:rPr>
          <w:rFonts w:hint="eastAsia" w:hAnsi="宋体"/>
          <w:kern w:val="0"/>
          <w:sz w:val="24"/>
        </w:rPr>
        <w:t>7）在基金托管人更换时，提名新的基金托管人；</w:t>
      </w:r>
    </w:p>
    <w:p w14:paraId="628286EB">
      <w:pPr>
        <w:adjustRightInd w:val="0"/>
        <w:snapToGrid w:val="0"/>
        <w:spacing w:line="360" w:lineRule="auto"/>
        <w:ind w:firstLine="480" w:firstLineChars="200"/>
        <w:rPr>
          <w:rFonts w:hint="eastAsia" w:hAnsi="宋体"/>
          <w:kern w:val="0"/>
          <w:sz w:val="24"/>
        </w:rPr>
      </w:pPr>
      <w:r>
        <w:rPr>
          <w:rFonts w:hint="eastAsia" w:hAnsi="宋体"/>
          <w:kern w:val="0"/>
          <w:sz w:val="24"/>
        </w:rPr>
        <w:t>8）选择、更换基金销售机构，对基金销售机构的相关行为进行监督和处理；</w:t>
      </w:r>
    </w:p>
    <w:p w14:paraId="6E4D2093">
      <w:pPr>
        <w:adjustRightInd w:val="0"/>
        <w:snapToGrid w:val="0"/>
        <w:spacing w:line="360" w:lineRule="auto"/>
        <w:ind w:firstLine="480" w:firstLineChars="200"/>
        <w:rPr>
          <w:rFonts w:hint="eastAsia" w:hAnsi="宋体"/>
          <w:kern w:val="0"/>
          <w:sz w:val="24"/>
        </w:rPr>
      </w:pPr>
      <w:r>
        <w:rPr>
          <w:rFonts w:hint="eastAsia" w:hAnsi="宋体"/>
          <w:kern w:val="0"/>
          <w:sz w:val="24"/>
        </w:rPr>
        <w:t>9）担任或委托其他符合条件的机构担任基金登记机构办理基金登记业务并获得《基金合同》规定的费用；</w:t>
      </w:r>
    </w:p>
    <w:p w14:paraId="7B5FF0B7">
      <w:pPr>
        <w:adjustRightInd w:val="0"/>
        <w:snapToGrid w:val="0"/>
        <w:spacing w:line="360" w:lineRule="auto"/>
        <w:ind w:firstLine="480" w:firstLineChars="200"/>
        <w:rPr>
          <w:rFonts w:hint="eastAsia" w:hAnsi="宋体"/>
          <w:kern w:val="0"/>
          <w:sz w:val="24"/>
        </w:rPr>
      </w:pPr>
      <w:r>
        <w:rPr>
          <w:rFonts w:hint="eastAsia" w:hAnsi="宋体"/>
          <w:kern w:val="0"/>
          <w:sz w:val="24"/>
        </w:rPr>
        <w:t>10）依据《基金合同》及有关法律规定决定基金收益的分配方案；</w:t>
      </w:r>
    </w:p>
    <w:p w14:paraId="70B28F0A">
      <w:pPr>
        <w:adjustRightInd w:val="0"/>
        <w:snapToGrid w:val="0"/>
        <w:spacing w:line="360" w:lineRule="auto"/>
        <w:ind w:firstLine="480" w:firstLineChars="200"/>
        <w:rPr>
          <w:rFonts w:hint="eastAsia" w:hAnsi="宋体"/>
          <w:kern w:val="0"/>
          <w:sz w:val="24"/>
        </w:rPr>
      </w:pPr>
      <w:r>
        <w:rPr>
          <w:rFonts w:hint="eastAsia" w:hAnsi="宋体"/>
          <w:kern w:val="0"/>
          <w:sz w:val="24"/>
        </w:rPr>
        <w:t>11）在《基金合同》约定的范围内，拒绝或暂停受理申购与赎回申请；</w:t>
      </w:r>
    </w:p>
    <w:p w14:paraId="03798BAA">
      <w:pPr>
        <w:adjustRightInd w:val="0"/>
        <w:snapToGrid w:val="0"/>
        <w:spacing w:line="360" w:lineRule="auto"/>
        <w:ind w:firstLine="480" w:firstLineChars="200"/>
        <w:rPr>
          <w:rFonts w:hint="eastAsia" w:hAnsi="宋体"/>
          <w:kern w:val="0"/>
          <w:sz w:val="24"/>
        </w:rPr>
      </w:pPr>
      <w:r>
        <w:rPr>
          <w:rFonts w:hint="eastAsia" w:hAnsi="宋体"/>
          <w:kern w:val="0"/>
          <w:sz w:val="24"/>
        </w:rPr>
        <w:t>12）依照法律法规为基金的利益对被投资公司行使股东权利，为基金的利益行使因基金财产投资所产生的权利；</w:t>
      </w:r>
      <w:r>
        <w:rPr>
          <w:rFonts w:hint="eastAsia" w:hAnsi="宋体"/>
          <w:kern w:val="0"/>
          <w:sz w:val="24"/>
        </w:rPr>
        <w:tab/>
      </w:r>
    </w:p>
    <w:p w14:paraId="30703DF5">
      <w:pPr>
        <w:adjustRightInd w:val="0"/>
        <w:snapToGrid w:val="0"/>
        <w:spacing w:line="360" w:lineRule="auto"/>
        <w:ind w:firstLine="480" w:firstLineChars="200"/>
        <w:rPr>
          <w:rFonts w:hint="eastAsia" w:hAnsi="宋体"/>
          <w:kern w:val="0"/>
          <w:sz w:val="24"/>
        </w:rPr>
      </w:pPr>
      <w:r>
        <w:rPr>
          <w:rFonts w:hint="eastAsia" w:hAnsi="宋体"/>
          <w:kern w:val="0"/>
          <w:sz w:val="24"/>
        </w:rPr>
        <w:t>13）在法律法规允许的前提下，为基金的利益依法为基金进行融资；</w:t>
      </w:r>
    </w:p>
    <w:p w14:paraId="2BD59541">
      <w:pPr>
        <w:adjustRightInd w:val="0"/>
        <w:snapToGrid w:val="0"/>
        <w:spacing w:line="360" w:lineRule="auto"/>
        <w:ind w:firstLine="480" w:firstLineChars="200"/>
        <w:rPr>
          <w:rFonts w:hint="eastAsia" w:hAnsi="宋体"/>
          <w:kern w:val="0"/>
          <w:sz w:val="24"/>
        </w:rPr>
      </w:pPr>
      <w:r>
        <w:rPr>
          <w:rFonts w:hint="eastAsia" w:hAnsi="宋体"/>
          <w:kern w:val="0"/>
          <w:sz w:val="24"/>
        </w:rPr>
        <w:t>14）以基金管理人的名义，代表基金份额持有人的利益行使诉讼权利或者实施其他法律行为；</w:t>
      </w:r>
      <w:r>
        <w:rPr>
          <w:rFonts w:hint="eastAsia" w:hAnsi="宋体"/>
          <w:kern w:val="0"/>
          <w:sz w:val="24"/>
        </w:rPr>
        <w:tab/>
      </w:r>
    </w:p>
    <w:p w14:paraId="0BDF2BFF">
      <w:pPr>
        <w:adjustRightInd w:val="0"/>
        <w:snapToGrid w:val="0"/>
        <w:spacing w:line="360" w:lineRule="auto"/>
        <w:ind w:firstLine="480" w:firstLineChars="200"/>
        <w:rPr>
          <w:rFonts w:hint="eastAsia" w:hAnsi="宋体"/>
          <w:kern w:val="0"/>
          <w:sz w:val="24"/>
        </w:rPr>
      </w:pPr>
      <w:r>
        <w:rPr>
          <w:rFonts w:hint="eastAsia" w:hAnsi="宋体"/>
          <w:kern w:val="0"/>
          <w:sz w:val="24"/>
        </w:rPr>
        <w:t>15）选择、更换律师事务所、会计师事务所、证券经纪商或其他为基金提供服务的外部机构；</w:t>
      </w:r>
      <w:r>
        <w:rPr>
          <w:rFonts w:hint="eastAsia" w:hAnsi="宋体"/>
          <w:kern w:val="0"/>
          <w:sz w:val="24"/>
        </w:rPr>
        <w:tab/>
      </w:r>
    </w:p>
    <w:p w14:paraId="579DF953">
      <w:pPr>
        <w:adjustRightInd w:val="0"/>
        <w:snapToGrid w:val="0"/>
        <w:spacing w:line="360" w:lineRule="auto"/>
        <w:ind w:firstLine="480" w:firstLineChars="200"/>
        <w:rPr>
          <w:rFonts w:hint="eastAsia" w:hAnsi="宋体"/>
          <w:kern w:val="0"/>
          <w:sz w:val="24"/>
        </w:rPr>
      </w:pPr>
      <w:r>
        <w:rPr>
          <w:rFonts w:hint="eastAsia" w:hAnsi="宋体"/>
          <w:kern w:val="0"/>
          <w:sz w:val="24"/>
        </w:rPr>
        <w:t>16）在符合有关法律、法规的前提下，制定和调整有关基金认购、申购、赎回、转换等的业务规则；</w:t>
      </w:r>
    </w:p>
    <w:p w14:paraId="5340E6AE">
      <w:pPr>
        <w:adjustRightInd w:val="0"/>
        <w:snapToGrid w:val="0"/>
        <w:spacing w:line="360" w:lineRule="auto"/>
        <w:ind w:firstLine="480" w:firstLineChars="200"/>
        <w:rPr>
          <w:rFonts w:hint="eastAsia" w:hAnsi="宋体"/>
          <w:kern w:val="0"/>
          <w:sz w:val="24"/>
        </w:rPr>
      </w:pPr>
      <w:r>
        <w:rPr>
          <w:rFonts w:hint="eastAsia" w:hAnsi="宋体"/>
          <w:kern w:val="0"/>
          <w:sz w:val="24"/>
        </w:rPr>
        <w:t>17）以基金管理人的名义，参与本基金持有的基金所召开的基金份额持有人大会；</w:t>
      </w:r>
    </w:p>
    <w:p w14:paraId="774B10F4">
      <w:pPr>
        <w:adjustRightInd w:val="0"/>
        <w:snapToGrid w:val="0"/>
        <w:spacing w:line="360" w:lineRule="auto"/>
        <w:ind w:firstLine="480" w:firstLineChars="200"/>
        <w:rPr>
          <w:rFonts w:hint="eastAsia" w:hAnsi="宋体"/>
          <w:kern w:val="0"/>
          <w:sz w:val="24"/>
        </w:rPr>
      </w:pPr>
      <w:r>
        <w:rPr>
          <w:rFonts w:hint="eastAsia" w:hAnsi="宋体"/>
          <w:kern w:val="0"/>
          <w:sz w:val="24"/>
        </w:rPr>
        <w:t>18）法律法规及中国证监会规定的和《基金合同》约定的其他权利。</w:t>
      </w:r>
    </w:p>
    <w:p w14:paraId="04A5955F">
      <w:pPr>
        <w:adjustRightInd w:val="0"/>
        <w:snapToGrid w:val="0"/>
        <w:spacing w:line="360" w:lineRule="auto"/>
        <w:ind w:firstLine="480" w:firstLineChars="200"/>
        <w:rPr>
          <w:rFonts w:hint="eastAsia" w:hAnsi="宋体"/>
          <w:kern w:val="0"/>
          <w:sz w:val="24"/>
        </w:rPr>
      </w:pPr>
      <w:r>
        <w:rPr>
          <w:rFonts w:hAnsi="宋体"/>
          <w:kern w:val="0"/>
          <w:sz w:val="24"/>
        </w:rPr>
        <w:t>根据《基金法》、《运作办法》及其他有关规定，基金管理人的义务包括但不限于：</w:t>
      </w:r>
    </w:p>
    <w:p w14:paraId="542A244E">
      <w:pPr>
        <w:adjustRightInd w:val="0"/>
        <w:snapToGrid w:val="0"/>
        <w:spacing w:line="360" w:lineRule="auto"/>
        <w:ind w:firstLine="480" w:firstLineChars="200"/>
        <w:rPr>
          <w:rFonts w:hint="eastAsia" w:hAnsi="宋体"/>
          <w:kern w:val="0"/>
          <w:sz w:val="24"/>
        </w:rPr>
      </w:pPr>
      <w:r>
        <w:rPr>
          <w:rFonts w:hint="eastAsia" w:hAnsi="宋体"/>
          <w:kern w:val="0"/>
          <w:sz w:val="24"/>
        </w:rPr>
        <w:t>1）依法募集资金，办理或者委托经中国证监会认定的其他机构办理基金份额的发售、申购、赎回和登记事宜；</w:t>
      </w:r>
    </w:p>
    <w:p w14:paraId="093A9755">
      <w:pPr>
        <w:adjustRightInd w:val="0"/>
        <w:snapToGrid w:val="0"/>
        <w:spacing w:line="360" w:lineRule="auto"/>
        <w:ind w:firstLine="480" w:firstLineChars="200"/>
        <w:rPr>
          <w:rFonts w:hint="eastAsia" w:hAnsi="宋体"/>
          <w:kern w:val="0"/>
          <w:sz w:val="24"/>
        </w:rPr>
      </w:pPr>
      <w:r>
        <w:rPr>
          <w:rFonts w:hint="eastAsia" w:hAnsi="宋体"/>
          <w:kern w:val="0"/>
          <w:sz w:val="24"/>
        </w:rPr>
        <w:t>2）办理基金备案手续；</w:t>
      </w:r>
    </w:p>
    <w:p w14:paraId="77EFA14F">
      <w:pPr>
        <w:adjustRightInd w:val="0"/>
        <w:snapToGrid w:val="0"/>
        <w:spacing w:line="360" w:lineRule="auto"/>
        <w:ind w:firstLine="480" w:firstLineChars="200"/>
        <w:rPr>
          <w:rFonts w:hint="eastAsia" w:hAnsi="宋体"/>
          <w:kern w:val="0"/>
          <w:sz w:val="24"/>
        </w:rPr>
      </w:pPr>
      <w:r>
        <w:rPr>
          <w:rFonts w:hint="eastAsia" w:hAnsi="宋体"/>
          <w:kern w:val="0"/>
          <w:sz w:val="24"/>
        </w:rPr>
        <w:t>3）自《基金合同》生效之日起，以诚实信用、谨慎勤勉的原则管理和运用基金财产；</w:t>
      </w:r>
    </w:p>
    <w:p w14:paraId="4B878EF5">
      <w:pPr>
        <w:adjustRightInd w:val="0"/>
        <w:snapToGrid w:val="0"/>
        <w:spacing w:line="360" w:lineRule="auto"/>
        <w:ind w:firstLine="480" w:firstLineChars="200"/>
        <w:rPr>
          <w:rFonts w:hint="eastAsia" w:hAnsi="宋体"/>
          <w:kern w:val="0"/>
          <w:sz w:val="24"/>
        </w:rPr>
      </w:pPr>
      <w:r>
        <w:rPr>
          <w:rFonts w:hint="eastAsia" w:hAnsi="宋体"/>
          <w:kern w:val="0"/>
          <w:sz w:val="24"/>
        </w:rPr>
        <w:t>4）配备足够的具有专业资格的人员进行基金投资分析、决策，以专业化的经营方式管理和运作基金财产；</w:t>
      </w:r>
    </w:p>
    <w:p w14:paraId="06CFBDD8">
      <w:pPr>
        <w:adjustRightInd w:val="0"/>
        <w:snapToGrid w:val="0"/>
        <w:spacing w:line="360" w:lineRule="auto"/>
        <w:ind w:firstLine="480" w:firstLineChars="200"/>
        <w:rPr>
          <w:rFonts w:hint="eastAsia" w:hAnsi="宋体"/>
          <w:kern w:val="0"/>
          <w:sz w:val="24"/>
        </w:rPr>
      </w:pPr>
      <w:r>
        <w:rPr>
          <w:rFonts w:hint="eastAsia" w:hAnsi="宋体"/>
          <w:kern w:val="0"/>
          <w:sz w:val="24"/>
        </w:rPr>
        <w:t>5）建立健全内部风险控制、监察与稽核、财务管理及人事管理等制度，保证所管理的基金财产和基金管理人的财产相互独立，对所管理的不同基金分别管理，分别记账，进行证券、基金投资；</w:t>
      </w:r>
    </w:p>
    <w:p w14:paraId="78B14320">
      <w:pPr>
        <w:adjustRightInd w:val="0"/>
        <w:snapToGrid w:val="0"/>
        <w:spacing w:line="360" w:lineRule="auto"/>
        <w:ind w:firstLine="480" w:firstLineChars="200"/>
        <w:rPr>
          <w:rFonts w:hint="eastAsia" w:hAnsi="宋体"/>
          <w:kern w:val="0"/>
          <w:sz w:val="24"/>
        </w:rPr>
      </w:pPr>
      <w:r>
        <w:rPr>
          <w:rFonts w:hint="eastAsia" w:hAnsi="宋体"/>
          <w:kern w:val="0"/>
          <w:sz w:val="24"/>
        </w:rPr>
        <w:t>6）除依据《基金法》、《基金合同》及其他有关规定外，不得利用基金财产为自己及任何第三人谋取利益，不得委托第三人运作基金财产；</w:t>
      </w:r>
    </w:p>
    <w:p w14:paraId="1162BD7A">
      <w:pPr>
        <w:adjustRightInd w:val="0"/>
        <w:snapToGrid w:val="0"/>
        <w:spacing w:line="360" w:lineRule="auto"/>
        <w:ind w:firstLine="480" w:firstLineChars="200"/>
        <w:rPr>
          <w:rFonts w:hint="eastAsia" w:hAnsi="宋体"/>
          <w:kern w:val="0"/>
          <w:sz w:val="24"/>
        </w:rPr>
      </w:pPr>
      <w:r>
        <w:rPr>
          <w:rFonts w:hint="eastAsia" w:hAnsi="宋体"/>
          <w:kern w:val="0"/>
          <w:sz w:val="24"/>
        </w:rPr>
        <w:t>7）依法接受基金托管人的监督；</w:t>
      </w:r>
    </w:p>
    <w:p w14:paraId="7075E351">
      <w:pPr>
        <w:adjustRightInd w:val="0"/>
        <w:snapToGrid w:val="0"/>
        <w:spacing w:line="360" w:lineRule="auto"/>
        <w:ind w:firstLine="480" w:firstLineChars="200"/>
        <w:rPr>
          <w:rFonts w:hint="eastAsia" w:hAnsi="宋体"/>
          <w:kern w:val="0"/>
          <w:sz w:val="24"/>
        </w:rPr>
      </w:pPr>
      <w:r>
        <w:rPr>
          <w:rFonts w:hint="eastAsia" w:hAnsi="宋体"/>
          <w:kern w:val="0"/>
          <w:sz w:val="24"/>
        </w:rPr>
        <w:t>8）采取适当合理的措施使计算基金份额认购、申购、赎回和注销价格的方法符合《基金合同》等法律文件的规定，按有关规定计算并公告基金净值信息，确定基金份额申购、赎回的价格；</w:t>
      </w:r>
    </w:p>
    <w:p w14:paraId="6D266A36">
      <w:pPr>
        <w:adjustRightInd w:val="0"/>
        <w:snapToGrid w:val="0"/>
        <w:spacing w:line="360" w:lineRule="auto"/>
        <w:ind w:firstLine="480" w:firstLineChars="200"/>
        <w:rPr>
          <w:rFonts w:hint="eastAsia" w:hAnsi="宋体"/>
          <w:kern w:val="0"/>
          <w:sz w:val="24"/>
        </w:rPr>
      </w:pPr>
      <w:r>
        <w:rPr>
          <w:rFonts w:hint="eastAsia" w:hAnsi="宋体"/>
          <w:kern w:val="0"/>
          <w:sz w:val="24"/>
        </w:rPr>
        <w:t>9）进行基金会计核算并编制基金财务会计报告；</w:t>
      </w:r>
    </w:p>
    <w:p w14:paraId="5DC9F506">
      <w:pPr>
        <w:adjustRightInd w:val="0"/>
        <w:snapToGrid w:val="0"/>
        <w:spacing w:line="360" w:lineRule="auto"/>
        <w:ind w:firstLine="480" w:firstLineChars="200"/>
        <w:rPr>
          <w:rFonts w:hint="eastAsia" w:hAnsi="宋体"/>
          <w:kern w:val="0"/>
          <w:sz w:val="24"/>
        </w:rPr>
      </w:pPr>
      <w:r>
        <w:rPr>
          <w:rFonts w:hint="eastAsia" w:hAnsi="宋体"/>
          <w:kern w:val="0"/>
          <w:sz w:val="24"/>
        </w:rPr>
        <w:t>10）编制季度报告、中期报告和年度报告；</w:t>
      </w:r>
    </w:p>
    <w:p w14:paraId="76DEA8CE">
      <w:pPr>
        <w:adjustRightInd w:val="0"/>
        <w:snapToGrid w:val="0"/>
        <w:spacing w:line="360" w:lineRule="auto"/>
        <w:ind w:firstLine="480" w:firstLineChars="200"/>
        <w:rPr>
          <w:rFonts w:hint="eastAsia" w:hAnsi="宋体"/>
          <w:kern w:val="0"/>
          <w:sz w:val="24"/>
        </w:rPr>
      </w:pPr>
      <w:r>
        <w:rPr>
          <w:rFonts w:hint="eastAsia" w:hAnsi="宋体"/>
          <w:kern w:val="0"/>
          <w:sz w:val="24"/>
        </w:rPr>
        <w:t>11）严格按照《基金法》、《基金合同》及其他有关规定，履行信息披露及报告义务；</w:t>
      </w:r>
    </w:p>
    <w:p w14:paraId="4EA10C44">
      <w:pPr>
        <w:adjustRightInd w:val="0"/>
        <w:snapToGrid w:val="0"/>
        <w:spacing w:line="360" w:lineRule="auto"/>
        <w:ind w:firstLine="480" w:firstLineChars="200"/>
        <w:rPr>
          <w:rFonts w:hint="eastAsia" w:hAnsi="宋体"/>
          <w:kern w:val="0"/>
          <w:sz w:val="24"/>
        </w:rPr>
      </w:pPr>
      <w:r>
        <w:rPr>
          <w:rFonts w:hint="eastAsia" w:hAnsi="宋体"/>
          <w:kern w:val="0"/>
          <w:sz w:val="24"/>
        </w:rPr>
        <w:t>12）保守基金商业秘密，不泄露基金投资计划、投资意向等。除《基金法》、《基金合同》及其他有关规定另有规定外，在基金信息公开披露前应予保密，不向他人泄露；</w:t>
      </w:r>
    </w:p>
    <w:p w14:paraId="1B9E95DE">
      <w:pPr>
        <w:adjustRightInd w:val="0"/>
        <w:snapToGrid w:val="0"/>
        <w:spacing w:line="360" w:lineRule="auto"/>
        <w:ind w:firstLine="480" w:firstLineChars="200"/>
        <w:rPr>
          <w:rFonts w:hint="eastAsia" w:hAnsi="宋体"/>
          <w:kern w:val="0"/>
          <w:sz w:val="24"/>
        </w:rPr>
      </w:pPr>
      <w:r>
        <w:rPr>
          <w:rFonts w:hint="eastAsia" w:hAnsi="宋体"/>
          <w:kern w:val="0"/>
          <w:sz w:val="24"/>
        </w:rPr>
        <w:t>13）按《基金合同》的约定确定基金收益分配方案，及时向基金份额持有人分配基金收益；</w:t>
      </w:r>
    </w:p>
    <w:p w14:paraId="5D4B2B26">
      <w:pPr>
        <w:adjustRightInd w:val="0"/>
        <w:snapToGrid w:val="0"/>
        <w:spacing w:line="360" w:lineRule="auto"/>
        <w:ind w:firstLine="480" w:firstLineChars="200"/>
        <w:rPr>
          <w:rFonts w:hint="eastAsia" w:hAnsi="宋体"/>
          <w:kern w:val="0"/>
          <w:sz w:val="24"/>
        </w:rPr>
      </w:pPr>
      <w:r>
        <w:rPr>
          <w:rFonts w:hint="eastAsia" w:hAnsi="宋体"/>
          <w:kern w:val="0"/>
          <w:sz w:val="24"/>
        </w:rPr>
        <w:t>14）按规定受理申购与赎回申请，及时、足额支付赎回款项；</w:t>
      </w:r>
    </w:p>
    <w:p w14:paraId="219F4F0C">
      <w:pPr>
        <w:adjustRightInd w:val="0"/>
        <w:snapToGrid w:val="0"/>
        <w:spacing w:line="360" w:lineRule="auto"/>
        <w:ind w:firstLine="480" w:firstLineChars="200"/>
        <w:rPr>
          <w:rFonts w:hint="eastAsia" w:hAnsi="宋体"/>
          <w:kern w:val="0"/>
          <w:sz w:val="24"/>
        </w:rPr>
      </w:pPr>
      <w:r>
        <w:rPr>
          <w:rFonts w:hint="eastAsia" w:hAnsi="宋体"/>
          <w:kern w:val="0"/>
          <w:sz w:val="24"/>
        </w:rPr>
        <w:t>15）依据《基金法》、《基金合同》及其他有关规定召集基金份额持有人大会或配合基金托管人、基金份额持有人依法召集基金份额持有人大会；</w:t>
      </w:r>
    </w:p>
    <w:p w14:paraId="59EE8FB8">
      <w:pPr>
        <w:adjustRightInd w:val="0"/>
        <w:snapToGrid w:val="0"/>
        <w:spacing w:line="360" w:lineRule="auto"/>
        <w:ind w:firstLine="480" w:firstLineChars="200"/>
        <w:rPr>
          <w:rFonts w:hint="eastAsia" w:hAnsi="宋体"/>
          <w:kern w:val="0"/>
          <w:sz w:val="24"/>
        </w:rPr>
      </w:pPr>
      <w:r>
        <w:rPr>
          <w:rFonts w:hint="eastAsia" w:hAnsi="宋体"/>
          <w:kern w:val="0"/>
          <w:sz w:val="24"/>
        </w:rPr>
        <w:t>16）按规定保存基金财产管理业务活动的会计账册、报表、记录和其他相关资料</w:t>
      </w:r>
      <w:r>
        <w:rPr>
          <w:rFonts w:hint="eastAsia"/>
          <w:bCs/>
          <w:sz w:val="24"/>
        </w:rPr>
        <w:t>不低于法律法规规定的最低期限</w:t>
      </w:r>
      <w:r>
        <w:rPr>
          <w:rFonts w:hint="eastAsia" w:hAnsi="宋体"/>
          <w:kern w:val="0"/>
          <w:sz w:val="24"/>
        </w:rPr>
        <w:t>；</w:t>
      </w:r>
    </w:p>
    <w:p w14:paraId="599B689E">
      <w:pPr>
        <w:adjustRightInd w:val="0"/>
        <w:snapToGrid w:val="0"/>
        <w:spacing w:line="360" w:lineRule="auto"/>
        <w:ind w:firstLine="480" w:firstLineChars="200"/>
        <w:rPr>
          <w:rFonts w:hint="eastAsia" w:hAnsi="宋体"/>
          <w:kern w:val="0"/>
          <w:sz w:val="24"/>
        </w:rPr>
      </w:pPr>
      <w:r>
        <w:rPr>
          <w:rFonts w:hint="eastAsia" w:hAnsi="宋体"/>
          <w:kern w:val="0"/>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84C40D5">
      <w:pPr>
        <w:adjustRightInd w:val="0"/>
        <w:snapToGrid w:val="0"/>
        <w:spacing w:line="360" w:lineRule="auto"/>
        <w:ind w:firstLine="480" w:firstLineChars="200"/>
        <w:rPr>
          <w:rFonts w:hint="eastAsia" w:hAnsi="宋体"/>
          <w:kern w:val="0"/>
          <w:sz w:val="24"/>
        </w:rPr>
      </w:pPr>
      <w:r>
        <w:rPr>
          <w:rFonts w:hint="eastAsia" w:hAnsi="宋体"/>
          <w:kern w:val="0"/>
          <w:sz w:val="24"/>
        </w:rPr>
        <w:t>18）组织并参加基金财产清算小组，参与基金财产的保管、清理、估价、变现和分配；</w:t>
      </w:r>
    </w:p>
    <w:p w14:paraId="7E3E346E">
      <w:pPr>
        <w:adjustRightInd w:val="0"/>
        <w:snapToGrid w:val="0"/>
        <w:spacing w:line="360" w:lineRule="auto"/>
        <w:ind w:firstLine="480" w:firstLineChars="200"/>
        <w:rPr>
          <w:rFonts w:hint="eastAsia" w:hAnsi="宋体"/>
          <w:kern w:val="0"/>
          <w:sz w:val="24"/>
        </w:rPr>
      </w:pPr>
      <w:r>
        <w:rPr>
          <w:rFonts w:hint="eastAsia" w:hAnsi="宋体"/>
          <w:kern w:val="0"/>
          <w:sz w:val="24"/>
        </w:rPr>
        <w:t>19）面临解散、依法被撤销或者被依法宣告破产时，及时报告中国证监会并通知基金托管人；</w:t>
      </w:r>
    </w:p>
    <w:p w14:paraId="4F95637A">
      <w:pPr>
        <w:adjustRightInd w:val="0"/>
        <w:snapToGrid w:val="0"/>
        <w:spacing w:line="360" w:lineRule="auto"/>
        <w:ind w:firstLine="480" w:firstLineChars="200"/>
        <w:rPr>
          <w:rFonts w:hint="eastAsia" w:hAnsi="宋体"/>
          <w:kern w:val="0"/>
          <w:sz w:val="24"/>
        </w:rPr>
      </w:pPr>
      <w:r>
        <w:rPr>
          <w:rFonts w:hint="eastAsia" w:hAnsi="宋体"/>
          <w:kern w:val="0"/>
          <w:sz w:val="24"/>
        </w:rPr>
        <w:t>20）因违反《基金合同》导致基金财产的损失或损害基金份额持有人合法权益时，应当承担赔偿责任，其赔偿责任不因其退任而免除；</w:t>
      </w:r>
    </w:p>
    <w:p w14:paraId="40262BA8">
      <w:pPr>
        <w:adjustRightInd w:val="0"/>
        <w:snapToGrid w:val="0"/>
        <w:spacing w:line="360" w:lineRule="auto"/>
        <w:ind w:firstLine="480" w:firstLineChars="200"/>
        <w:rPr>
          <w:rFonts w:hint="eastAsia" w:hAnsi="宋体"/>
          <w:kern w:val="0"/>
          <w:sz w:val="24"/>
        </w:rPr>
      </w:pPr>
      <w:r>
        <w:rPr>
          <w:rFonts w:hint="eastAsia" w:hAnsi="宋体"/>
          <w:kern w:val="0"/>
          <w:sz w:val="24"/>
        </w:rPr>
        <w:t>21）监督基金托管人按法律法规和《基金合同》规定履行自己的义务，基金托管人违反《基金合同》造成基金财产损失时，基金管理人应为基金份额持有人利益向基金托管人追偿；</w:t>
      </w:r>
    </w:p>
    <w:p w14:paraId="0F791C6B">
      <w:pPr>
        <w:adjustRightInd w:val="0"/>
        <w:snapToGrid w:val="0"/>
        <w:spacing w:line="360" w:lineRule="auto"/>
        <w:ind w:firstLine="480" w:firstLineChars="200"/>
        <w:rPr>
          <w:rFonts w:hint="eastAsia" w:hAnsi="宋体"/>
          <w:kern w:val="0"/>
          <w:sz w:val="24"/>
        </w:rPr>
      </w:pPr>
      <w:r>
        <w:rPr>
          <w:rFonts w:hint="eastAsia" w:hAnsi="宋体"/>
          <w:kern w:val="0"/>
          <w:sz w:val="24"/>
        </w:rPr>
        <w:t>22）当基金管理人将其义务委托第三方处理时，应当对第三方处理有关基金事务的行为承担责任；</w:t>
      </w:r>
    </w:p>
    <w:p w14:paraId="6F2C2F32">
      <w:pPr>
        <w:adjustRightInd w:val="0"/>
        <w:snapToGrid w:val="0"/>
        <w:spacing w:line="360" w:lineRule="auto"/>
        <w:ind w:firstLine="480" w:firstLineChars="200"/>
        <w:rPr>
          <w:rFonts w:hint="eastAsia" w:hAnsi="宋体"/>
          <w:kern w:val="0"/>
          <w:sz w:val="24"/>
        </w:rPr>
      </w:pPr>
      <w:r>
        <w:rPr>
          <w:rFonts w:hint="eastAsia" w:hAnsi="宋体"/>
          <w:kern w:val="0"/>
          <w:sz w:val="24"/>
        </w:rPr>
        <w:t>23）以基金管理人名义，代表基金份额持有人利益行使诉讼权利或实施其他法律行为；</w:t>
      </w:r>
      <w:r>
        <w:rPr>
          <w:rFonts w:hint="eastAsia" w:hAnsi="宋体"/>
          <w:kern w:val="0"/>
          <w:sz w:val="24"/>
        </w:rPr>
        <w:tab/>
      </w:r>
    </w:p>
    <w:p w14:paraId="7B90C07F">
      <w:pPr>
        <w:adjustRightInd w:val="0"/>
        <w:snapToGrid w:val="0"/>
        <w:spacing w:line="360" w:lineRule="auto"/>
        <w:ind w:firstLine="480" w:firstLineChars="200"/>
        <w:rPr>
          <w:rFonts w:hint="eastAsia" w:hAnsi="宋体"/>
          <w:kern w:val="0"/>
          <w:sz w:val="24"/>
        </w:rPr>
      </w:pPr>
      <w:r>
        <w:rPr>
          <w:rFonts w:hint="eastAsia" w:hAnsi="宋体"/>
          <w:kern w:val="0"/>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7E035D5B">
      <w:pPr>
        <w:adjustRightInd w:val="0"/>
        <w:snapToGrid w:val="0"/>
        <w:spacing w:line="360" w:lineRule="auto"/>
        <w:ind w:firstLine="480" w:firstLineChars="200"/>
        <w:rPr>
          <w:rFonts w:hint="eastAsia" w:hAnsi="宋体"/>
          <w:kern w:val="0"/>
          <w:sz w:val="24"/>
        </w:rPr>
      </w:pPr>
      <w:r>
        <w:rPr>
          <w:rFonts w:hint="eastAsia" w:hAnsi="宋体"/>
          <w:kern w:val="0"/>
          <w:sz w:val="24"/>
        </w:rPr>
        <w:t>25）执行生效的基金份额持有人大会的决议；</w:t>
      </w:r>
    </w:p>
    <w:p w14:paraId="3075DD02">
      <w:pPr>
        <w:adjustRightInd w:val="0"/>
        <w:snapToGrid w:val="0"/>
        <w:spacing w:line="360" w:lineRule="auto"/>
        <w:ind w:firstLine="480" w:firstLineChars="200"/>
        <w:rPr>
          <w:rFonts w:hint="eastAsia" w:hAnsi="宋体"/>
          <w:kern w:val="0"/>
          <w:sz w:val="24"/>
        </w:rPr>
      </w:pPr>
      <w:r>
        <w:rPr>
          <w:rFonts w:hint="eastAsia" w:hAnsi="宋体"/>
          <w:kern w:val="0"/>
          <w:sz w:val="24"/>
        </w:rPr>
        <w:t>26）建立并保存基金份额持有人名册；</w:t>
      </w:r>
    </w:p>
    <w:p w14:paraId="2B656896">
      <w:pPr>
        <w:adjustRightInd w:val="0"/>
        <w:snapToGrid w:val="0"/>
        <w:spacing w:line="360" w:lineRule="auto"/>
        <w:ind w:firstLine="480" w:firstLineChars="200"/>
        <w:rPr>
          <w:rFonts w:hint="eastAsia" w:hAnsi="宋体"/>
          <w:kern w:val="0"/>
          <w:sz w:val="24"/>
        </w:rPr>
      </w:pPr>
      <w:r>
        <w:rPr>
          <w:rFonts w:hint="eastAsia" w:hAnsi="宋体"/>
          <w:kern w:val="0"/>
          <w:sz w:val="24"/>
        </w:rPr>
        <w:t>27）法律法规及中国证监会规定的和《基金合同》约定的其他义务。</w:t>
      </w:r>
    </w:p>
    <w:p w14:paraId="67B355A7">
      <w:pPr>
        <w:adjustRightInd w:val="0"/>
        <w:snapToGrid w:val="0"/>
        <w:spacing w:line="360" w:lineRule="auto"/>
        <w:ind w:firstLine="480" w:firstLineChars="200"/>
        <w:rPr>
          <w:rFonts w:hint="eastAsia" w:hAnsi="宋体"/>
          <w:kern w:val="0"/>
          <w:sz w:val="24"/>
        </w:rPr>
      </w:pPr>
      <w:bookmarkStart w:id="106" w:name="_Hlt88897298"/>
      <w:bookmarkEnd w:id="106"/>
      <w:r>
        <w:rPr>
          <w:rFonts w:hAnsi="宋体"/>
          <w:kern w:val="0"/>
          <w:sz w:val="24"/>
        </w:rPr>
        <w:t>2、基金托管人的权利与义务</w:t>
      </w:r>
    </w:p>
    <w:p w14:paraId="7D4CAE4B">
      <w:pPr>
        <w:adjustRightInd w:val="0"/>
        <w:snapToGrid w:val="0"/>
        <w:spacing w:line="360" w:lineRule="auto"/>
        <w:ind w:firstLine="480" w:firstLineChars="200"/>
        <w:rPr>
          <w:rFonts w:hint="eastAsia" w:hAnsi="宋体"/>
          <w:kern w:val="0"/>
          <w:sz w:val="24"/>
        </w:rPr>
      </w:pPr>
      <w:r>
        <w:rPr>
          <w:rFonts w:hAnsi="宋体"/>
          <w:kern w:val="0"/>
          <w:sz w:val="24"/>
        </w:rPr>
        <w:t>根据《基金法》、《运作办法》及其他有关规定，基金托管人的权利包括但不限于：</w:t>
      </w:r>
    </w:p>
    <w:p w14:paraId="1B501CF7">
      <w:pPr>
        <w:adjustRightInd w:val="0"/>
        <w:snapToGrid w:val="0"/>
        <w:spacing w:line="360" w:lineRule="auto"/>
        <w:ind w:firstLine="480" w:firstLineChars="200"/>
        <w:rPr>
          <w:rFonts w:hint="eastAsia" w:hAnsi="宋体"/>
          <w:kern w:val="0"/>
          <w:sz w:val="24"/>
        </w:rPr>
      </w:pPr>
      <w:r>
        <w:rPr>
          <w:rFonts w:hint="eastAsia" w:hAnsi="宋体"/>
          <w:kern w:val="0"/>
          <w:sz w:val="24"/>
        </w:rPr>
        <w:t>1）自《基金合同》生效之日起，依法律法规和《基金合同》的规定安全保管基金财产；</w:t>
      </w:r>
    </w:p>
    <w:p w14:paraId="3F31C0B6">
      <w:pPr>
        <w:adjustRightInd w:val="0"/>
        <w:snapToGrid w:val="0"/>
        <w:spacing w:line="360" w:lineRule="auto"/>
        <w:ind w:firstLine="480" w:firstLineChars="200"/>
        <w:rPr>
          <w:rFonts w:hint="eastAsia" w:hAnsi="宋体"/>
          <w:kern w:val="0"/>
          <w:sz w:val="24"/>
        </w:rPr>
      </w:pPr>
      <w:r>
        <w:rPr>
          <w:rFonts w:hint="eastAsia" w:hAnsi="宋体"/>
          <w:kern w:val="0"/>
          <w:sz w:val="24"/>
        </w:rPr>
        <w:t>2）依《基金合同》约定获得基金托管费以及法律法规规定或监管部门批准的其他费用；</w:t>
      </w:r>
    </w:p>
    <w:p w14:paraId="362BF5C2">
      <w:pPr>
        <w:adjustRightInd w:val="0"/>
        <w:snapToGrid w:val="0"/>
        <w:spacing w:line="360" w:lineRule="auto"/>
        <w:ind w:firstLine="480" w:firstLineChars="200"/>
        <w:rPr>
          <w:rFonts w:hint="eastAsia" w:hAnsi="宋体"/>
          <w:kern w:val="0"/>
          <w:sz w:val="24"/>
        </w:rPr>
      </w:pPr>
      <w:r>
        <w:rPr>
          <w:rFonts w:hint="eastAsia" w:hAnsi="宋体"/>
          <w:kern w:val="0"/>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DEDF096">
      <w:pPr>
        <w:adjustRightInd w:val="0"/>
        <w:snapToGrid w:val="0"/>
        <w:spacing w:line="360" w:lineRule="auto"/>
        <w:ind w:firstLine="480" w:firstLineChars="200"/>
        <w:rPr>
          <w:rFonts w:hint="eastAsia" w:hAnsi="宋体"/>
          <w:kern w:val="0"/>
          <w:sz w:val="24"/>
        </w:rPr>
      </w:pPr>
      <w:r>
        <w:rPr>
          <w:rFonts w:hint="eastAsia" w:hAnsi="宋体"/>
          <w:kern w:val="0"/>
          <w:sz w:val="24"/>
        </w:rPr>
        <w:t>4）根据相关市场规则，为基金开设资金账户、证券账户等投资所需账户、为基金办理证券交易资金清算；</w:t>
      </w:r>
    </w:p>
    <w:p w14:paraId="7DEE6F28">
      <w:pPr>
        <w:adjustRightInd w:val="0"/>
        <w:snapToGrid w:val="0"/>
        <w:spacing w:line="360" w:lineRule="auto"/>
        <w:ind w:firstLine="480" w:firstLineChars="200"/>
        <w:rPr>
          <w:rFonts w:hint="eastAsia" w:hAnsi="宋体"/>
          <w:kern w:val="0"/>
          <w:sz w:val="24"/>
        </w:rPr>
      </w:pPr>
      <w:r>
        <w:rPr>
          <w:rFonts w:hint="eastAsia" w:hAnsi="宋体"/>
          <w:kern w:val="0"/>
          <w:sz w:val="24"/>
        </w:rPr>
        <w:t>5）提议召开或召集基金份额持有人大会；</w:t>
      </w:r>
    </w:p>
    <w:p w14:paraId="2FF9CF8D">
      <w:pPr>
        <w:adjustRightInd w:val="0"/>
        <w:snapToGrid w:val="0"/>
        <w:spacing w:line="360" w:lineRule="auto"/>
        <w:ind w:firstLine="480" w:firstLineChars="200"/>
        <w:rPr>
          <w:rFonts w:hint="eastAsia" w:hAnsi="宋体"/>
          <w:kern w:val="0"/>
          <w:sz w:val="24"/>
        </w:rPr>
      </w:pPr>
      <w:r>
        <w:rPr>
          <w:rFonts w:hint="eastAsia" w:hAnsi="宋体"/>
          <w:kern w:val="0"/>
          <w:sz w:val="24"/>
        </w:rPr>
        <w:t>6）在基金管理人更换时，提名新的基金管理人；</w:t>
      </w:r>
    </w:p>
    <w:p w14:paraId="1CC4EE5D">
      <w:pPr>
        <w:adjustRightInd w:val="0"/>
        <w:snapToGrid w:val="0"/>
        <w:spacing w:line="360" w:lineRule="auto"/>
        <w:ind w:firstLine="480" w:firstLineChars="200"/>
        <w:rPr>
          <w:rFonts w:hint="eastAsia" w:hAnsi="宋体"/>
          <w:kern w:val="0"/>
          <w:sz w:val="24"/>
        </w:rPr>
      </w:pPr>
      <w:r>
        <w:rPr>
          <w:rFonts w:hint="eastAsia" w:hAnsi="宋体"/>
          <w:kern w:val="0"/>
          <w:sz w:val="24"/>
        </w:rPr>
        <w:t>7）法律法规及中国证监会规定的和《基金合同》约定的其他权利。</w:t>
      </w:r>
    </w:p>
    <w:p w14:paraId="7FE0C10E">
      <w:pPr>
        <w:adjustRightInd w:val="0"/>
        <w:snapToGrid w:val="0"/>
        <w:spacing w:line="360" w:lineRule="auto"/>
        <w:ind w:firstLine="480" w:firstLineChars="200"/>
        <w:rPr>
          <w:rFonts w:hint="eastAsia" w:hAnsi="宋体"/>
          <w:kern w:val="0"/>
          <w:sz w:val="24"/>
        </w:rPr>
      </w:pPr>
      <w:r>
        <w:rPr>
          <w:rFonts w:hAnsi="宋体"/>
          <w:kern w:val="0"/>
          <w:sz w:val="24"/>
        </w:rPr>
        <w:t>根据《基金法》、《运作办法》及其他有关规定，基金托管人的义务包括但不限于：</w:t>
      </w:r>
    </w:p>
    <w:p w14:paraId="301CA161">
      <w:pPr>
        <w:adjustRightInd w:val="0"/>
        <w:snapToGrid w:val="0"/>
        <w:spacing w:line="360" w:lineRule="auto"/>
        <w:ind w:firstLine="480" w:firstLineChars="200"/>
        <w:rPr>
          <w:rFonts w:hint="eastAsia" w:hAnsi="宋体"/>
          <w:kern w:val="0"/>
          <w:sz w:val="24"/>
        </w:rPr>
      </w:pPr>
      <w:r>
        <w:rPr>
          <w:rFonts w:hint="eastAsia" w:hAnsi="宋体"/>
          <w:kern w:val="0"/>
          <w:sz w:val="24"/>
        </w:rPr>
        <w:t>1）以诚实信用、勤勉尽责的原则持有并安全保管基金财产；</w:t>
      </w:r>
    </w:p>
    <w:p w14:paraId="02B62A03">
      <w:pPr>
        <w:adjustRightInd w:val="0"/>
        <w:snapToGrid w:val="0"/>
        <w:spacing w:line="360" w:lineRule="auto"/>
        <w:ind w:firstLine="480" w:firstLineChars="200"/>
        <w:rPr>
          <w:rFonts w:hint="eastAsia" w:hAnsi="宋体"/>
          <w:kern w:val="0"/>
          <w:sz w:val="24"/>
        </w:rPr>
      </w:pPr>
      <w:r>
        <w:rPr>
          <w:rFonts w:hint="eastAsia" w:hAnsi="宋体"/>
          <w:kern w:val="0"/>
          <w:sz w:val="24"/>
        </w:rPr>
        <w:t>2）设立专门的基金托管部门，具有符合要求的营业场所，配备足够的、合格的熟悉基金托管业务的专职人员，负责基金财产托管事宜；</w:t>
      </w:r>
    </w:p>
    <w:p w14:paraId="1F6238EE">
      <w:pPr>
        <w:adjustRightInd w:val="0"/>
        <w:snapToGrid w:val="0"/>
        <w:spacing w:line="360" w:lineRule="auto"/>
        <w:ind w:firstLine="480" w:firstLineChars="200"/>
        <w:rPr>
          <w:rFonts w:hint="eastAsia" w:hAnsi="宋体"/>
          <w:kern w:val="0"/>
          <w:sz w:val="24"/>
        </w:rPr>
      </w:pPr>
      <w:r>
        <w:rPr>
          <w:rFonts w:hint="eastAsia" w:hAnsi="宋体"/>
          <w:kern w:val="0"/>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B48174">
      <w:pPr>
        <w:adjustRightInd w:val="0"/>
        <w:snapToGrid w:val="0"/>
        <w:spacing w:line="360" w:lineRule="auto"/>
        <w:ind w:firstLine="480" w:firstLineChars="200"/>
        <w:rPr>
          <w:rFonts w:hint="eastAsia" w:hAnsi="宋体"/>
          <w:kern w:val="0"/>
          <w:sz w:val="24"/>
        </w:rPr>
      </w:pPr>
      <w:r>
        <w:rPr>
          <w:rFonts w:hint="eastAsia" w:hAnsi="宋体"/>
          <w:kern w:val="0"/>
          <w:sz w:val="24"/>
        </w:rPr>
        <w:t>4）除依据《基金法》、《基金合同》及其他有关规定外，不得利用基金财产为自己及任何第三人谋取利益，不得委托第三人托管基金财产；</w:t>
      </w:r>
    </w:p>
    <w:p w14:paraId="369C556F">
      <w:pPr>
        <w:adjustRightInd w:val="0"/>
        <w:snapToGrid w:val="0"/>
        <w:spacing w:line="360" w:lineRule="auto"/>
        <w:ind w:firstLine="480" w:firstLineChars="200"/>
        <w:rPr>
          <w:rFonts w:hint="eastAsia" w:hAnsi="宋体"/>
          <w:kern w:val="0"/>
          <w:sz w:val="24"/>
        </w:rPr>
      </w:pPr>
      <w:r>
        <w:rPr>
          <w:rFonts w:hint="eastAsia" w:hAnsi="宋体"/>
          <w:kern w:val="0"/>
          <w:sz w:val="24"/>
        </w:rPr>
        <w:t>5）保管由基金管理人代表基金签订的与基金有关的重大合同及有关凭证；</w:t>
      </w:r>
    </w:p>
    <w:p w14:paraId="27027AEE">
      <w:pPr>
        <w:adjustRightInd w:val="0"/>
        <w:snapToGrid w:val="0"/>
        <w:spacing w:line="360" w:lineRule="auto"/>
        <w:ind w:firstLine="480" w:firstLineChars="200"/>
        <w:rPr>
          <w:rFonts w:hint="eastAsia" w:hAnsi="宋体"/>
          <w:kern w:val="0"/>
          <w:sz w:val="24"/>
        </w:rPr>
      </w:pPr>
      <w:r>
        <w:rPr>
          <w:rFonts w:hint="eastAsia" w:hAnsi="宋体"/>
          <w:kern w:val="0"/>
          <w:sz w:val="24"/>
        </w:rPr>
        <w:t>6）按规定开设基金财产的资金账户、证券账户等投资所需账户，按照《基金合同》的约定，根据基金管理人的投资指令，及时办理清算、交割事宜；</w:t>
      </w:r>
    </w:p>
    <w:p w14:paraId="236C91D3">
      <w:pPr>
        <w:adjustRightInd w:val="0"/>
        <w:snapToGrid w:val="0"/>
        <w:spacing w:line="360" w:lineRule="auto"/>
        <w:ind w:firstLine="480" w:firstLineChars="200"/>
        <w:rPr>
          <w:rFonts w:hint="eastAsia" w:hAnsi="宋体"/>
          <w:kern w:val="0"/>
          <w:sz w:val="24"/>
        </w:rPr>
      </w:pPr>
      <w:r>
        <w:rPr>
          <w:rFonts w:hint="eastAsia" w:hAnsi="宋体"/>
          <w:kern w:val="0"/>
          <w:sz w:val="24"/>
        </w:rPr>
        <w:t>7）保守基金商业秘密，除《基金法》、《基金合同》及其他有关规定另有规定外，在基金信息公开披露前予以保密，不得向他人泄露；</w:t>
      </w:r>
    </w:p>
    <w:p w14:paraId="2530E041">
      <w:pPr>
        <w:adjustRightInd w:val="0"/>
        <w:snapToGrid w:val="0"/>
        <w:spacing w:line="360" w:lineRule="auto"/>
        <w:ind w:firstLine="480" w:firstLineChars="200"/>
        <w:rPr>
          <w:rFonts w:hint="eastAsia" w:hAnsi="宋体"/>
          <w:kern w:val="0"/>
          <w:sz w:val="24"/>
        </w:rPr>
      </w:pPr>
      <w:r>
        <w:rPr>
          <w:rFonts w:hint="eastAsia" w:hAnsi="宋体"/>
          <w:kern w:val="0"/>
          <w:sz w:val="24"/>
        </w:rPr>
        <w:t>8）复核、审查基金管理人计算的基金资产净值、基金份额净值、基金份额申购、赎回价格；</w:t>
      </w:r>
    </w:p>
    <w:p w14:paraId="3680A38C">
      <w:pPr>
        <w:adjustRightInd w:val="0"/>
        <w:snapToGrid w:val="0"/>
        <w:spacing w:line="360" w:lineRule="auto"/>
        <w:ind w:firstLine="480" w:firstLineChars="200"/>
        <w:rPr>
          <w:rFonts w:hint="eastAsia" w:hAnsi="宋体"/>
          <w:kern w:val="0"/>
          <w:sz w:val="24"/>
        </w:rPr>
      </w:pPr>
      <w:r>
        <w:rPr>
          <w:rFonts w:hint="eastAsia" w:hAnsi="宋体"/>
          <w:kern w:val="0"/>
          <w:sz w:val="24"/>
        </w:rPr>
        <w:t>9）办理与基金托管业务活动有关的信息披露事项；</w:t>
      </w:r>
    </w:p>
    <w:p w14:paraId="3F4FAFBE">
      <w:pPr>
        <w:adjustRightInd w:val="0"/>
        <w:snapToGrid w:val="0"/>
        <w:spacing w:line="360" w:lineRule="auto"/>
        <w:ind w:firstLine="480" w:firstLineChars="200"/>
        <w:rPr>
          <w:rFonts w:hint="eastAsia" w:hAnsi="宋体"/>
          <w:kern w:val="0"/>
          <w:sz w:val="24"/>
        </w:rPr>
      </w:pPr>
      <w:r>
        <w:rPr>
          <w:rFonts w:hint="eastAsia" w:hAnsi="宋体"/>
          <w:kern w:val="0"/>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46B5D33">
      <w:pPr>
        <w:adjustRightInd w:val="0"/>
        <w:snapToGrid w:val="0"/>
        <w:spacing w:line="360" w:lineRule="auto"/>
        <w:ind w:firstLine="480" w:firstLineChars="200"/>
        <w:rPr>
          <w:rFonts w:hint="eastAsia" w:hAnsi="宋体"/>
          <w:kern w:val="0"/>
          <w:sz w:val="24"/>
        </w:rPr>
      </w:pPr>
      <w:r>
        <w:rPr>
          <w:rFonts w:hint="eastAsia" w:hAnsi="宋体"/>
          <w:kern w:val="0"/>
          <w:sz w:val="24"/>
        </w:rPr>
        <w:t>11）保存基金托管业务活动的记录、账册、报表和其他相关资料</w:t>
      </w:r>
      <w:r>
        <w:rPr>
          <w:rFonts w:hint="eastAsia"/>
          <w:bCs/>
          <w:sz w:val="24"/>
        </w:rPr>
        <w:t>不低于法律法规规定的最低期限</w:t>
      </w:r>
      <w:r>
        <w:rPr>
          <w:rFonts w:hint="eastAsia" w:hAnsi="宋体"/>
          <w:kern w:val="0"/>
          <w:sz w:val="24"/>
        </w:rPr>
        <w:t>；</w:t>
      </w:r>
    </w:p>
    <w:p w14:paraId="583638DA">
      <w:pPr>
        <w:adjustRightInd w:val="0"/>
        <w:snapToGrid w:val="0"/>
        <w:spacing w:line="360" w:lineRule="auto"/>
        <w:ind w:firstLine="480" w:firstLineChars="200"/>
        <w:rPr>
          <w:rFonts w:hint="eastAsia" w:hAnsi="宋体"/>
          <w:kern w:val="0"/>
          <w:sz w:val="24"/>
        </w:rPr>
      </w:pPr>
      <w:r>
        <w:rPr>
          <w:rFonts w:hint="eastAsia" w:hAnsi="宋体"/>
          <w:kern w:val="0"/>
          <w:sz w:val="24"/>
        </w:rPr>
        <w:t>12）从基金管理人或其委托的登记机构处接收并保存基金份额持有人名册；</w:t>
      </w:r>
    </w:p>
    <w:p w14:paraId="528C6B10">
      <w:pPr>
        <w:adjustRightInd w:val="0"/>
        <w:snapToGrid w:val="0"/>
        <w:spacing w:line="360" w:lineRule="auto"/>
        <w:ind w:firstLine="480" w:firstLineChars="200"/>
        <w:rPr>
          <w:rFonts w:hint="eastAsia" w:hAnsi="宋体"/>
          <w:kern w:val="0"/>
          <w:sz w:val="24"/>
        </w:rPr>
      </w:pPr>
      <w:r>
        <w:rPr>
          <w:rFonts w:hint="eastAsia" w:hAnsi="宋体"/>
          <w:kern w:val="0"/>
          <w:sz w:val="24"/>
        </w:rPr>
        <w:t>13）按规定制作相关账册并与基金管理人核对；</w:t>
      </w:r>
    </w:p>
    <w:p w14:paraId="4946934A">
      <w:pPr>
        <w:adjustRightInd w:val="0"/>
        <w:snapToGrid w:val="0"/>
        <w:spacing w:line="360" w:lineRule="auto"/>
        <w:ind w:firstLine="480" w:firstLineChars="200"/>
        <w:rPr>
          <w:rFonts w:hint="eastAsia" w:hAnsi="宋体"/>
          <w:kern w:val="0"/>
          <w:sz w:val="24"/>
        </w:rPr>
      </w:pPr>
      <w:r>
        <w:rPr>
          <w:rFonts w:hint="eastAsia" w:hAnsi="宋体"/>
          <w:kern w:val="0"/>
          <w:sz w:val="24"/>
        </w:rPr>
        <w:t>14）依据基金管理人的指令或有关规定向基金份额持有人支付基金收益和赎回款项；</w:t>
      </w:r>
    </w:p>
    <w:p w14:paraId="03F9AE90">
      <w:pPr>
        <w:adjustRightInd w:val="0"/>
        <w:snapToGrid w:val="0"/>
        <w:spacing w:line="360" w:lineRule="auto"/>
        <w:ind w:firstLine="480" w:firstLineChars="200"/>
        <w:rPr>
          <w:rFonts w:hint="eastAsia" w:hAnsi="宋体"/>
          <w:kern w:val="0"/>
          <w:sz w:val="24"/>
        </w:rPr>
      </w:pPr>
      <w:r>
        <w:rPr>
          <w:rFonts w:hint="eastAsia" w:hAnsi="宋体"/>
          <w:kern w:val="0"/>
          <w:sz w:val="24"/>
        </w:rPr>
        <w:t>15）依据《基金法》、《基金合同》及其他有关规定，召集基金份额持有人大会或配合基金管理人、基金份额持有人依法召集基金份额持有人大会；</w:t>
      </w:r>
    </w:p>
    <w:p w14:paraId="1A26B7C6">
      <w:pPr>
        <w:adjustRightInd w:val="0"/>
        <w:snapToGrid w:val="0"/>
        <w:spacing w:line="360" w:lineRule="auto"/>
        <w:ind w:firstLine="480" w:firstLineChars="200"/>
        <w:rPr>
          <w:rFonts w:hint="eastAsia" w:hAnsi="宋体"/>
          <w:kern w:val="0"/>
          <w:sz w:val="24"/>
        </w:rPr>
      </w:pPr>
      <w:r>
        <w:rPr>
          <w:rFonts w:hint="eastAsia" w:hAnsi="宋体"/>
          <w:kern w:val="0"/>
          <w:sz w:val="24"/>
        </w:rPr>
        <w:t>16）按照法律法规和《基金合同》的规定监督基金管理人的投资运作；</w:t>
      </w:r>
    </w:p>
    <w:p w14:paraId="36399FD2">
      <w:pPr>
        <w:adjustRightInd w:val="0"/>
        <w:snapToGrid w:val="0"/>
        <w:spacing w:line="360" w:lineRule="auto"/>
        <w:ind w:firstLine="480" w:firstLineChars="200"/>
        <w:rPr>
          <w:rFonts w:hint="eastAsia" w:hAnsi="宋体"/>
          <w:kern w:val="0"/>
          <w:sz w:val="24"/>
        </w:rPr>
      </w:pPr>
      <w:r>
        <w:rPr>
          <w:rFonts w:hint="eastAsia" w:hAnsi="宋体"/>
          <w:kern w:val="0"/>
          <w:sz w:val="24"/>
        </w:rPr>
        <w:t>17）参加基金财产清算小组，参与基金财产的保管、清理、估价、变现和分配；</w:t>
      </w:r>
    </w:p>
    <w:p w14:paraId="2781B4BE">
      <w:pPr>
        <w:adjustRightInd w:val="0"/>
        <w:snapToGrid w:val="0"/>
        <w:spacing w:line="360" w:lineRule="auto"/>
        <w:ind w:firstLine="480" w:firstLineChars="200"/>
        <w:rPr>
          <w:rFonts w:hint="eastAsia" w:hAnsi="宋体"/>
          <w:kern w:val="0"/>
          <w:sz w:val="24"/>
        </w:rPr>
      </w:pPr>
      <w:r>
        <w:rPr>
          <w:rFonts w:hint="eastAsia" w:hAnsi="宋体"/>
          <w:kern w:val="0"/>
          <w:sz w:val="24"/>
        </w:rPr>
        <w:t>18）面临解散、依法被撤销或者被依法宣告破产时，及时报告中国证监会和银行业监督管理机构，并通知基金管理人；</w:t>
      </w:r>
    </w:p>
    <w:p w14:paraId="0375D235">
      <w:pPr>
        <w:adjustRightInd w:val="0"/>
        <w:snapToGrid w:val="0"/>
        <w:spacing w:line="360" w:lineRule="auto"/>
        <w:ind w:firstLine="480" w:firstLineChars="200"/>
        <w:rPr>
          <w:rFonts w:hint="eastAsia" w:hAnsi="宋体"/>
          <w:kern w:val="0"/>
          <w:sz w:val="24"/>
        </w:rPr>
      </w:pPr>
      <w:r>
        <w:rPr>
          <w:rFonts w:hint="eastAsia" w:hAnsi="宋体"/>
          <w:kern w:val="0"/>
          <w:sz w:val="24"/>
        </w:rPr>
        <w:t>19）因违反《基金合同》导致基金财产损失时，应承担赔偿责任，其赔偿责任不因其退任而免除；</w:t>
      </w:r>
    </w:p>
    <w:p w14:paraId="55130104">
      <w:pPr>
        <w:adjustRightInd w:val="0"/>
        <w:snapToGrid w:val="0"/>
        <w:spacing w:line="360" w:lineRule="auto"/>
        <w:ind w:firstLine="480" w:firstLineChars="200"/>
        <w:rPr>
          <w:rFonts w:hint="eastAsia" w:hAnsi="宋体"/>
          <w:kern w:val="0"/>
          <w:sz w:val="24"/>
        </w:rPr>
      </w:pPr>
      <w:r>
        <w:rPr>
          <w:rFonts w:hint="eastAsia" w:hAnsi="宋体"/>
          <w:kern w:val="0"/>
          <w:sz w:val="24"/>
        </w:rPr>
        <w:t>20）按规定监督基金管理人按法律法规和《基金合同》规定履行自己的义务，基金管理人因违反《基金合同》造成基金财产损失时，应为基金份额持有人利益向基金管理人追偿；</w:t>
      </w:r>
    </w:p>
    <w:p w14:paraId="7457CBE2">
      <w:pPr>
        <w:adjustRightInd w:val="0"/>
        <w:snapToGrid w:val="0"/>
        <w:spacing w:line="360" w:lineRule="auto"/>
        <w:ind w:firstLine="480" w:firstLineChars="200"/>
        <w:rPr>
          <w:rFonts w:hint="eastAsia" w:hAnsi="宋体"/>
          <w:kern w:val="0"/>
          <w:sz w:val="24"/>
        </w:rPr>
      </w:pPr>
      <w:r>
        <w:rPr>
          <w:rFonts w:hint="eastAsia" w:hAnsi="宋体"/>
          <w:kern w:val="0"/>
          <w:sz w:val="24"/>
        </w:rPr>
        <w:t>21）执行生效的基金份额持有人大会的决议；</w:t>
      </w:r>
    </w:p>
    <w:p w14:paraId="02184F9C">
      <w:pPr>
        <w:adjustRightInd w:val="0"/>
        <w:snapToGrid w:val="0"/>
        <w:spacing w:line="360" w:lineRule="auto"/>
        <w:ind w:firstLine="480" w:firstLineChars="200"/>
        <w:rPr>
          <w:rFonts w:hint="eastAsia" w:hAnsi="宋体"/>
          <w:kern w:val="0"/>
          <w:sz w:val="24"/>
        </w:rPr>
      </w:pPr>
      <w:r>
        <w:rPr>
          <w:rFonts w:hint="eastAsia" w:hAnsi="宋体"/>
          <w:kern w:val="0"/>
          <w:sz w:val="24"/>
        </w:rPr>
        <w:t>22）法律法规及中国证监会规定的和《基金合同》约定的其他义务。</w:t>
      </w:r>
    </w:p>
    <w:p w14:paraId="39B978C4">
      <w:pPr>
        <w:adjustRightInd w:val="0"/>
        <w:snapToGrid w:val="0"/>
        <w:spacing w:line="360" w:lineRule="auto"/>
        <w:ind w:firstLine="480" w:firstLineChars="200"/>
        <w:rPr>
          <w:rFonts w:hint="eastAsia" w:hAnsi="宋体"/>
          <w:kern w:val="0"/>
          <w:sz w:val="24"/>
        </w:rPr>
      </w:pPr>
      <w:r>
        <w:rPr>
          <w:rFonts w:hAnsi="宋体"/>
          <w:kern w:val="0"/>
          <w:sz w:val="24"/>
        </w:rPr>
        <w:t>3、基金份额持有人的权利与义务</w:t>
      </w:r>
    </w:p>
    <w:p w14:paraId="096EA849">
      <w:pPr>
        <w:adjustRightInd w:val="0"/>
        <w:snapToGrid w:val="0"/>
        <w:spacing w:line="360" w:lineRule="auto"/>
        <w:ind w:firstLine="480" w:firstLineChars="200"/>
        <w:rPr>
          <w:rFonts w:hint="eastAsia" w:hAnsi="宋体"/>
          <w:kern w:val="0"/>
          <w:sz w:val="24"/>
        </w:rPr>
      </w:pPr>
      <w:r>
        <w:rPr>
          <w:rFonts w:hint="eastAsia" w:hAnsi="宋体"/>
          <w:kern w:val="0"/>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3DBB73CF">
      <w:pPr>
        <w:adjustRightInd w:val="0"/>
        <w:snapToGrid w:val="0"/>
        <w:spacing w:line="360" w:lineRule="auto"/>
        <w:ind w:firstLine="480" w:firstLineChars="200"/>
        <w:rPr>
          <w:rFonts w:hint="eastAsia" w:hAnsi="宋体"/>
          <w:kern w:val="0"/>
          <w:sz w:val="24"/>
        </w:rPr>
      </w:pPr>
      <w:r>
        <w:rPr>
          <w:rFonts w:hint="eastAsia" w:hAnsi="宋体"/>
          <w:kern w:val="0"/>
          <w:sz w:val="24"/>
        </w:rPr>
        <w:t>每份基金份额具有同等的合法权益。</w:t>
      </w:r>
    </w:p>
    <w:p w14:paraId="02AE9FA4">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14:paraId="1C8AB921">
      <w:pPr>
        <w:adjustRightInd w:val="0"/>
        <w:snapToGrid w:val="0"/>
        <w:spacing w:line="360" w:lineRule="auto"/>
        <w:ind w:firstLine="480" w:firstLineChars="200"/>
        <w:rPr>
          <w:bCs/>
          <w:sz w:val="24"/>
        </w:rPr>
      </w:pPr>
      <w:r>
        <w:rPr>
          <w:rFonts w:hint="eastAsia"/>
          <w:bCs/>
          <w:sz w:val="24"/>
        </w:rPr>
        <w:t>1）分享基金财产收益；</w:t>
      </w:r>
    </w:p>
    <w:p w14:paraId="463D251F">
      <w:pPr>
        <w:adjustRightInd w:val="0"/>
        <w:snapToGrid w:val="0"/>
        <w:spacing w:line="360" w:lineRule="auto"/>
        <w:ind w:firstLine="480" w:firstLineChars="200"/>
        <w:rPr>
          <w:bCs/>
          <w:sz w:val="24"/>
        </w:rPr>
      </w:pPr>
      <w:r>
        <w:rPr>
          <w:rFonts w:hint="eastAsia"/>
          <w:bCs/>
          <w:sz w:val="24"/>
        </w:rPr>
        <w:t>2）参与分配清算后的剩余基金财产；</w:t>
      </w:r>
    </w:p>
    <w:p w14:paraId="00B9A51E">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14:paraId="5849A394">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14:paraId="18DE6AD4">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14:paraId="7CA9A7D0">
      <w:pPr>
        <w:adjustRightInd w:val="0"/>
        <w:snapToGrid w:val="0"/>
        <w:spacing w:line="360" w:lineRule="auto"/>
        <w:ind w:firstLine="480" w:firstLineChars="200"/>
        <w:rPr>
          <w:bCs/>
          <w:sz w:val="24"/>
        </w:rPr>
      </w:pPr>
      <w:r>
        <w:rPr>
          <w:rFonts w:hint="eastAsia"/>
          <w:bCs/>
          <w:sz w:val="24"/>
        </w:rPr>
        <w:t>6）查阅或者复制公开披露的基金信息资料；</w:t>
      </w:r>
    </w:p>
    <w:p w14:paraId="7E107F93">
      <w:pPr>
        <w:adjustRightInd w:val="0"/>
        <w:snapToGrid w:val="0"/>
        <w:spacing w:line="360" w:lineRule="auto"/>
        <w:ind w:firstLine="480" w:firstLineChars="200"/>
        <w:rPr>
          <w:bCs/>
          <w:sz w:val="24"/>
        </w:rPr>
      </w:pPr>
      <w:r>
        <w:rPr>
          <w:rFonts w:hint="eastAsia"/>
          <w:bCs/>
          <w:sz w:val="24"/>
        </w:rPr>
        <w:t>7）监督基金管理人的投资运作；</w:t>
      </w:r>
    </w:p>
    <w:p w14:paraId="56F16FAD">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14:paraId="7A2DC569">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14:paraId="60EEF484">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14:paraId="0F471024">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14:paraId="6211A36B">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14:paraId="2CA06937">
      <w:pPr>
        <w:adjustRightInd w:val="0"/>
        <w:snapToGrid w:val="0"/>
        <w:spacing w:line="360" w:lineRule="auto"/>
        <w:ind w:firstLine="480" w:firstLineChars="200"/>
        <w:rPr>
          <w:bCs/>
          <w:sz w:val="24"/>
        </w:rPr>
      </w:pPr>
      <w:r>
        <w:rPr>
          <w:rFonts w:hint="eastAsia"/>
          <w:bCs/>
          <w:sz w:val="24"/>
        </w:rPr>
        <w:t>3）关注基金信息披露，及时行使权利和履行义务；</w:t>
      </w:r>
    </w:p>
    <w:p w14:paraId="79ECF556">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14:paraId="5DEA8677">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14:paraId="40D3117E">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14:paraId="07CEE3AB">
      <w:pPr>
        <w:adjustRightInd w:val="0"/>
        <w:snapToGrid w:val="0"/>
        <w:spacing w:line="360" w:lineRule="auto"/>
        <w:ind w:firstLine="480" w:firstLineChars="200"/>
        <w:rPr>
          <w:bCs/>
          <w:sz w:val="24"/>
        </w:rPr>
      </w:pPr>
      <w:r>
        <w:rPr>
          <w:rFonts w:hint="eastAsia"/>
          <w:bCs/>
          <w:sz w:val="24"/>
        </w:rPr>
        <w:t>7）执行生效的基金份额持有人大会的决议；</w:t>
      </w:r>
    </w:p>
    <w:p w14:paraId="16488E60">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14:paraId="20FD2BAD">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14:paraId="7847565C">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14:paraId="59D3935C">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14:paraId="5097F166">
      <w:pPr>
        <w:adjustRightInd w:val="0"/>
        <w:snapToGrid w:val="0"/>
        <w:spacing w:line="360" w:lineRule="auto"/>
        <w:ind w:firstLine="482" w:firstLineChars="200"/>
        <w:rPr>
          <w:rFonts w:hint="eastAsia" w:hAnsi="宋体"/>
          <w:b/>
          <w:kern w:val="0"/>
          <w:sz w:val="24"/>
        </w:rPr>
      </w:pPr>
      <w:r>
        <w:rPr>
          <w:rFonts w:hAnsi="宋体"/>
          <w:b/>
          <w:kern w:val="0"/>
          <w:sz w:val="24"/>
        </w:rPr>
        <w:t>（二）基金份额持有人大会</w:t>
      </w:r>
      <w:r>
        <w:rPr>
          <w:rFonts w:hint="eastAsia" w:hAnsi="宋体"/>
          <w:b/>
          <w:kern w:val="0"/>
          <w:sz w:val="24"/>
        </w:rPr>
        <w:t>召集、议事及表决的程序和规则</w:t>
      </w:r>
    </w:p>
    <w:p w14:paraId="57CD639E">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基金份额持有人大会由基金份额持有人组成，基金份额持有人的合法授权代表有权代表基金份额持有人出席会议并表决。基金份额持有人持有的每一基金份额拥有平等的投票权。</w:t>
      </w:r>
    </w:p>
    <w:p w14:paraId="39208962">
      <w:pPr>
        <w:adjustRightInd w:val="0"/>
        <w:snapToGrid w:val="0"/>
        <w:spacing w:line="360" w:lineRule="auto"/>
        <w:ind w:firstLine="480" w:firstLineChars="200"/>
        <w:rPr>
          <w:rFonts w:hint="eastAsia" w:hAnsi="宋体"/>
          <w:kern w:val="0"/>
          <w:sz w:val="24"/>
        </w:rPr>
      </w:pPr>
      <w:r>
        <w:rPr>
          <w:rFonts w:hint="eastAsia" w:hAnsi="宋体"/>
          <w:kern w:val="0"/>
          <w:sz w:val="24"/>
        </w:rPr>
        <w:t>本基金份额持有人大会不设日常机构。</w:t>
      </w:r>
    </w:p>
    <w:p w14:paraId="270EDAA1">
      <w:pPr>
        <w:adjustRightInd w:val="0"/>
        <w:snapToGrid w:val="0"/>
        <w:spacing w:line="360" w:lineRule="auto"/>
        <w:ind w:firstLine="480" w:firstLineChars="200"/>
        <w:rPr>
          <w:rFonts w:hint="eastAsia" w:hAnsi="宋体"/>
          <w:kern w:val="0"/>
          <w:sz w:val="24"/>
        </w:rPr>
      </w:pPr>
      <w:r>
        <w:rPr>
          <w:rFonts w:hAnsi="宋体"/>
          <w:kern w:val="0"/>
          <w:sz w:val="24"/>
        </w:rPr>
        <w:t>1、召开事由</w:t>
      </w:r>
    </w:p>
    <w:p w14:paraId="33A3320B">
      <w:pPr>
        <w:adjustRightInd w:val="0"/>
        <w:snapToGrid w:val="0"/>
        <w:spacing w:line="360" w:lineRule="auto"/>
        <w:ind w:firstLine="480" w:firstLineChars="200"/>
        <w:rPr>
          <w:rFonts w:hint="eastAsia" w:hAnsi="宋体"/>
          <w:kern w:val="0"/>
          <w:sz w:val="24"/>
        </w:rPr>
      </w:pPr>
      <w:r>
        <w:rPr>
          <w:rFonts w:hint="eastAsia" w:hAnsi="宋体"/>
          <w:kern w:val="0"/>
          <w:sz w:val="24"/>
        </w:rPr>
        <w:t>（1）当出现或需要决定下列事由之一的，应当召开基金份额持有人大会，法律法规、基金合同和中国证监会另有规定的除外：</w:t>
      </w:r>
    </w:p>
    <w:p w14:paraId="3CCEFB20">
      <w:pPr>
        <w:adjustRightInd w:val="0"/>
        <w:snapToGrid w:val="0"/>
        <w:spacing w:line="360" w:lineRule="auto"/>
        <w:ind w:firstLine="480" w:firstLineChars="200"/>
        <w:rPr>
          <w:rFonts w:hint="eastAsia" w:hAnsi="宋体"/>
          <w:kern w:val="0"/>
          <w:sz w:val="24"/>
        </w:rPr>
      </w:pPr>
      <w:r>
        <w:rPr>
          <w:rFonts w:hint="eastAsia" w:hAnsi="宋体"/>
          <w:kern w:val="0"/>
          <w:sz w:val="24"/>
        </w:rPr>
        <w:t>1）终止《基金合同》；</w:t>
      </w:r>
    </w:p>
    <w:p w14:paraId="3DC527C3">
      <w:pPr>
        <w:adjustRightInd w:val="0"/>
        <w:snapToGrid w:val="0"/>
        <w:spacing w:line="360" w:lineRule="auto"/>
        <w:ind w:firstLine="480" w:firstLineChars="200"/>
        <w:rPr>
          <w:rFonts w:hint="eastAsia" w:hAnsi="宋体"/>
          <w:kern w:val="0"/>
          <w:sz w:val="24"/>
        </w:rPr>
      </w:pPr>
      <w:r>
        <w:rPr>
          <w:rFonts w:hint="eastAsia" w:hAnsi="宋体"/>
          <w:kern w:val="0"/>
          <w:sz w:val="24"/>
        </w:rPr>
        <w:t>2）更换基金管理人；</w:t>
      </w:r>
    </w:p>
    <w:p w14:paraId="6772CCB3">
      <w:pPr>
        <w:adjustRightInd w:val="0"/>
        <w:snapToGrid w:val="0"/>
        <w:spacing w:line="360" w:lineRule="auto"/>
        <w:ind w:firstLine="480" w:firstLineChars="200"/>
        <w:rPr>
          <w:rFonts w:hint="eastAsia" w:hAnsi="宋体"/>
          <w:kern w:val="0"/>
          <w:sz w:val="24"/>
        </w:rPr>
      </w:pPr>
      <w:r>
        <w:rPr>
          <w:rFonts w:hint="eastAsia" w:hAnsi="宋体"/>
          <w:kern w:val="0"/>
          <w:sz w:val="24"/>
        </w:rPr>
        <w:t>3）更换基金托管人；</w:t>
      </w:r>
    </w:p>
    <w:p w14:paraId="20C85460">
      <w:pPr>
        <w:adjustRightInd w:val="0"/>
        <w:snapToGrid w:val="0"/>
        <w:spacing w:line="360" w:lineRule="auto"/>
        <w:ind w:firstLine="480" w:firstLineChars="200"/>
        <w:rPr>
          <w:rFonts w:hint="eastAsia" w:hAnsi="宋体"/>
          <w:kern w:val="0"/>
          <w:sz w:val="24"/>
        </w:rPr>
      </w:pPr>
      <w:r>
        <w:rPr>
          <w:rFonts w:hint="eastAsia" w:hAnsi="宋体"/>
          <w:kern w:val="0"/>
          <w:sz w:val="24"/>
        </w:rPr>
        <w:t>4）转换基金运作方式；</w:t>
      </w:r>
    </w:p>
    <w:p w14:paraId="5729AFBB">
      <w:pPr>
        <w:adjustRightInd w:val="0"/>
        <w:snapToGrid w:val="0"/>
        <w:spacing w:line="360" w:lineRule="auto"/>
        <w:ind w:firstLine="480" w:firstLineChars="200"/>
        <w:rPr>
          <w:rFonts w:hint="eastAsia" w:hAnsi="宋体"/>
          <w:kern w:val="0"/>
          <w:sz w:val="24"/>
        </w:rPr>
      </w:pPr>
      <w:r>
        <w:rPr>
          <w:rFonts w:hint="eastAsia" w:hAnsi="宋体"/>
          <w:kern w:val="0"/>
          <w:sz w:val="24"/>
        </w:rPr>
        <w:t>5）</w:t>
      </w:r>
      <w:r>
        <w:rPr>
          <w:rFonts w:hint="eastAsia"/>
          <w:bCs/>
          <w:sz w:val="24"/>
        </w:rPr>
        <w:t>调整</w:t>
      </w:r>
      <w:r>
        <w:rPr>
          <w:bCs/>
          <w:sz w:val="24"/>
        </w:rPr>
        <w:t>基金管理人、基金托管人的报酬标准；</w:t>
      </w:r>
    </w:p>
    <w:p w14:paraId="005B46EF">
      <w:pPr>
        <w:adjustRightInd w:val="0"/>
        <w:snapToGrid w:val="0"/>
        <w:spacing w:line="360" w:lineRule="auto"/>
        <w:ind w:firstLine="480" w:firstLineChars="200"/>
        <w:rPr>
          <w:rFonts w:hint="eastAsia" w:hAnsi="宋体"/>
          <w:kern w:val="0"/>
          <w:sz w:val="24"/>
        </w:rPr>
      </w:pPr>
      <w:r>
        <w:rPr>
          <w:rFonts w:hint="eastAsia" w:hAnsi="宋体"/>
          <w:kern w:val="0"/>
          <w:sz w:val="24"/>
        </w:rPr>
        <w:t>6）变更基金类别；</w:t>
      </w:r>
    </w:p>
    <w:p w14:paraId="32255EB5">
      <w:pPr>
        <w:adjustRightInd w:val="0"/>
        <w:snapToGrid w:val="0"/>
        <w:spacing w:line="360" w:lineRule="auto"/>
        <w:ind w:firstLine="480" w:firstLineChars="200"/>
        <w:rPr>
          <w:rFonts w:hint="eastAsia" w:hAnsi="宋体"/>
          <w:kern w:val="0"/>
          <w:sz w:val="24"/>
        </w:rPr>
      </w:pPr>
      <w:r>
        <w:rPr>
          <w:rFonts w:hint="eastAsia" w:hAnsi="宋体"/>
          <w:kern w:val="0"/>
          <w:sz w:val="24"/>
        </w:rPr>
        <w:t>7）本基金与其他基金的合并；</w:t>
      </w:r>
    </w:p>
    <w:p w14:paraId="4E21FE72">
      <w:pPr>
        <w:adjustRightInd w:val="0"/>
        <w:snapToGrid w:val="0"/>
        <w:spacing w:line="360" w:lineRule="auto"/>
        <w:ind w:firstLine="480" w:firstLineChars="200"/>
        <w:rPr>
          <w:rFonts w:hint="eastAsia" w:hAnsi="宋体"/>
          <w:kern w:val="0"/>
          <w:sz w:val="24"/>
        </w:rPr>
      </w:pPr>
      <w:r>
        <w:rPr>
          <w:rFonts w:hint="eastAsia" w:hAnsi="宋体"/>
          <w:kern w:val="0"/>
          <w:sz w:val="24"/>
        </w:rPr>
        <w:t>8）变更基金投资目标、范围或策略；</w:t>
      </w:r>
    </w:p>
    <w:p w14:paraId="3B7E4657">
      <w:pPr>
        <w:adjustRightInd w:val="0"/>
        <w:snapToGrid w:val="0"/>
        <w:spacing w:line="360" w:lineRule="auto"/>
        <w:ind w:firstLine="480" w:firstLineChars="200"/>
        <w:rPr>
          <w:rFonts w:hint="eastAsia" w:hAnsi="宋体"/>
          <w:kern w:val="0"/>
          <w:sz w:val="24"/>
        </w:rPr>
      </w:pPr>
      <w:r>
        <w:rPr>
          <w:rFonts w:hint="eastAsia" w:hAnsi="宋体"/>
          <w:kern w:val="0"/>
          <w:sz w:val="24"/>
        </w:rPr>
        <w:t>9）变更基金份额持有人大会程序；</w:t>
      </w:r>
    </w:p>
    <w:p w14:paraId="337266CA">
      <w:pPr>
        <w:adjustRightInd w:val="0"/>
        <w:snapToGrid w:val="0"/>
        <w:spacing w:line="360" w:lineRule="auto"/>
        <w:ind w:firstLine="480" w:firstLineChars="200"/>
        <w:rPr>
          <w:rFonts w:hint="eastAsia" w:hAnsi="宋体"/>
          <w:kern w:val="0"/>
          <w:sz w:val="24"/>
        </w:rPr>
      </w:pPr>
      <w:r>
        <w:rPr>
          <w:rFonts w:hint="eastAsia" w:hAnsi="宋体"/>
          <w:kern w:val="0"/>
          <w:sz w:val="24"/>
        </w:rPr>
        <w:t>10）基金管理人或基金托管人要求召开基金份额持有人大会；</w:t>
      </w:r>
    </w:p>
    <w:p w14:paraId="3667139B">
      <w:pPr>
        <w:adjustRightInd w:val="0"/>
        <w:snapToGrid w:val="0"/>
        <w:spacing w:line="360" w:lineRule="auto"/>
        <w:ind w:firstLine="480" w:firstLineChars="200"/>
        <w:rPr>
          <w:rFonts w:hint="eastAsia" w:hAnsi="宋体"/>
          <w:kern w:val="0"/>
          <w:sz w:val="24"/>
        </w:rPr>
      </w:pPr>
      <w:r>
        <w:rPr>
          <w:rFonts w:hint="eastAsia" w:hAnsi="宋体"/>
          <w:kern w:val="0"/>
          <w:sz w:val="24"/>
        </w:rPr>
        <w:t>11）单独或合计持有本基金总份额10%以上（含10%）基金份额的基金份额持有人（以基金管理人收到提议当日的基金份额计算，下同）就同一事项书面要求召开基金份额持有人大会；</w:t>
      </w:r>
    </w:p>
    <w:p w14:paraId="69D7486C">
      <w:pPr>
        <w:adjustRightInd w:val="0"/>
        <w:snapToGrid w:val="0"/>
        <w:spacing w:line="360" w:lineRule="auto"/>
        <w:ind w:firstLine="480" w:firstLineChars="200"/>
        <w:rPr>
          <w:rFonts w:hint="eastAsia" w:hAnsi="宋体"/>
          <w:kern w:val="0"/>
          <w:sz w:val="24"/>
        </w:rPr>
      </w:pPr>
      <w:r>
        <w:rPr>
          <w:rFonts w:hint="eastAsia" w:hAnsi="宋体"/>
          <w:kern w:val="0"/>
          <w:sz w:val="24"/>
        </w:rPr>
        <w:t>12）对基金合同当事人权利和义务产生重大影响的其他事项；</w:t>
      </w:r>
    </w:p>
    <w:p w14:paraId="20022CF3">
      <w:pPr>
        <w:adjustRightInd w:val="0"/>
        <w:snapToGrid w:val="0"/>
        <w:spacing w:line="360" w:lineRule="auto"/>
        <w:ind w:firstLine="480" w:firstLineChars="200"/>
        <w:rPr>
          <w:rFonts w:hint="eastAsia" w:hAnsi="宋体"/>
          <w:kern w:val="0"/>
          <w:sz w:val="24"/>
        </w:rPr>
      </w:pPr>
      <w:r>
        <w:rPr>
          <w:rFonts w:hint="eastAsia" w:hAnsi="宋体"/>
          <w:kern w:val="0"/>
          <w:sz w:val="24"/>
        </w:rPr>
        <w:t>13）法律法规、《基金合同》或中国证监会规定的其他应当召开基金份额持有人大会的事项。</w:t>
      </w:r>
    </w:p>
    <w:p w14:paraId="79B9D8F4">
      <w:pPr>
        <w:adjustRightInd w:val="0"/>
        <w:snapToGrid w:val="0"/>
        <w:spacing w:line="360" w:lineRule="auto"/>
        <w:ind w:firstLine="480" w:firstLineChars="200"/>
        <w:rPr>
          <w:rFonts w:hint="eastAsia" w:hAnsi="宋体"/>
          <w:kern w:val="0"/>
          <w:sz w:val="24"/>
        </w:rPr>
      </w:pPr>
      <w:r>
        <w:rPr>
          <w:rFonts w:hint="eastAsia" w:hAnsi="宋体"/>
          <w:kern w:val="0"/>
          <w:sz w:val="24"/>
        </w:rPr>
        <w:t>（2）在法律法规规定和《基金合同》约定的范围内且对基金份额持有人利益无实质性不利影响的前提下，以下情况可由基金管理人和基金托管人协商后修改，不需召开基金份额持有人大会：</w:t>
      </w:r>
    </w:p>
    <w:p w14:paraId="053BEA16">
      <w:pPr>
        <w:adjustRightInd w:val="0"/>
        <w:snapToGrid w:val="0"/>
        <w:spacing w:line="360" w:lineRule="auto"/>
        <w:ind w:firstLine="480" w:firstLineChars="200"/>
        <w:rPr>
          <w:rFonts w:hint="eastAsia" w:hAnsi="宋体"/>
          <w:kern w:val="0"/>
          <w:sz w:val="24"/>
        </w:rPr>
      </w:pPr>
      <w:r>
        <w:rPr>
          <w:rFonts w:hint="eastAsia" w:hAnsi="宋体"/>
          <w:kern w:val="0"/>
          <w:sz w:val="24"/>
        </w:rPr>
        <w:t>1）法律法规要求增加的基金费用的收取；</w:t>
      </w:r>
    </w:p>
    <w:p w14:paraId="3726316C">
      <w:pPr>
        <w:adjustRightInd w:val="0"/>
        <w:snapToGrid w:val="0"/>
        <w:spacing w:line="360" w:lineRule="auto"/>
        <w:ind w:firstLine="480" w:firstLineChars="200"/>
        <w:rPr>
          <w:rFonts w:hint="eastAsia" w:hAnsi="宋体"/>
          <w:kern w:val="0"/>
          <w:sz w:val="24"/>
        </w:rPr>
      </w:pPr>
      <w:r>
        <w:rPr>
          <w:rFonts w:hAnsi="宋体"/>
          <w:kern w:val="0"/>
          <w:sz w:val="24"/>
        </w:rPr>
        <w:t>2</w:t>
      </w:r>
      <w:r>
        <w:rPr>
          <w:rFonts w:hint="eastAsia" w:hAnsi="宋体"/>
          <w:kern w:val="0"/>
          <w:sz w:val="24"/>
        </w:rPr>
        <w:t>）在法律法规和《基金合同》规定的范围内调整本基金的申购费率、在对现有基金份额持有人利益无实质性不利影响的前提下变更收费方式；</w:t>
      </w:r>
    </w:p>
    <w:p w14:paraId="5C9D804B">
      <w:pPr>
        <w:adjustRightInd w:val="0"/>
        <w:snapToGrid w:val="0"/>
        <w:spacing w:line="360" w:lineRule="auto"/>
        <w:ind w:firstLine="480" w:firstLineChars="200"/>
        <w:rPr>
          <w:rFonts w:hint="eastAsia" w:hAnsi="宋体"/>
          <w:kern w:val="0"/>
          <w:sz w:val="24"/>
        </w:rPr>
      </w:pPr>
      <w:r>
        <w:rPr>
          <w:rFonts w:hAnsi="宋体"/>
          <w:kern w:val="0"/>
          <w:sz w:val="24"/>
        </w:rPr>
        <w:t>3</w:t>
      </w:r>
      <w:r>
        <w:rPr>
          <w:rFonts w:hint="eastAsia" w:hAnsi="宋体"/>
          <w:kern w:val="0"/>
          <w:sz w:val="24"/>
        </w:rPr>
        <w:t>）因相应的法律法规、登记机构的相关业务规则发生变动而应当对《基金合同》进行修改；</w:t>
      </w:r>
    </w:p>
    <w:p w14:paraId="274114B9">
      <w:pPr>
        <w:adjustRightInd w:val="0"/>
        <w:snapToGrid w:val="0"/>
        <w:spacing w:line="360" w:lineRule="auto"/>
        <w:ind w:firstLine="480" w:firstLineChars="200"/>
        <w:rPr>
          <w:rFonts w:hint="eastAsia" w:hAnsi="宋体"/>
          <w:kern w:val="0"/>
          <w:sz w:val="24"/>
        </w:rPr>
      </w:pPr>
      <w:r>
        <w:rPr>
          <w:rFonts w:hAnsi="宋体"/>
          <w:kern w:val="0"/>
          <w:sz w:val="24"/>
        </w:rPr>
        <w:t>4</w:t>
      </w:r>
      <w:r>
        <w:rPr>
          <w:rFonts w:hint="eastAsia" w:hAnsi="宋体"/>
          <w:kern w:val="0"/>
          <w:sz w:val="24"/>
        </w:rPr>
        <w:t>）对《基金合同》的修改对基金份额持有人利益无实质性不利影响或修改不涉及《基金合同》当事人权利义务关系发生重大变化；</w:t>
      </w:r>
    </w:p>
    <w:p w14:paraId="52FB7F48">
      <w:pPr>
        <w:adjustRightInd w:val="0"/>
        <w:snapToGrid w:val="0"/>
        <w:spacing w:line="360" w:lineRule="auto"/>
        <w:ind w:firstLine="480" w:firstLineChars="200"/>
        <w:rPr>
          <w:rFonts w:hint="eastAsia" w:hAnsi="宋体"/>
          <w:kern w:val="0"/>
          <w:sz w:val="24"/>
        </w:rPr>
      </w:pPr>
      <w:r>
        <w:rPr>
          <w:rFonts w:hAnsi="宋体"/>
          <w:kern w:val="0"/>
          <w:sz w:val="24"/>
        </w:rPr>
        <w:t>5</w:t>
      </w:r>
      <w:r>
        <w:rPr>
          <w:rFonts w:hint="eastAsia" w:hAnsi="宋体"/>
          <w:kern w:val="0"/>
          <w:sz w:val="24"/>
        </w:rPr>
        <w:t>）在法律法规允许的情况下，且在对现有基金份额持有人利益无实质性不利影响的前提下，</w:t>
      </w:r>
      <w:r>
        <w:rPr>
          <w:rFonts w:hint="eastAsia"/>
          <w:bCs/>
          <w:sz w:val="24"/>
        </w:rPr>
        <w:t>在履行适当程序后，</w:t>
      </w:r>
      <w:r>
        <w:rPr>
          <w:rFonts w:hint="eastAsia" w:hAnsi="宋体"/>
          <w:kern w:val="0"/>
          <w:sz w:val="24"/>
        </w:rPr>
        <w:t>基金推出新业务或服务；</w:t>
      </w:r>
    </w:p>
    <w:p w14:paraId="028E3713">
      <w:pPr>
        <w:adjustRightInd w:val="0"/>
        <w:snapToGrid w:val="0"/>
        <w:spacing w:line="360" w:lineRule="auto"/>
        <w:ind w:firstLine="480" w:firstLineChars="200"/>
        <w:rPr>
          <w:rFonts w:hint="eastAsia" w:hAnsi="宋体"/>
          <w:kern w:val="0"/>
          <w:sz w:val="24"/>
        </w:rPr>
      </w:pPr>
      <w:r>
        <w:rPr>
          <w:rFonts w:hAnsi="宋体"/>
          <w:kern w:val="0"/>
          <w:sz w:val="24"/>
        </w:rPr>
        <w:t>6</w:t>
      </w:r>
      <w:r>
        <w:rPr>
          <w:rFonts w:hint="eastAsia" w:hAnsi="宋体"/>
          <w:kern w:val="0"/>
          <w:sz w:val="24"/>
        </w:rPr>
        <w:t>）在符合法律法规及本基金合同规定、并且对基金份额持有人利益无实质性不利影响的前提下，调整本基金份额类别的设置</w:t>
      </w:r>
      <w:r>
        <w:rPr>
          <w:rFonts w:hint="eastAsia"/>
          <w:bCs/>
          <w:sz w:val="24"/>
        </w:rPr>
        <w:t>、对基金份额分类办法及规则进行调整</w:t>
      </w:r>
      <w:r>
        <w:rPr>
          <w:rFonts w:hint="eastAsia" w:hAnsi="宋体"/>
          <w:kern w:val="0"/>
          <w:sz w:val="24"/>
        </w:rPr>
        <w:t>；</w:t>
      </w:r>
    </w:p>
    <w:p w14:paraId="0CC7685F">
      <w:pPr>
        <w:adjustRightInd w:val="0"/>
        <w:snapToGrid w:val="0"/>
        <w:spacing w:line="360" w:lineRule="auto"/>
        <w:ind w:firstLine="480" w:firstLineChars="200"/>
        <w:rPr>
          <w:rFonts w:hint="eastAsia" w:hAnsi="宋体"/>
          <w:kern w:val="0"/>
          <w:sz w:val="24"/>
        </w:rPr>
      </w:pPr>
      <w:r>
        <w:rPr>
          <w:rFonts w:hAnsi="宋体"/>
          <w:kern w:val="0"/>
          <w:sz w:val="24"/>
        </w:rPr>
        <w:t>7</w:t>
      </w:r>
      <w:r>
        <w:rPr>
          <w:rFonts w:hint="eastAsia" w:hAnsi="宋体"/>
          <w:kern w:val="0"/>
          <w:sz w:val="24"/>
        </w:rPr>
        <w:t>）在不违反法律法规及对基金份额持有人利益无实质性不利影响的前提下，基金管理人、登记机构、销售机构调整有关基金认购、申购、赎回、转换、收益分配、非交易过户、转托管等业务的规则；</w:t>
      </w:r>
    </w:p>
    <w:p w14:paraId="44BF74E4">
      <w:pPr>
        <w:adjustRightInd w:val="0"/>
        <w:snapToGrid w:val="0"/>
        <w:spacing w:line="360" w:lineRule="auto"/>
        <w:ind w:firstLine="480" w:firstLineChars="200"/>
        <w:rPr>
          <w:rFonts w:hint="eastAsia" w:hAnsi="宋体"/>
          <w:kern w:val="0"/>
          <w:sz w:val="24"/>
        </w:rPr>
      </w:pPr>
      <w:r>
        <w:rPr>
          <w:rFonts w:hAnsi="宋体"/>
          <w:kern w:val="0"/>
          <w:sz w:val="24"/>
        </w:rPr>
        <w:t>8</w:t>
      </w:r>
      <w:r>
        <w:rPr>
          <w:rFonts w:hint="eastAsia" w:hAnsi="宋体"/>
          <w:kern w:val="0"/>
          <w:sz w:val="24"/>
        </w:rPr>
        <w:t>）按照法律法规和《基金合同》规定不需召开基金份额持有人大会的其他情形。</w:t>
      </w:r>
    </w:p>
    <w:p w14:paraId="0453DC0C">
      <w:pPr>
        <w:adjustRightInd w:val="0"/>
        <w:snapToGrid w:val="0"/>
        <w:spacing w:line="360" w:lineRule="auto"/>
        <w:ind w:firstLine="480" w:firstLineChars="200"/>
        <w:rPr>
          <w:rFonts w:hint="eastAsia" w:hAnsi="宋体"/>
          <w:kern w:val="0"/>
          <w:sz w:val="24"/>
        </w:rPr>
      </w:pPr>
      <w:bookmarkStart w:id="107" w:name="_Hlt94543071"/>
      <w:bookmarkEnd w:id="107"/>
      <w:r>
        <w:rPr>
          <w:rFonts w:hAnsi="宋体"/>
          <w:kern w:val="0"/>
          <w:sz w:val="24"/>
        </w:rPr>
        <w:t>2、会议召集人及召集方式</w:t>
      </w:r>
    </w:p>
    <w:p w14:paraId="2077B026">
      <w:pPr>
        <w:adjustRightInd w:val="0"/>
        <w:snapToGrid w:val="0"/>
        <w:spacing w:line="360" w:lineRule="auto"/>
        <w:ind w:firstLine="480" w:firstLineChars="200"/>
        <w:rPr>
          <w:rFonts w:hint="eastAsia" w:hAnsi="宋体"/>
          <w:kern w:val="0"/>
          <w:sz w:val="24"/>
        </w:rPr>
      </w:pPr>
      <w:r>
        <w:rPr>
          <w:rFonts w:hint="eastAsia" w:hAnsi="宋体"/>
          <w:kern w:val="0"/>
          <w:sz w:val="24"/>
        </w:rPr>
        <w:t>（1）除法律法规规定或《基金合同》另有约定外，基金份额持有人大会由基金管理人召集；</w:t>
      </w:r>
    </w:p>
    <w:p w14:paraId="58800BFD">
      <w:pPr>
        <w:adjustRightInd w:val="0"/>
        <w:snapToGrid w:val="0"/>
        <w:spacing w:line="360" w:lineRule="auto"/>
        <w:ind w:firstLine="480" w:firstLineChars="200"/>
        <w:rPr>
          <w:rFonts w:hint="eastAsia" w:hAnsi="宋体"/>
          <w:kern w:val="0"/>
          <w:sz w:val="24"/>
        </w:rPr>
      </w:pPr>
      <w:r>
        <w:rPr>
          <w:rFonts w:hint="eastAsia" w:hAnsi="宋体"/>
          <w:kern w:val="0"/>
          <w:sz w:val="24"/>
        </w:rPr>
        <w:t>（2）基金管理人未按规定召集或不能召集时，由基金托管人召集；</w:t>
      </w:r>
    </w:p>
    <w:p w14:paraId="004A787C">
      <w:pPr>
        <w:adjustRightInd w:val="0"/>
        <w:snapToGrid w:val="0"/>
        <w:spacing w:line="360" w:lineRule="auto"/>
        <w:ind w:firstLine="480" w:firstLineChars="200"/>
        <w:rPr>
          <w:rFonts w:hint="eastAsia" w:hAnsi="宋体"/>
          <w:kern w:val="0"/>
          <w:sz w:val="24"/>
        </w:rPr>
      </w:pPr>
      <w:r>
        <w:rPr>
          <w:rFonts w:hint="eastAsia" w:hAnsi="宋体"/>
          <w:kern w:val="0"/>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BE07C33">
      <w:pPr>
        <w:adjustRightInd w:val="0"/>
        <w:snapToGrid w:val="0"/>
        <w:spacing w:line="360" w:lineRule="auto"/>
        <w:ind w:firstLine="480" w:firstLineChars="200"/>
        <w:rPr>
          <w:rFonts w:hint="eastAsia" w:hAnsi="宋体"/>
          <w:kern w:val="0"/>
          <w:sz w:val="24"/>
        </w:rPr>
      </w:pPr>
      <w:r>
        <w:rPr>
          <w:rFonts w:hint="eastAsia" w:hAnsi="宋体"/>
          <w:kern w:val="0"/>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6B5DE1E">
      <w:pPr>
        <w:adjustRightInd w:val="0"/>
        <w:snapToGrid w:val="0"/>
        <w:spacing w:line="360" w:lineRule="auto"/>
        <w:ind w:firstLine="480" w:firstLineChars="200"/>
        <w:rPr>
          <w:rFonts w:hint="eastAsia" w:hAnsi="宋体"/>
          <w:kern w:val="0"/>
          <w:sz w:val="24"/>
        </w:rPr>
      </w:pPr>
      <w:r>
        <w:rPr>
          <w:rFonts w:hint="eastAsia" w:hAnsi="宋体"/>
          <w:kern w:val="0"/>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5F2D0E6">
      <w:pPr>
        <w:adjustRightInd w:val="0"/>
        <w:snapToGrid w:val="0"/>
        <w:spacing w:line="360" w:lineRule="auto"/>
        <w:ind w:firstLine="480" w:firstLineChars="200"/>
        <w:rPr>
          <w:rFonts w:hint="eastAsia" w:hAnsi="宋体"/>
          <w:kern w:val="0"/>
          <w:sz w:val="24"/>
        </w:rPr>
      </w:pPr>
      <w:r>
        <w:rPr>
          <w:rFonts w:hint="eastAsia" w:hAnsi="宋体"/>
          <w:kern w:val="0"/>
          <w:sz w:val="24"/>
        </w:rPr>
        <w:t>（6）基金份额持有人会议的召集人负责选择确定开会时间、地点、方式和权益登记日。</w:t>
      </w:r>
    </w:p>
    <w:p w14:paraId="6E65016C">
      <w:pPr>
        <w:adjustRightInd w:val="0"/>
        <w:snapToGrid w:val="0"/>
        <w:spacing w:line="360" w:lineRule="auto"/>
        <w:ind w:firstLine="480" w:firstLineChars="200"/>
        <w:rPr>
          <w:rFonts w:hint="eastAsia" w:hAnsi="宋体"/>
          <w:kern w:val="0"/>
          <w:sz w:val="24"/>
        </w:rPr>
      </w:pPr>
      <w:r>
        <w:rPr>
          <w:rFonts w:hAnsi="宋体"/>
          <w:kern w:val="0"/>
          <w:sz w:val="24"/>
        </w:rPr>
        <w:t>3、召开基金份额持有人大会的通知时间、通知内容、通知方式</w:t>
      </w:r>
    </w:p>
    <w:p w14:paraId="492C3CF7">
      <w:pPr>
        <w:adjustRightInd w:val="0"/>
        <w:snapToGrid w:val="0"/>
        <w:spacing w:line="360" w:lineRule="auto"/>
        <w:ind w:firstLine="480" w:firstLineChars="200"/>
        <w:rPr>
          <w:rFonts w:hint="eastAsia" w:hAnsi="宋体"/>
          <w:kern w:val="0"/>
          <w:sz w:val="24"/>
        </w:rPr>
      </w:pPr>
      <w:r>
        <w:rPr>
          <w:rFonts w:hint="eastAsia" w:hAnsi="宋体"/>
          <w:kern w:val="0"/>
          <w:sz w:val="24"/>
        </w:rPr>
        <w:t>（1）召开基金份额持有人大会，召集人应于会议召开前30日，在规定媒介公告。基金份额持有人大会通知应至少载明以下内容：</w:t>
      </w:r>
    </w:p>
    <w:p w14:paraId="6CD1514F">
      <w:pPr>
        <w:adjustRightInd w:val="0"/>
        <w:snapToGrid w:val="0"/>
        <w:spacing w:line="360" w:lineRule="auto"/>
        <w:ind w:firstLine="480" w:firstLineChars="200"/>
        <w:rPr>
          <w:rFonts w:hint="eastAsia" w:hAnsi="宋体"/>
          <w:kern w:val="0"/>
          <w:sz w:val="24"/>
        </w:rPr>
      </w:pPr>
      <w:r>
        <w:rPr>
          <w:rFonts w:hint="eastAsia" w:hAnsi="宋体"/>
          <w:kern w:val="0"/>
          <w:sz w:val="24"/>
        </w:rPr>
        <w:t>1）会议召开的时间、地点和会议形式；</w:t>
      </w:r>
    </w:p>
    <w:p w14:paraId="7B989B2E">
      <w:pPr>
        <w:adjustRightInd w:val="0"/>
        <w:snapToGrid w:val="0"/>
        <w:spacing w:line="360" w:lineRule="auto"/>
        <w:ind w:firstLine="480" w:firstLineChars="200"/>
        <w:rPr>
          <w:rFonts w:hint="eastAsia" w:hAnsi="宋体"/>
          <w:kern w:val="0"/>
          <w:sz w:val="24"/>
        </w:rPr>
      </w:pPr>
      <w:r>
        <w:rPr>
          <w:rFonts w:hint="eastAsia" w:hAnsi="宋体"/>
          <w:kern w:val="0"/>
          <w:sz w:val="24"/>
        </w:rPr>
        <w:t>2）会议拟审议的事项、议事程序和表决方式；</w:t>
      </w:r>
    </w:p>
    <w:p w14:paraId="0FFF81D8">
      <w:pPr>
        <w:adjustRightInd w:val="0"/>
        <w:snapToGrid w:val="0"/>
        <w:spacing w:line="360" w:lineRule="auto"/>
        <w:ind w:firstLine="480" w:firstLineChars="200"/>
        <w:rPr>
          <w:rFonts w:hint="eastAsia" w:hAnsi="宋体"/>
          <w:kern w:val="0"/>
          <w:sz w:val="24"/>
        </w:rPr>
      </w:pPr>
      <w:r>
        <w:rPr>
          <w:rFonts w:hint="eastAsia" w:hAnsi="宋体"/>
          <w:kern w:val="0"/>
          <w:sz w:val="24"/>
        </w:rPr>
        <w:t>3）有权出席基金份额持有人大会的基金份额持有人的权益登记日；</w:t>
      </w:r>
    </w:p>
    <w:p w14:paraId="5306C15A">
      <w:pPr>
        <w:adjustRightInd w:val="0"/>
        <w:snapToGrid w:val="0"/>
        <w:spacing w:line="360" w:lineRule="auto"/>
        <w:ind w:firstLine="480" w:firstLineChars="200"/>
        <w:rPr>
          <w:rFonts w:hint="eastAsia" w:hAnsi="宋体"/>
          <w:kern w:val="0"/>
          <w:sz w:val="24"/>
        </w:rPr>
      </w:pPr>
      <w:r>
        <w:rPr>
          <w:rFonts w:hint="eastAsia" w:hAnsi="宋体"/>
          <w:kern w:val="0"/>
          <w:sz w:val="24"/>
        </w:rPr>
        <w:t>4）授权委托证明的内容要求（包括但不限于代理人身份，代理权限和代理有效期限等）、送达时间和地点；</w:t>
      </w:r>
    </w:p>
    <w:p w14:paraId="2CFB76E1">
      <w:pPr>
        <w:adjustRightInd w:val="0"/>
        <w:snapToGrid w:val="0"/>
        <w:spacing w:line="360" w:lineRule="auto"/>
        <w:ind w:firstLine="480" w:firstLineChars="200"/>
        <w:rPr>
          <w:rFonts w:hint="eastAsia" w:hAnsi="宋体"/>
          <w:kern w:val="0"/>
          <w:sz w:val="24"/>
        </w:rPr>
      </w:pPr>
      <w:r>
        <w:rPr>
          <w:rFonts w:hint="eastAsia" w:hAnsi="宋体"/>
          <w:kern w:val="0"/>
          <w:sz w:val="24"/>
        </w:rPr>
        <w:t>5）会务常设联系人姓名及联系电话；</w:t>
      </w:r>
    </w:p>
    <w:p w14:paraId="1DA5943C">
      <w:pPr>
        <w:adjustRightInd w:val="0"/>
        <w:snapToGrid w:val="0"/>
        <w:spacing w:line="360" w:lineRule="auto"/>
        <w:ind w:firstLine="480" w:firstLineChars="200"/>
        <w:rPr>
          <w:rFonts w:hint="eastAsia" w:hAnsi="宋体"/>
          <w:kern w:val="0"/>
          <w:sz w:val="24"/>
        </w:rPr>
      </w:pPr>
      <w:r>
        <w:rPr>
          <w:rFonts w:hint="eastAsia" w:hAnsi="宋体"/>
          <w:kern w:val="0"/>
          <w:sz w:val="24"/>
        </w:rPr>
        <w:t>6）出席会议者必须准备的文件和必须履行的手续；</w:t>
      </w:r>
    </w:p>
    <w:p w14:paraId="77AF5197">
      <w:pPr>
        <w:adjustRightInd w:val="0"/>
        <w:snapToGrid w:val="0"/>
        <w:spacing w:line="360" w:lineRule="auto"/>
        <w:ind w:firstLine="480" w:firstLineChars="200"/>
        <w:rPr>
          <w:rFonts w:hint="eastAsia" w:hAnsi="宋体"/>
          <w:kern w:val="0"/>
          <w:sz w:val="24"/>
        </w:rPr>
      </w:pPr>
      <w:r>
        <w:rPr>
          <w:rFonts w:hint="eastAsia" w:hAnsi="宋体"/>
          <w:kern w:val="0"/>
          <w:sz w:val="24"/>
        </w:rPr>
        <w:t>7）召集人需要通知的其他事项。</w:t>
      </w:r>
    </w:p>
    <w:p w14:paraId="1862E4EC">
      <w:pPr>
        <w:adjustRightInd w:val="0"/>
        <w:snapToGrid w:val="0"/>
        <w:spacing w:line="360" w:lineRule="auto"/>
        <w:ind w:firstLine="480" w:firstLineChars="200"/>
        <w:rPr>
          <w:rFonts w:hint="eastAsia" w:hAnsi="宋体"/>
          <w:kern w:val="0"/>
          <w:sz w:val="24"/>
        </w:rPr>
      </w:pPr>
      <w:r>
        <w:rPr>
          <w:rFonts w:hint="eastAsia" w:hAnsi="宋体"/>
          <w:kern w:val="0"/>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AF0191">
      <w:pPr>
        <w:adjustRightInd w:val="0"/>
        <w:snapToGrid w:val="0"/>
        <w:spacing w:line="360" w:lineRule="auto"/>
        <w:ind w:firstLine="480" w:firstLineChars="200"/>
        <w:rPr>
          <w:rFonts w:hint="eastAsia" w:hAnsi="宋体"/>
          <w:kern w:val="0"/>
          <w:sz w:val="24"/>
        </w:rPr>
      </w:pPr>
      <w:r>
        <w:rPr>
          <w:rFonts w:hint="eastAsia" w:hAnsi="宋体"/>
          <w:kern w:val="0"/>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A1EBF62">
      <w:pPr>
        <w:adjustRightInd w:val="0"/>
        <w:snapToGrid w:val="0"/>
        <w:spacing w:line="360" w:lineRule="auto"/>
        <w:ind w:firstLine="480" w:firstLineChars="200"/>
        <w:rPr>
          <w:rFonts w:hint="eastAsia" w:hAnsi="宋体"/>
          <w:kern w:val="0"/>
          <w:sz w:val="24"/>
        </w:rPr>
      </w:pPr>
      <w:r>
        <w:rPr>
          <w:rFonts w:hAnsi="宋体"/>
          <w:kern w:val="0"/>
          <w:sz w:val="24"/>
        </w:rPr>
        <w:t>4、基金份额持有人出席会议的方式</w:t>
      </w:r>
    </w:p>
    <w:p w14:paraId="6A49F401">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基金份额持有人大会可通过现场开会方式、通讯开会方式或法律法规、监管机构允许的其他方式召开，会议的召开方式由会议召集人确定。</w:t>
      </w:r>
    </w:p>
    <w:p w14:paraId="2039FA7B">
      <w:pPr>
        <w:adjustRightInd w:val="0"/>
        <w:snapToGrid w:val="0"/>
        <w:spacing w:line="360" w:lineRule="auto"/>
        <w:ind w:firstLine="480" w:firstLineChars="200"/>
        <w:rPr>
          <w:rFonts w:hint="eastAsia" w:hAnsi="宋体"/>
          <w:kern w:val="0"/>
          <w:sz w:val="24"/>
        </w:rPr>
      </w:pPr>
      <w:r>
        <w:rPr>
          <w:rFonts w:hint="eastAsia" w:hAnsi="宋体"/>
          <w:kern w:val="0"/>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CA803EE">
      <w:pPr>
        <w:adjustRightInd w:val="0"/>
        <w:snapToGrid w:val="0"/>
        <w:spacing w:line="360" w:lineRule="auto"/>
        <w:ind w:firstLine="480" w:firstLineChars="200"/>
        <w:rPr>
          <w:rFonts w:hint="eastAsia" w:hAnsi="宋体"/>
          <w:kern w:val="0"/>
          <w:sz w:val="24"/>
        </w:rPr>
      </w:pPr>
      <w:r>
        <w:rPr>
          <w:rFonts w:hint="eastAsia" w:hAnsi="宋体"/>
          <w:kern w:val="0"/>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B020F0F">
      <w:pPr>
        <w:adjustRightInd w:val="0"/>
        <w:snapToGrid w:val="0"/>
        <w:spacing w:line="360" w:lineRule="auto"/>
        <w:ind w:firstLine="480" w:firstLineChars="200"/>
        <w:rPr>
          <w:rFonts w:hint="eastAsia" w:hAnsi="宋体"/>
          <w:kern w:val="0"/>
          <w:sz w:val="24"/>
        </w:rPr>
      </w:pPr>
      <w:r>
        <w:rPr>
          <w:rFonts w:hint="eastAsia" w:hAnsi="宋体"/>
          <w:kern w:val="0"/>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A0AD018">
      <w:pPr>
        <w:adjustRightInd w:val="0"/>
        <w:snapToGrid w:val="0"/>
        <w:spacing w:line="360" w:lineRule="auto"/>
        <w:ind w:firstLine="480" w:firstLineChars="200"/>
        <w:rPr>
          <w:rFonts w:hint="eastAsia" w:hAnsi="宋体"/>
          <w:kern w:val="0"/>
          <w:sz w:val="24"/>
        </w:rPr>
      </w:pPr>
      <w:r>
        <w:rPr>
          <w:rFonts w:hint="eastAsia" w:hAnsi="宋体"/>
          <w:kern w:val="0"/>
          <w:sz w:val="24"/>
        </w:rPr>
        <w:t>（2）通讯开会。通讯开会系指基金份额持有人将其对表决事项的投票以会议通知载明的形式或基金合同约定的其他方式在表决截止日以前送达至召集人指定的地址或系统。</w:t>
      </w:r>
    </w:p>
    <w:p w14:paraId="27C8ED40">
      <w:pPr>
        <w:adjustRightInd w:val="0"/>
        <w:snapToGrid w:val="0"/>
        <w:spacing w:line="360" w:lineRule="auto"/>
        <w:ind w:firstLine="480" w:firstLineChars="200"/>
        <w:rPr>
          <w:rFonts w:hint="eastAsia" w:hAnsi="宋体"/>
          <w:kern w:val="0"/>
          <w:sz w:val="24"/>
        </w:rPr>
      </w:pPr>
      <w:r>
        <w:rPr>
          <w:rFonts w:hint="eastAsia" w:hAnsi="宋体"/>
          <w:kern w:val="0"/>
          <w:sz w:val="24"/>
        </w:rPr>
        <w:t>在同时符合以下条件时，通讯开会的方式视为有效：</w:t>
      </w:r>
    </w:p>
    <w:p w14:paraId="52254B18">
      <w:pPr>
        <w:adjustRightInd w:val="0"/>
        <w:snapToGrid w:val="0"/>
        <w:spacing w:line="360" w:lineRule="auto"/>
        <w:ind w:firstLine="480" w:firstLineChars="200"/>
        <w:rPr>
          <w:rFonts w:hint="eastAsia" w:hAnsi="宋体"/>
          <w:kern w:val="0"/>
          <w:sz w:val="24"/>
        </w:rPr>
      </w:pPr>
      <w:r>
        <w:rPr>
          <w:rFonts w:hint="eastAsia" w:hAnsi="宋体"/>
          <w:kern w:val="0"/>
          <w:sz w:val="24"/>
        </w:rPr>
        <w:t>1）会议召集人按《基金合同》约定公布会议通知后，在2个工作日内连续公布相关提示性公告；</w:t>
      </w:r>
    </w:p>
    <w:p w14:paraId="7F4968ED">
      <w:pPr>
        <w:adjustRightInd w:val="0"/>
        <w:snapToGrid w:val="0"/>
        <w:spacing w:line="360" w:lineRule="auto"/>
        <w:ind w:firstLine="480" w:firstLineChars="200"/>
        <w:rPr>
          <w:rFonts w:hint="eastAsia" w:hAnsi="宋体"/>
          <w:kern w:val="0"/>
          <w:sz w:val="24"/>
        </w:rPr>
      </w:pPr>
      <w:r>
        <w:rPr>
          <w:rFonts w:hint="eastAsia" w:hAnsi="宋体"/>
          <w:kern w:val="0"/>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D8EB844">
      <w:pPr>
        <w:adjustRightInd w:val="0"/>
        <w:snapToGrid w:val="0"/>
        <w:spacing w:line="360" w:lineRule="auto"/>
        <w:ind w:firstLine="480" w:firstLineChars="200"/>
        <w:rPr>
          <w:rFonts w:hint="eastAsia" w:hAnsi="宋体"/>
          <w:kern w:val="0"/>
          <w:sz w:val="24"/>
        </w:rPr>
      </w:pPr>
      <w:r>
        <w:rPr>
          <w:rFonts w:hint="eastAsia" w:hAnsi="宋体"/>
          <w:kern w:val="0"/>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F73BD30">
      <w:pPr>
        <w:adjustRightInd w:val="0"/>
        <w:snapToGrid w:val="0"/>
        <w:spacing w:line="360" w:lineRule="auto"/>
        <w:ind w:firstLine="480" w:firstLineChars="200"/>
        <w:rPr>
          <w:rFonts w:hint="eastAsia" w:hAnsi="宋体"/>
          <w:kern w:val="0"/>
          <w:sz w:val="24"/>
        </w:rPr>
      </w:pPr>
      <w:r>
        <w:rPr>
          <w:rFonts w:hint="eastAsia" w:hAnsi="宋体"/>
          <w:kern w:val="0"/>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88E4E97">
      <w:pPr>
        <w:adjustRightInd w:val="0"/>
        <w:snapToGrid w:val="0"/>
        <w:spacing w:line="360" w:lineRule="auto"/>
        <w:ind w:firstLine="480" w:firstLineChars="200"/>
        <w:rPr>
          <w:rFonts w:hint="eastAsia" w:hAnsi="宋体"/>
          <w:kern w:val="0"/>
          <w:sz w:val="24"/>
        </w:rPr>
      </w:pPr>
      <w:r>
        <w:rPr>
          <w:rFonts w:hint="eastAsia" w:hAnsi="宋体"/>
          <w:kern w:val="0"/>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6DC3B4D9">
      <w:pPr>
        <w:adjustRightInd w:val="0"/>
        <w:snapToGrid w:val="0"/>
        <w:spacing w:line="360" w:lineRule="auto"/>
        <w:ind w:firstLine="480" w:firstLineChars="200"/>
        <w:rPr>
          <w:rFonts w:hint="eastAsia" w:hAnsi="宋体"/>
          <w:kern w:val="0"/>
          <w:sz w:val="24"/>
        </w:rPr>
      </w:pPr>
      <w:r>
        <w:rPr>
          <w:rFonts w:hAnsi="宋体"/>
          <w:kern w:val="0"/>
          <w:sz w:val="24"/>
        </w:rPr>
        <w:t>5、议事内容与程序</w:t>
      </w:r>
    </w:p>
    <w:p w14:paraId="6B3D30E3">
      <w:pPr>
        <w:adjustRightInd w:val="0"/>
        <w:snapToGrid w:val="0"/>
        <w:spacing w:line="360" w:lineRule="auto"/>
        <w:ind w:firstLine="480" w:firstLineChars="200"/>
        <w:rPr>
          <w:rFonts w:hint="eastAsia" w:hAnsi="宋体"/>
          <w:kern w:val="0"/>
          <w:sz w:val="24"/>
        </w:rPr>
      </w:pPr>
      <w:r>
        <w:rPr>
          <w:rFonts w:hint="eastAsia" w:hAnsi="宋体"/>
          <w:kern w:val="0"/>
          <w:sz w:val="24"/>
        </w:rPr>
        <w:t>（1）议事内容及提案权</w:t>
      </w:r>
    </w:p>
    <w:p w14:paraId="5E932EB5">
      <w:pPr>
        <w:adjustRightInd w:val="0"/>
        <w:snapToGrid w:val="0"/>
        <w:spacing w:line="360" w:lineRule="auto"/>
        <w:ind w:firstLine="480" w:firstLineChars="200"/>
        <w:rPr>
          <w:rFonts w:hint="eastAsia" w:hAnsi="宋体"/>
          <w:kern w:val="0"/>
          <w:sz w:val="24"/>
        </w:rPr>
      </w:pPr>
      <w:r>
        <w:rPr>
          <w:rFonts w:hint="eastAsia" w:hAnsi="宋体"/>
          <w:kern w:val="0"/>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3E69B51E">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基金份额持有人大会的召集人发出召集会议的通知后，对原有提案的修改应当在基金份额持有人大会召开前及时公告。</w:t>
      </w:r>
    </w:p>
    <w:p w14:paraId="16AF823F">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基金份额持有人大会不得对未事先公告的议事内容进行表决。</w:t>
      </w:r>
    </w:p>
    <w:p w14:paraId="13E24098">
      <w:pPr>
        <w:adjustRightInd w:val="0"/>
        <w:snapToGrid w:val="0"/>
        <w:spacing w:line="360" w:lineRule="auto"/>
        <w:ind w:firstLine="480" w:firstLineChars="200"/>
        <w:rPr>
          <w:rFonts w:hint="eastAsia" w:hAnsi="宋体"/>
          <w:kern w:val="0"/>
          <w:sz w:val="24"/>
        </w:rPr>
      </w:pPr>
      <w:r>
        <w:rPr>
          <w:rFonts w:hint="eastAsia" w:hAnsi="宋体"/>
          <w:kern w:val="0"/>
          <w:sz w:val="24"/>
        </w:rPr>
        <w:t>（2）议事程序</w:t>
      </w:r>
    </w:p>
    <w:p w14:paraId="0E044D41">
      <w:pPr>
        <w:adjustRightInd w:val="0"/>
        <w:snapToGrid w:val="0"/>
        <w:spacing w:line="360" w:lineRule="auto"/>
        <w:ind w:firstLine="480" w:firstLineChars="200"/>
        <w:rPr>
          <w:rFonts w:hint="eastAsia" w:hAnsi="宋体"/>
          <w:kern w:val="0"/>
          <w:sz w:val="24"/>
        </w:rPr>
      </w:pPr>
      <w:r>
        <w:rPr>
          <w:rFonts w:hint="eastAsia" w:hAnsi="宋体"/>
          <w:kern w:val="0"/>
          <w:sz w:val="24"/>
        </w:rPr>
        <w:t>1）现场开会</w:t>
      </w:r>
    </w:p>
    <w:p w14:paraId="26BF07D8">
      <w:pPr>
        <w:adjustRightInd w:val="0"/>
        <w:snapToGrid w:val="0"/>
        <w:spacing w:line="360" w:lineRule="auto"/>
        <w:ind w:firstLine="480" w:firstLineChars="200"/>
        <w:rPr>
          <w:rFonts w:hint="eastAsia" w:hAnsi="宋体"/>
          <w:kern w:val="0"/>
          <w:sz w:val="24"/>
        </w:rPr>
      </w:pPr>
      <w:r>
        <w:rPr>
          <w:rFonts w:hint="eastAsia" w:hAnsi="宋体"/>
          <w:kern w:val="0"/>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25887AF4">
      <w:pPr>
        <w:adjustRightInd w:val="0"/>
        <w:snapToGrid w:val="0"/>
        <w:spacing w:line="360" w:lineRule="auto"/>
        <w:ind w:firstLine="480" w:firstLineChars="200"/>
        <w:rPr>
          <w:rFonts w:hint="eastAsia" w:hAnsi="宋体"/>
          <w:kern w:val="0"/>
          <w:sz w:val="24"/>
        </w:rPr>
      </w:pPr>
      <w:r>
        <w:rPr>
          <w:rFonts w:hint="eastAsia" w:hAnsi="宋体"/>
          <w:kern w:val="0"/>
          <w:sz w:val="24"/>
        </w:rPr>
        <w:t>会议召集人应当制作出席会议人员的签名册。签名册载明参加会议人员姓名（或单位名称）、身份证明文件号码、持有或代表有表决权的基金份额、委托人姓名（或单位名称）和联系方式等事项。</w:t>
      </w:r>
    </w:p>
    <w:p w14:paraId="072564C0">
      <w:pPr>
        <w:adjustRightInd w:val="0"/>
        <w:snapToGrid w:val="0"/>
        <w:spacing w:line="360" w:lineRule="auto"/>
        <w:ind w:firstLine="480" w:firstLineChars="200"/>
        <w:rPr>
          <w:rFonts w:hint="eastAsia" w:hAnsi="宋体"/>
          <w:kern w:val="0"/>
          <w:sz w:val="24"/>
        </w:rPr>
      </w:pPr>
      <w:r>
        <w:rPr>
          <w:rFonts w:hint="eastAsia" w:hAnsi="宋体"/>
          <w:kern w:val="0"/>
          <w:sz w:val="24"/>
        </w:rPr>
        <w:t>2）通讯开会</w:t>
      </w:r>
    </w:p>
    <w:p w14:paraId="39036CD3">
      <w:pPr>
        <w:adjustRightInd w:val="0"/>
        <w:snapToGrid w:val="0"/>
        <w:spacing w:line="360" w:lineRule="auto"/>
        <w:ind w:firstLine="480" w:firstLineChars="200"/>
        <w:rPr>
          <w:rFonts w:hint="eastAsia" w:hAnsi="宋体"/>
          <w:kern w:val="0"/>
          <w:sz w:val="24"/>
        </w:rPr>
      </w:pPr>
      <w:r>
        <w:rPr>
          <w:rFonts w:hint="eastAsia" w:hAnsi="宋体"/>
          <w:kern w:val="0"/>
          <w:sz w:val="24"/>
        </w:rPr>
        <w:t>在通讯开会的情况下，首先由召集人提前30日公布提案，在所通知的表决截止日期后2个工作日内在公证机关监督下由召集人统计全部有效表决，在公证机关监督下形成决议。</w:t>
      </w:r>
    </w:p>
    <w:p w14:paraId="529054B7">
      <w:pPr>
        <w:adjustRightInd w:val="0"/>
        <w:snapToGrid w:val="0"/>
        <w:spacing w:line="360" w:lineRule="auto"/>
        <w:ind w:firstLine="480" w:firstLineChars="200"/>
        <w:rPr>
          <w:rFonts w:hint="eastAsia" w:hAnsi="宋体"/>
          <w:kern w:val="0"/>
          <w:sz w:val="24"/>
        </w:rPr>
      </w:pPr>
      <w:r>
        <w:rPr>
          <w:rFonts w:hAnsi="宋体"/>
          <w:kern w:val="0"/>
          <w:sz w:val="24"/>
        </w:rPr>
        <w:t>6、表决</w:t>
      </w:r>
    </w:p>
    <w:p w14:paraId="6A383798">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基金份额持有人所持每份基金份额有一票表决权。</w:t>
      </w:r>
    </w:p>
    <w:p w14:paraId="77A9252F">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基金份额持有人大会决议分为一般决议和特别决议：</w:t>
      </w:r>
    </w:p>
    <w:p w14:paraId="5E7EE5F6">
      <w:pPr>
        <w:adjustRightInd w:val="0"/>
        <w:snapToGrid w:val="0"/>
        <w:spacing w:line="360" w:lineRule="auto"/>
        <w:ind w:firstLine="480" w:firstLineChars="200"/>
        <w:rPr>
          <w:rFonts w:hint="eastAsia" w:hAnsi="宋体"/>
          <w:kern w:val="0"/>
          <w:sz w:val="24"/>
        </w:rPr>
      </w:pPr>
      <w:r>
        <w:rPr>
          <w:rFonts w:hint="eastAsia" w:hAnsi="宋体"/>
          <w:kern w:val="0"/>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CE98EF5">
      <w:pPr>
        <w:adjustRightInd w:val="0"/>
        <w:snapToGrid w:val="0"/>
        <w:spacing w:line="360" w:lineRule="auto"/>
        <w:ind w:firstLine="480" w:firstLineChars="200"/>
        <w:rPr>
          <w:rFonts w:hint="eastAsia" w:hAnsi="宋体"/>
          <w:kern w:val="0"/>
          <w:sz w:val="24"/>
        </w:rPr>
      </w:pPr>
      <w:r>
        <w:rPr>
          <w:rFonts w:hint="eastAsia" w:hAnsi="宋体"/>
          <w:kern w:val="0"/>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0C9AF17A">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基金份额持有人大会采取记名方式进行投票表决。</w:t>
      </w:r>
    </w:p>
    <w:p w14:paraId="08901D84">
      <w:pPr>
        <w:adjustRightInd w:val="0"/>
        <w:snapToGrid w:val="0"/>
        <w:spacing w:line="360" w:lineRule="auto"/>
        <w:ind w:firstLine="480" w:firstLineChars="200"/>
        <w:rPr>
          <w:rFonts w:hint="eastAsia" w:hAnsi="宋体"/>
          <w:kern w:val="0"/>
          <w:sz w:val="24"/>
        </w:rPr>
      </w:pPr>
      <w:r>
        <w:rPr>
          <w:rFonts w:hint="eastAsia" w:hAnsi="宋体"/>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31675D">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基金份额持有人大会的各项提案或同一项提案内并列的各项议题应当分开审议、逐项表决。</w:t>
      </w:r>
    </w:p>
    <w:p w14:paraId="0546035D">
      <w:pPr>
        <w:adjustRightInd w:val="0"/>
        <w:snapToGrid w:val="0"/>
        <w:spacing w:line="360" w:lineRule="auto"/>
        <w:ind w:firstLine="480" w:firstLineChars="200"/>
        <w:rPr>
          <w:rFonts w:hint="eastAsia" w:hAnsi="宋体"/>
          <w:kern w:val="0"/>
          <w:sz w:val="24"/>
        </w:rPr>
      </w:pPr>
      <w:r>
        <w:rPr>
          <w:rFonts w:hAnsi="宋体"/>
          <w:kern w:val="0"/>
          <w:sz w:val="24"/>
        </w:rPr>
        <w:t>7、计票</w:t>
      </w:r>
    </w:p>
    <w:p w14:paraId="44910A5A">
      <w:pPr>
        <w:adjustRightInd w:val="0"/>
        <w:snapToGrid w:val="0"/>
        <w:spacing w:line="360" w:lineRule="auto"/>
        <w:ind w:firstLine="480" w:firstLineChars="200"/>
        <w:rPr>
          <w:rFonts w:hint="eastAsia" w:hAnsi="宋体"/>
          <w:kern w:val="0"/>
          <w:sz w:val="24"/>
        </w:rPr>
      </w:pPr>
      <w:r>
        <w:rPr>
          <w:rFonts w:hint="eastAsia" w:hAnsi="宋体"/>
          <w:kern w:val="0"/>
          <w:sz w:val="24"/>
        </w:rPr>
        <w:t>（1）现场开会</w:t>
      </w:r>
    </w:p>
    <w:p w14:paraId="2607B188">
      <w:pPr>
        <w:adjustRightInd w:val="0"/>
        <w:snapToGrid w:val="0"/>
        <w:spacing w:line="360" w:lineRule="auto"/>
        <w:ind w:firstLine="480" w:firstLineChars="200"/>
        <w:rPr>
          <w:rFonts w:hint="eastAsia" w:hAnsi="宋体"/>
          <w:kern w:val="0"/>
          <w:sz w:val="24"/>
        </w:rPr>
      </w:pPr>
      <w:r>
        <w:rPr>
          <w:rFonts w:hint="eastAsia" w:hAnsi="宋体"/>
          <w:kern w:val="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151A19C">
      <w:pPr>
        <w:adjustRightInd w:val="0"/>
        <w:snapToGrid w:val="0"/>
        <w:spacing w:line="360" w:lineRule="auto"/>
        <w:ind w:firstLine="480" w:firstLineChars="200"/>
        <w:rPr>
          <w:rFonts w:hint="eastAsia" w:hAnsi="宋体"/>
          <w:kern w:val="0"/>
          <w:sz w:val="24"/>
        </w:rPr>
      </w:pPr>
      <w:r>
        <w:rPr>
          <w:rFonts w:hint="eastAsia" w:hAnsi="宋体"/>
          <w:kern w:val="0"/>
          <w:sz w:val="24"/>
        </w:rPr>
        <w:t>2）监票人应当在基金份额持有人表决后立即进行清点并由大会主持人当场公布计票结果。</w:t>
      </w:r>
    </w:p>
    <w:p w14:paraId="533BFEC4">
      <w:pPr>
        <w:adjustRightInd w:val="0"/>
        <w:snapToGrid w:val="0"/>
        <w:spacing w:line="360" w:lineRule="auto"/>
        <w:ind w:firstLine="480" w:firstLineChars="200"/>
        <w:rPr>
          <w:rFonts w:hint="eastAsia" w:hAnsi="宋体"/>
          <w:kern w:val="0"/>
          <w:sz w:val="24"/>
        </w:rPr>
      </w:pPr>
      <w:r>
        <w:rPr>
          <w:rFonts w:hint="eastAsia" w:hAnsi="宋体"/>
          <w:kern w:val="0"/>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BB991AE">
      <w:pPr>
        <w:adjustRightInd w:val="0"/>
        <w:snapToGrid w:val="0"/>
        <w:spacing w:line="360" w:lineRule="auto"/>
        <w:ind w:firstLine="480" w:firstLineChars="200"/>
        <w:rPr>
          <w:rFonts w:hint="eastAsia" w:hAnsi="宋体"/>
          <w:kern w:val="0"/>
          <w:sz w:val="24"/>
        </w:rPr>
      </w:pPr>
      <w:r>
        <w:rPr>
          <w:rFonts w:hint="eastAsia" w:hAnsi="宋体"/>
          <w:kern w:val="0"/>
          <w:sz w:val="24"/>
        </w:rPr>
        <w:t>4）计票过程应由公证机关予以公证，基金管理人或基金托管人拒不出席大会的，不影响计票的效力。</w:t>
      </w:r>
    </w:p>
    <w:p w14:paraId="3DDFD316">
      <w:pPr>
        <w:adjustRightInd w:val="0"/>
        <w:snapToGrid w:val="0"/>
        <w:spacing w:line="360" w:lineRule="auto"/>
        <w:ind w:firstLine="480" w:firstLineChars="200"/>
        <w:rPr>
          <w:rFonts w:hint="eastAsia" w:hAnsi="宋体"/>
          <w:kern w:val="0"/>
          <w:sz w:val="24"/>
        </w:rPr>
      </w:pPr>
      <w:r>
        <w:rPr>
          <w:rFonts w:hint="eastAsia" w:hAnsi="宋体"/>
          <w:kern w:val="0"/>
          <w:sz w:val="24"/>
        </w:rPr>
        <w:t>（2）通讯开会</w:t>
      </w:r>
    </w:p>
    <w:p w14:paraId="2C23EF41">
      <w:pPr>
        <w:adjustRightInd w:val="0"/>
        <w:snapToGrid w:val="0"/>
        <w:spacing w:line="360" w:lineRule="auto"/>
        <w:ind w:firstLine="480" w:firstLineChars="200"/>
        <w:rPr>
          <w:rFonts w:hint="eastAsia" w:hAnsi="宋体"/>
          <w:kern w:val="0"/>
          <w:sz w:val="24"/>
        </w:rPr>
      </w:pPr>
      <w:r>
        <w:rPr>
          <w:rFonts w:hint="eastAsia" w:hAnsi="宋体"/>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A6E64B0">
      <w:pPr>
        <w:adjustRightInd w:val="0"/>
        <w:snapToGrid w:val="0"/>
        <w:spacing w:line="360" w:lineRule="auto"/>
        <w:ind w:firstLine="480" w:firstLineChars="200"/>
        <w:rPr>
          <w:rFonts w:hint="eastAsia" w:hAnsi="宋体"/>
          <w:kern w:val="0"/>
          <w:sz w:val="24"/>
        </w:rPr>
      </w:pPr>
      <w:r>
        <w:rPr>
          <w:rFonts w:hAnsi="宋体"/>
          <w:kern w:val="0"/>
          <w:sz w:val="24"/>
        </w:rPr>
        <w:t>8、生效与公告</w:t>
      </w:r>
    </w:p>
    <w:p w14:paraId="5FABB91F">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基金份额持有人大会的决议，召集人应当自通过之日起5日内报中国证监会备案。</w:t>
      </w:r>
    </w:p>
    <w:p w14:paraId="226D7351">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基金份额持有人大会的决议自表决通过之日起生效。法律法规另有规定的，从其规定。</w:t>
      </w:r>
    </w:p>
    <w:p w14:paraId="199FCA0C">
      <w:pPr>
        <w:adjustRightInd w:val="0"/>
        <w:snapToGrid w:val="0"/>
        <w:spacing w:line="360" w:lineRule="auto"/>
        <w:ind w:firstLine="480" w:firstLineChars="200"/>
        <w:rPr>
          <w:rFonts w:hint="eastAsia" w:hAnsi="宋体"/>
          <w:kern w:val="0"/>
          <w:sz w:val="24"/>
        </w:rPr>
      </w:pPr>
      <w:r>
        <w:rPr>
          <w:rFonts w:hint="eastAsia" w:hAnsi="宋体"/>
          <w:kern w:val="0"/>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48CC7237">
      <w:pPr>
        <w:adjustRightInd w:val="0"/>
        <w:snapToGrid w:val="0"/>
        <w:spacing w:line="360" w:lineRule="auto"/>
        <w:ind w:firstLine="480" w:firstLineChars="200"/>
        <w:rPr>
          <w:rFonts w:hint="eastAsia" w:hAnsi="宋体"/>
          <w:kern w:val="0"/>
          <w:sz w:val="24"/>
        </w:rPr>
      </w:pPr>
      <w:r>
        <w:rPr>
          <w:rFonts w:hint="eastAsia" w:hAnsi="宋体"/>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2CFB589E">
      <w:pPr>
        <w:adjustRightInd w:val="0"/>
        <w:snapToGrid w:val="0"/>
        <w:spacing w:line="360" w:lineRule="auto"/>
        <w:ind w:firstLine="480" w:firstLineChars="200"/>
        <w:rPr>
          <w:rFonts w:hint="eastAsia" w:hAnsi="宋体"/>
          <w:bCs/>
          <w:kern w:val="0"/>
          <w:sz w:val="24"/>
        </w:rPr>
      </w:pPr>
      <w:r>
        <w:rPr>
          <w:rFonts w:hAnsi="宋体"/>
          <w:kern w:val="0"/>
          <w:sz w:val="24"/>
        </w:rPr>
        <w:t>9</w:t>
      </w:r>
      <w:r>
        <w:rPr>
          <w:rFonts w:hint="eastAsia" w:hAnsi="宋体"/>
          <w:kern w:val="0"/>
          <w:sz w:val="24"/>
        </w:rPr>
        <w:t>、</w:t>
      </w:r>
      <w:r>
        <w:rPr>
          <w:rFonts w:hint="eastAsia" w:hAnsi="宋体"/>
          <w:bCs/>
          <w:kern w:val="0"/>
          <w:sz w:val="24"/>
        </w:rPr>
        <w:t>本基金持有的基金召开基金份额持有人大会时，本基金的基金管理人应当代表其</w:t>
      </w:r>
      <w:r>
        <w:rPr>
          <w:rFonts w:hint="eastAsia"/>
          <w:bCs/>
          <w:sz w:val="24"/>
        </w:rPr>
        <w:t>基金</w:t>
      </w:r>
      <w:r>
        <w:rPr>
          <w:rFonts w:hint="eastAsia" w:hAnsi="宋体"/>
          <w:bCs/>
          <w:kern w:val="0"/>
          <w:sz w:val="24"/>
        </w:rPr>
        <w:t>份额持有人的利益，根据本基金合同的约定参与所持有基金的</w:t>
      </w:r>
      <w:r>
        <w:rPr>
          <w:rFonts w:hint="eastAsia"/>
          <w:bCs/>
          <w:sz w:val="24"/>
        </w:rPr>
        <w:t>基金</w:t>
      </w:r>
      <w:r>
        <w:rPr>
          <w:rFonts w:hint="eastAsia" w:hAnsi="宋体"/>
          <w:bCs/>
          <w:kern w:val="0"/>
          <w:sz w:val="24"/>
        </w:rPr>
        <w:t>份额持有人大会，并在遵循本基金基金份额持有人利益优先原则的前提下行使相关投票权利。基金管理人需将表决意见事先征求基金托管人的意见，并将表决意见在定期报告中予以披露。</w:t>
      </w:r>
    </w:p>
    <w:p w14:paraId="237F280F">
      <w:pPr>
        <w:adjustRightInd w:val="0"/>
        <w:snapToGrid w:val="0"/>
        <w:spacing w:line="360" w:lineRule="auto"/>
        <w:ind w:firstLine="480" w:firstLineChars="200"/>
        <w:rPr>
          <w:rFonts w:hint="eastAsia" w:hAnsi="宋体"/>
          <w:bCs/>
          <w:kern w:val="0"/>
          <w:sz w:val="24"/>
        </w:rPr>
      </w:pPr>
      <w:r>
        <w:rPr>
          <w:rFonts w:hint="eastAsia" w:hAnsi="宋体"/>
          <w:bCs/>
          <w:kern w:val="0"/>
          <w:sz w:val="24"/>
        </w:rPr>
        <w:t>法律法规对于本基金参与本基金持有的基金召开基金份额持有人大会的程序或要求另有规定的，从其规定。</w:t>
      </w:r>
    </w:p>
    <w:p w14:paraId="56914473">
      <w:pPr>
        <w:adjustRightInd w:val="0"/>
        <w:snapToGrid w:val="0"/>
        <w:spacing w:line="360" w:lineRule="auto"/>
        <w:ind w:firstLine="480" w:firstLineChars="200"/>
        <w:rPr>
          <w:rFonts w:hint="eastAsia" w:hAnsi="宋体"/>
          <w:kern w:val="0"/>
          <w:sz w:val="24"/>
        </w:rPr>
      </w:pPr>
      <w:r>
        <w:rPr>
          <w:rFonts w:hint="eastAsia" w:hAnsi="宋体"/>
          <w:bCs/>
          <w:kern w:val="0"/>
          <w:sz w:val="24"/>
        </w:rPr>
        <w:t>1</w:t>
      </w:r>
      <w:r>
        <w:rPr>
          <w:rFonts w:hAnsi="宋体"/>
          <w:bCs/>
          <w:kern w:val="0"/>
          <w:sz w:val="24"/>
        </w:rPr>
        <w:t>0</w:t>
      </w:r>
      <w:r>
        <w:rPr>
          <w:rFonts w:hint="eastAsia" w:hAnsi="宋体"/>
          <w:bCs/>
          <w:kern w:val="0"/>
          <w:sz w:val="24"/>
        </w:rPr>
        <w:t>、</w:t>
      </w:r>
      <w:r>
        <w:rPr>
          <w:rFonts w:hint="eastAsia" w:hAnsi="宋体"/>
          <w:kern w:val="0"/>
          <w:sz w:val="24"/>
        </w:rPr>
        <w:t>实施侧袋机制期间基金份额持有人大会的特殊约定</w:t>
      </w:r>
    </w:p>
    <w:p w14:paraId="7D84A33F">
      <w:pPr>
        <w:adjustRightInd w:val="0"/>
        <w:snapToGrid w:val="0"/>
        <w:spacing w:line="360" w:lineRule="auto"/>
        <w:ind w:firstLine="480" w:firstLineChars="200"/>
        <w:rPr>
          <w:rFonts w:hint="eastAsia" w:hAnsi="宋体"/>
          <w:kern w:val="0"/>
          <w:sz w:val="24"/>
        </w:rPr>
      </w:pPr>
      <w:r>
        <w:rPr>
          <w:rFonts w:hint="eastAsia" w:hAnsi="宋体"/>
          <w:kern w:val="0"/>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E00F792">
      <w:pPr>
        <w:adjustRightInd w:val="0"/>
        <w:snapToGrid w:val="0"/>
        <w:spacing w:line="360" w:lineRule="auto"/>
        <w:ind w:firstLine="480" w:firstLineChars="200"/>
        <w:rPr>
          <w:rFonts w:hint="eastAsia" w:hAnsi="宋体"/>
          <w:kern w:val="0"/>
          <w:sz w:val="24"/>
        </w:rPr>
      </w:pPr>
      <w:r>
        <w:rPr>
          <w:rFonts w:hint="eastAsia" w:hAnsi="宋体"/>
          <w:kern w:val="0"/>
          <w:sz w:val="24"/>
        </w:rPr>
        <w:t>（1）基金份额持有人行使提议权、召集权、提名权所需单独或合计代表相关基金份额10%以上（含10%）；</w:t>
      </w:r>
    </w:p>
    <w:p w14:paraId="5BAE2A0D">
      <w:pPr>
        <w:adjustRightInd w:val="0"/>
        <w:snapToGrid w:val="0"/>
        <w:spacing w:line="360" w:lineRule="auto"/>
        <w:ind w:firstLine="480" w:firstLineChars="200"/>
        <w:rPr>
          <w:rFonts w:hint="eastAsia" w:hAnsi="宋体"/>
          <w:kern w:val="0"/>
          <w:sz w:val="24"/>
        </w:rPr>
      </w:pPr>
      <w:r>
        <w:rPr>
          <w:rFonts w:hint="eastAsia" w:hAnsi="宋体"/>
          <w:kern w:val="0"/>
          <w:sz w:val="24"/>
        </w:rPr>
        <w:t>（2）现场开会的到会者在权益登记日代表的基金份额不少于本基金在权益登记日相关基金份额的二分之一（含二分之一）；</w:t>
      </w:r>
    </w:p>
    <w:p w14:paraId="1EEE35A2">
      <w:pPr>
        <w:adjustRightInd w:val="0"/>
        <w:snapToGrid w:val="0"/>
        <w:spacing w:line="360" w:lineRule="auto"/>
        <w:ind w:firstLine="480" w:firstLineChars="200"/>
        <w:rPr>
          <w:rFonts w:hint="eastAsia" w:hAnsi="宋体"/>
          <w:kern w:val="0"/>
          <w:sz w:val="24"/>
        </w:rPr>
      </w:pPr>
      <w:r>
        <w:rPr>
          <w:rFonts w:hint="eastAsia" w:hAnsi="宋体"/>
          <w:kern w:val="0"/>
          <w:sz w:val="24"/>
        </w:rPr>
        <w:t>（3）通讯开会的直接出具表决意见或授权他人代表出具表决意见的基金份额持有人所持有的基金份额不小于在权益登记日相关基金份额的二分之一（含二分之一）；</w:t>
      </w:r>
    </w:p>
    <w:p w14:paraId="7B39C5C5">
      <w:pPr>
        <w:adjustRightInd w:val="0"/>
        <w:snapToGrid w:val="0"/>
        <w:spacing w:line="360" w:lineRule="auto"/>
        <w:ind w:firstLine="480" w:firstLineChars="200"/>
        <w:rPr>
          <w:rFonts w:hint="eastAsia" w:hAnsi="宋体"/>
          <w:kern w:val="0"/>
          <w:sz w:val="24"/>
        </w:rPr>
      </w:pPr>
      <w:r>
        <w:rPr>
          <w:rFonts w:hint="eastAsia" w:hAnsi="宋体"/>
          <w:kern w:val="0"/>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8E563E8">
      <w:pPr>
        <w:adjustRightInd w:val="0"/>
        <w:snapToGrid w:val="0"/>
        <w:spacing w:line="360" w:lineRule="auto"/>
        <w:ind w:firstLine="480" w:firstLineChars="200"/>
        <w:rPr>
          <w:rFonts w:hint="eastAsia" w:hAnsi="宋体"/>
          <w:kern w:val="0"/>
          <w:sz w:val="24"/>
        </w:rPr>
      </w:pPr>
      <w:r>
        <w:rPr>
          <w:rFonts w:hint="eastAsia" w:hAnsi="宋体"/>
          <w:kern w:val="0"/>
          <w:sz w:val="24"/>
        </w:rPr>
        <w:t>（5）现场开会由出席大会的基金份额持有人和代理人所持表决权的50%以上（含50%）选举产生一名基金份额持有人或代理人作为该次基金份额持有人大会的主持人；</w:t>
      </w:r>
    </w:p>
    <w:p w14:paraId="065BA749">
      <w:pPr>
        <w:adjustRightInd w:val="0"/>
        <w:snapToGrid w:val="0"/>
        <w:spacing w:line="360" w:lineRule="auto"/>
        <w:ind w:firstLine="480" w:firstLineChars="200"/>
        <w:rPr>
          <w:rFonts w:hint="eastAsia" w:hAnsi="宋体"/>
          <w:kern w:val="0"/>
          <w:sz w:val="24"/>
        </w:rPr>
      </w:pPr>
      <w:r>
        <w:rPr>
          <w:rFonts w:hint="eastAsia" w:hAnsi="宋体"/>
          <w:kern w:val="0"/>
          <w:sz w:val="24"/>
        </w:rPr>
        <w:t>（6）一般决议须经参加大会的基金份额持有人或其代理人所持表决权的二分之一以上（含二分之一）通过；</w:t>
      </w:r>
    </w:p>
    <w:p w14:paraId="7619A7C8">
      <w:pPr>
        <w:adjustRightInd w:val="0"/>
        <w:snapToGrid w:val="0"/>
        <w:spacing w:line="360" w:lineRule="auto"/>
        <w:ind w:firstLine="480" w:firstLineChars="200"/>
        <w:rPr>
          <w:rFonts w:hint="eastAsia" w:hAnsi="宋体"/>
          <w:kern w:val="0"/>
          <w:sz w:val="24"/>
        </w:rPr>
      </w:pPr>
      <w:r>
        <w:rPr>
          <w:rFonts w:hint="eastAsia" w:hAnsi="宋体"/>
          <w:kern w:val="0"/>
          <w:sz w:val="24"/>
        </w:rPr>
        <w:t>（7）特别决议应当经参加大会的基金份额持有人或其代理人所持表决权的三分之二以上（含三分之二）通过。</w:t>
      </w:r>
    </w:p>
    <w:p w14:paraId="448AFFE2">
      <w:pPr>
        <w:adjustRightInd w:val="0"/>
        <w:snapToGrid w:val="0"/>
        <w:spacing w:line="360" w:lineRule="auto"/>
        <w:ind w:firstLine="480" w:firstLineChars="200"/>
        <w:rPr>
          <w:rFonts w:hint="eastAsia" w:hAnsi="宋体"/>
          <w:kern w:val="0"/>
          <w:sz w:val="24"/>
        </w:rPr>
      </w:pPr>
      <w:r>
        <w:rPr>
          <w:rFonts w:hint="eastAsia" w:hAnsi="宋体"/>
          <w:kern w:val="0"/>
          <w:sz w:val="24"/>
        </w:rPr>
        <w:t>同一主侧袋账户内的每份基金份额具有平等的表决权。</w:t>
      </w:r>
    </w:p>
    <w:p w14:paraId="34302943">
      <w:pPr>
        <w:adjustRightInd w:val="0"/>
        <w:snapToGrid w:val="0"/>
        <w:spacing w:line="360" w:lineRule="auto"/>
        <w:ind w:firstLine="480" w:firstLineChars="200"/>
        <w:rPr>
          <w:rFonts w:hint="eastAsia" w:hAnsi="宋体"/>
          <w:bCs/>
          <w:kern w:val="0"/>
          <w:sz w:val="24"/>
        </w:rPr>
      </w:pPr>
      <w:r>
        <w:rPr>
          <w:rFonts w:hAnsi="宋体"/>
          <w:kern w:val="0"/>
          <w:sz w:val="24"/>
        </w:rPr>
        <w:t>11</w:t>
      </w:r>
      <w:r>
        <w:rPr>
          <w:rFonts w:hint="eastAsia" w:hAnsi="宋体"/>
          <w:kern w:val="0"/>
          <w:sz w:val="24"/>
        </w:rPr>
        <w:t>、</w:t>
      </w:r>
      <w:r>
        <w:rPr>
          <w:rFonts w:hint="eastAsia" w:hAnsi="宋体"/>
          <w:bCs/>
          <w:kern w:val="0"/>
          <w:sz w:val="24"/>
        </w:rPr>
        <w:t>本部分对基金份额持有人大会召开事由、召开条件、议事程序、表决条件等规定，凡是直接引用法律法规</w:t>
      </w:r>
      <w:r>
        <w:rPr>
          <w:rFonts w:hint="eastAsia"/>
          <w:bCs/>
          <w:sz w:val="24"/>
        </w:rPr>
        <w:t>或监管规则</w:t>
      </w:r>
      <w:r>
        <w:rPr>
          <w:rFonts w:hint="eastAsia" w:hAnsi="宋体"/>
          <w:bCs/>
          <w:kern w:val="0"/>
          <w:sz w:val="24"/>
        </w:rPr>
        <w:t>的部分，如将来法律法规</w:t>
      </w:r>
      <w:r>
        <w:rPr>
          <w:rFonts w:hint="eastAsia"/>
          <w:bCs/>
          <w:sz w:val="24"/>
        </w:rPr>
        <w:t>或监管规则</w:t>
      </w:r>
      <w:r>
        <w:rPr>
          <w:rFonts w:hint="eastAsia" w:hAnsi="宋体"/>
          <w:bCs/>
          <w:kern w:val="0"/>
          <w:sz w:val="24"/>
        </w:rPr>
        <w:t>修改导致相关内容被取消或变更的，基金管理人经与基金托管人协商一致并提前公告后，可直接对本部分内容进行修改和调整，无需召开基金份额持有人大会审议。</w:t>
      </w:r>
    </w:p>
    <w:p w14:paraId="55C2CB63">
      <w:pPr>
        <w:adjustRightInd w:val="0"/>
        <w:snapToGrid w:val="0"/>
        <w:spacing w:line="360" w:lineRule="auto"/>
        <w:ind w:firstLine="482" w:firstLineChars="200"/>
        <w:rPr>
          <w:rFonts w:hint="eastAsia" w:hAnsi="宋体"/>
          <w:b/>
          <w:kern w:val="0"/>
          <w:sz w:val="24"/>
        </w:rPr>
      </w:pPr>
      <w:r>
        <w:rPr>
          <w:rFonts w:hAnsi="宋体"/>
          <w:b/>
          <w:kern w:val="0"/>
          <w:sz w:val="24"/>
        </w:rPr>
        <w:t>（三）基金合同</w:t>
      </w:r>
      <w:r>
        <w:rPr>
          <w:rFonts w:hint="eastAsia" w:hAnsi="宋体"/>
          <w:b/>
          <w:kern w:val="0"/>
          <w:sz w:val="24"/>
        </w:rPr>
        <w:t>解除和</w:t>
      </w:r>
      <w:r>
        <w:rPr>
          <w:rFonts w:hAnsi="宋体"/>
          <w:b/>
          <w:kern w:val="0"/>
          <w:sz w:val="24"/>
        </w:rPr>
        <w:t>终止</w:t>
      </w:r>
      <w:r>
        <w:rPr>
          <w:rFonts w:hint="eastAsia" w:hAnsi="宋体"/>
          <w:b/>
          <w:kern w:val="0"/>
          <w:sz w:val="24"/>
        </w:rPr>
        <w:t>的事由、程序</w:t>
      </w:r>
    </w:p>
    <w:p w14:paraId="4641BE7E">
      <w:pPr>
        <w:adjustRightInd w:val="0"/>
        <w:snapToGrid w:val="0"/>
        <w:spacing w:line="360" w:lineRule="auto"/>
        <w:ind w:firstLine="480" w:firstLineChars="200"/>
        <w:rPr>
          <w:rFonts w:hint="eastAsia" w:hAnsi="宋体"/>
          <w:kern w:val="0"/>
          <w:sz w:val="24"/>
        </w:rPr>
      </w:pPr>
      <w:r>
        <w:rPr>
          <w:rFonts w:hAnsi="宋体"/>
          <w:kern w:val="0"/>
          <w:sz w:val="24"/>
        </w:rPr>
        <w:t>1、《基金合同》的变更</w:t>
      </w:r>
    </w:p>
    <w:p w14:paraId="4F9AEB67">
      <w:pPr>
        <w:adjustRightInd w:val="0"/>
        <w:snapToGrid w:val="0"/>
        <w:spacing w:line="360" w:lineRule="auto"/>
        <w:ind w:firstLine="480" w:firstLineChars="200"/>
        <w:rPr>
          <w:rFonts w:hint="eastAsia" w:hAnsi="宋体"/>
          <w:kern w:val="0"/>
          <w:sz w:val="24"/>
        </w:rPr>
      </w:pPr>
      <w:r>
        <w:rPr>
          <w:rFonts w:hint="eastAsia" w:hAnsi="宋体"/>
          <w:kern w:val="0"/>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36C77966">
      <w:pPr>
        <w:adjustRightInd w:val="0"/>
        <w:snapToGrid w:val="0"/>
        <w:spacing w:line="360" w:lineRule="auto"/>
        <w:ind w:firstLine="480" w:firstLineChars="200"/>
        <w:rPr>
          <w:rFonts w:hint="eastAsia" w:hAnsi="宋体"/>
          <w:kern w:val="0"/>
          <w:sz w:val="24"/>
        </w:rPr>
      </w:pPr>
      <w:r>
        <w:rPr>
          <w:rFonts w:hint="eastAsia" w:hAnsi="宋体"/>
          <w:kern w:val="0"/>
          <w:sz w:val="24"/>
        </w:rPr>
        <w:t>（2）关于《基金合同》变更的基金份额持有人大会决议自生效后方可执行，自决议生效后依照《信息披露办法》的规定在规定媒介公告。</w:t>
      </w:r>
    </w:p>
    <w:p w14:paraId="1EA83318">
      <w:pPr>
        <w:adjustRightInd w:val="0"/>
        <w:snapToGrid w:val="0"/>
        <w:spacing w:line="360" w:lineRule="auto"/>
        <w:ind w:firstLine="480" w:firstLineChars="200"/>
        <w:rPr>
          <w:rFonts w:hint="eastAsia" w:hAnsi="宋体"/>
          <w:kern w:val="0"/>
          <w:sz w:val="24"/>
        </w:rPr>
      </w:pPr>
      <w:r>
        <w:rPr>
          <w:rFonts w:hAnsi="宋体"/>
          <w:kern w:val="0"/>
          <w:sz w:val="24"/>
        </w:rPr>
        <w:t>2、《基金合同》的终止事由</w:t>
      </w:r>
    </w:p>
    <w:p w14:paraId="42268256">
      <w:pPr>
        <w:adjustRightInd w:val="0"/>
        <w:snapToGrid w:val="0"/>
        <w:spacing w:line="360" w:lineRule="auto"/>
        <w:ind w:firstLine="480" w:firstLineChars="200"/>
        <w:rPr>
          <w:rFonts w:hint="eastAsia" w:hAnsi="宋体"/>
          <w:kern w:val="0"/>
          <w:sz w:val="24"/>
        </w:rPr>
      </w:pPr>
      <w:r>
        <w:rPr>
          <w:rFonts w:hint="eastAsia" w:hAnsi="宋体"/>
          <w:kern w:val="0"/>
          <w:sz w:val="24"/>
        </w:rPr>
        <w:t>有下列情形之一的，经履行相关程序后，《基金合同》应当终止：</w:t>
      </w:r>
    </w:p>
    <w:p w14:paraId="229938ED">
      <w:pPr>
        <w:adjustRightInd w:val="0"/>
        <w:snapToGrid w:val="0"/>
        <w:spacing w:line="360" w:lineRule="auto"/>
        <w:ind w:firstLine="480" w:firstLineChars="200"/>
        <w:rPr>
          <w:rFonts w:hint="eastAsia" w:hAnsi="宋体"/>
          <w:kern w:val="0"/>
          <w:sz w:val="24"/>
        </w:rPr>
      </w:pPr>
      <w:r>
        <w:rPr>
          <w:rFonts w:hint="eastAsia" w:hAnsi="宋体"/>
          <w:kern w:val="0"/>
          <w:sz w:val="24"/>
        </w:rPr>
        <w:t>（</w:t>
      </w:r>
      <w:r>
        <w:rPr>
          <w:rFonts w:hAnsi="宋体"/>
          <w:kern w:val="0"/>
          <w:sz w:val="24"/>
        </w:rPr>
        <w:t>1</w:t>
      </w:r>
      <w:r>
        <w:rPr>
          <w:rFonts w:hint="eastAsia" w:hAnsi="宋体"/>
          <w:kern w:val="0"/>
          <w:sz w:val="24"/>
        </w:rPr>
        <w:t>）基金份额持有人大会决定终止的；</w:t>
      </w:r>
    </w:p>
    <w:p w14:paraId="5B853A16">
      <w:pPr>
        <w:adjustRightInd w:val="0"/>
        <w:snapToGrid w:val="0"/>
        <w:spacing w:line="360" w:lineRule="auto"/>
        <w:ind w:firstLine="480" w:firstLineChars="200"/>
        <w:rPr>
          <w:rFonts w:hint="eastAsia" w:hAnsi="宋体"/>
          <w:kern w:val="0"/>
          <w:sz w:val="24"/>
        </w:rPr>
      </w:pPr>
      <w:r>
        <w:rPr>
          <w:rFonts w:hint="eastAsia" w:hAnsi="宋体"/>
          <w:kern w:val="0"/>
          <w:sz w:val="24"/>
        </w:rPr>
        <w:t>（</w:t>
      </w:r>
      <w:r>
        <w:rPr>
          <w:rFonts w:hAnsi="宋体"/>
          <w:kern w:val="0"/>
          <w:sz w:val="24"/>
        </w:rPr>
        <w:t>2</w:t>
      </w:r>
      <w:r>
        <w:rPr>
          <w:rFonts w:hint="eastAsia" w:hAnsi="宋体"/>
          <w:kern w:val="0"/>
          <w:sz w:val="24"/>
        </w:rPr>
        <w:t>）基金管理人、基金托管人职责终止，在</w:t>
      </w:r>
      <w:r>
        <w:rPr>
          <w:rFonts w:hAnsi="宋体"/>
          <w:kern w:val="0"/>
          <w:sz w:val="24"/>
        </w:rPr>
        <w:t>6</w:t>
      </w:r>
      <w:r>
        <w:rPr>
          <w:rFonts w:hint="eastAsia" w:hAnsi="宋体"/>
          <w:kern w:val="0"/>
          <w:sz w:val="24"/>
        </w:rPr>
        <w:t>个月内没有新基金管理人、新基金托管人承接的；</w:t>
      </w:r>
    </w:p>
    <w:p w14:paraId="1B027667">
      <w:pPr>
        <w:adjustRightInd w:val="0"/>
        <w:snapToGrid w:val="0"/>
        <w:spacing w:line="360" w:lineRule="auto"/>
        <w:ind w:firstLine="480" w:firstLineChars="200"/>
        <w:rPr>
          <w:rFonts w:hint="eastAsia" w:hAnsi="宋体"/>
          <w:kern w:val="0"/>
          <w:sz w:val="24"/>
        </w:rPr>
      </w:pPr>
      <w:r>
        <w:rPr>
          <w:rFonts w:hint="eastAsia" w:hAnsi="宋体"/>
          <w:kern w:val="0"/>
          <w:sz w:val="24"/>
        </w:rPr>
        <w:t>（</w:t>
      </w:r>
      <w:r>
        <w:rPr>
          <w:rFonts w:hAnsi="宋体"/>
          <w:kern w:val="0"/>
          <w:sz w:val="24"/>
        </w:rPr>
        <w:t>3</w:t>
      </w:r>
      <w:r>
        <w:rPr>
          <w:rFonts w:hint="eastAsia" w:hAnsi="宋体"/>
          <w:kern w:val="0"/>
          <w:sz w:val="24"/>
        </w:rPr>
        <w:t>）《基金合同》约定的其他情形；</w:t>
      </w:r>
    </w:p>
    <w:p w14:paraId="1BA16047">
      <w:pPr>
        <w:adjustRightInd w:val="0"/>
        <w:snapToGrid w:val="0"/>
        <w:spacing w:line="360" w:lineRule="auto"/>
        <w:ind w:firstLine="480" w:firstLineChars="200"/>
        <w:rPr>
          <w:rFonts w:hint="eastAsia" w:hAnsi="宋体"/>
          <w:kern w:val="0"/>
          <w:sz w:val="24"/>
        </w:rPr>
      </w:pPr>
      <w:r>
        <w:rPr>
          <w:rFonts w:hint="eastAsia" w:hAnsi="宋体"/>
          <w:kern w:val="0"/>
          <w:sz w:val="24"/>
        </w:rPr>
        <w:t>（4</w:t>
      </w:r>
      <w:r>
        <w:rPr>
          <w:rFonts w:hAnsi="宋体"/>
          <w:kern w:val="0"/>
          <w:sz w:val="24"/>
        </w:rPr>
        <w:t>）</w:t>
      </w:r>
      <w:r>
        <w:rPr>
          <w:rFonts w:hint="eastAsia" w:hAnsi="宋体"/>
          <w:kern w:val="0"/>
          <w:sz w:val="24"/>
        </w:rPr>
        <w:t>相关法律法规和中国证监会规定的其他情况。</w:t>
      </w:r>
    </w:p>
    <w:p w14:paraId="3E415BAB">
      <w:pPr>
        <w:adjustRightInd w:val="0"/>
        <w:snapToGrid w:val="0"/>
        <w:spacing w:line="360" w:lineRule="auto"/>
        <w:ind w:firstLine="480" w:firstLineChars="200"/>
        <w:rPr>
          <w:rFonts w:hint="eastAsia" w:hAnsi="宋体"/>
          <w:kern w:val="0"/>
          <w:sz w:val="24"/>
        </w:rPr>
      </w:pPr>
      <w:r>
        <w:rPr>
          <w:rFonts w:hint="eastAsia" w:hAnsi="宋体"/>
          <w:kern w:val="0"/>
          <w:sz w:val="24"/>
        </w:rPr>
        <w:t>3</w:t>
      </w:r>
      <w:r>
        <w:rPr>
          <w:rFonts w:hAnsi="宋体"/>
          <w:kern w:val="0"/>
          <w:sz w:val="24"/>
        </w:rPr>
        <w:t>、基金财产的清算</w:t>
      </w:r>
    </w:p>
    <w:p w14:paraId="1174EA18">
      <w:pPr>
        <w:adjustRightInd w:val="0"/>
        <w:snapToGrid w:val="0"/>
        <w:spacing w:line="360" w:lineRule="auto"/>
        <w:ind w:firstLine="480" w:firstLineChars="200"/>
        <w:rPr>
          <w:rFonts w:hint="eastAsia"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14:paraId="323556A9">
      <w:pPr>
        <w:adjustRightInd w:val="0"/>
        <w:snapToGrid w:val="0"/>
        <w:spacing w:line="360" w:lineRule="auto"/>
        <w:ind w:firstLine="480" w:firstLineChars="200"/>
        <w:rPr>
          <w:rFonts w:hint="eastAsia" w:hAnsi="宋体"/>
          <w:kern w:val="0"/>
          <w:sz w:val="24"/>
        </w:rPr>
      </w:pPr>
      <w:r>
        <w:rPr>
          <w:rFonts w:hint="eastAsia" w:hAnsi="宋体"/>
          <w:kern w:val="0"/>
          <w:sz w:val="24"/>
        </w:rPr>
        <w:t>（2）基金财产清算小组组成：基金财产清算小组成员由基金管理人、基金托管人、</w:t>
      </w:r>
      <w:r>
        <w:rPr>
          <w:bCs/>
          <w:sz w:val="24"/>
        </w:rPr>
        <w:t>符合《中华人民共和国证券法》规定</w:t>
      </w:r>
      <w:r>
        <w:rPr>
          <w:rFonts w:hint="eastAsia" w:hAnsi="宋体"/>
          <w:kern w:val="0"/>
          <w:sz w:val="24"/>
        </w:rPr>
        <w:t>的注册会计师、律师以及中国证监会指定的人员组成。基金财产清算小组可以聘用必要的工作人员。</w:t>
      </w:r>
    </w:p>
    <w:p w14:paraId="60DE4D50">
      <w:pPr>
        <w:adjustRightInd w:val="0"/>
        <w:snapToGrid w:val="0"/>
        <w:spacing w:line="360" w:lineRule="auto"/>
        <w:ind w:firstLine="480" w:firstLineChars="200"/>
        <w:rPr>
          <w:rFonts w:hint="eastAsia"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14:paraId="74A5057F">
      <w:pPr>
        <w:adjustRightInd w:val="0"/>
        <w:snapToGrid w:val="0"/>
        <w:spacing w:line="360" w:lineRule="auto"/>
        <w:ind w:firstLine="480" w:firstLineChars="200"/>
        <w:rPr>
          <w:rFonts w:hint="eastAsia" w:hAnsi="宋体"/>
          <w:kern w:val="0"/>
          <w:sz w:val="24"/>
        </w:rPr>
      </w:pPr>
      <w:r>
        <w:rPr>
          <w:rFonts w:hint="eastAsia" w:hAnsi="宋体"/>
          <w:kern w:val="0"/>
          <w:sz w:val="24"/>
        </w:rPr>
        <w:t>（4）基金财产清算程序：</w:t>
      </w:r>
    </w:p>
    <w:p w14:paraId="02389024">
      <w:pPr>
        <w:adjustRightInd w:val="0"/>
        <w:snapToGrid w:val="0"/>
        <w:spacing w:line="360" w:lineRule="auto"/>
        <w:ind w:firstLine="480" w:firstLineChars="200"/>
        <w:rPr>
          <w:rFonts w:hint="eastAsia" w:hAnsi="宋体"/>
          <w:kern w:val="0"/>
          <w:sz w:val="24"/>
        </w:rPr>
      </w:pPr>
      <w:r>
        <w:rPr>
          <w:rFonts w:hint="eastAsia" w:hAnsi="宋体"/>
          <w:kern w:val="0"/>
          <w:sz w:val="24"/>
        </w:rPr>
        <w:t>1）《基金合同》终止情形出现时，由基金财产清算小组统一接管基金</w:t>
      </w:r>
      <w:r>
        <w:rPr>
          <w:rFonts w:hint="eastAsia"/>
          <w:bCs/>
          <w:sz w:val="24"/>
        </w:rPr>
        <w:t>财产</w:t>
      </w:r>
      <w:r>
        <w:rPr>
          <w:rFonts w:hint="eastAsia" w:hAnsi="宋体"/>
          <w:kern w:val="0"/>
          <w:sz w:val="24"/>
        </w:rPr>
        <w:t>；</w:t>
      </w:r>
    </w:p>
    <w:p w14:paraId="7486F18A">
      <w:pPr>
        <w:adjustRightInd w:val="0"/>
        <w:snapToGrid w:val="0"/>
        <w:spacing w:line="360" w:lineRule="auto"/>
        <w:ind w:firstLine="480" w:firstLineChars="200"/>
        <w:rPr>
          <w:rFonts w:hint="eastAsia" w:hAnsi="宋体"/>
          <w:kern w:val="0"/>
          <w:sz w:val="24"/>
        </w:rPr>
      </w:pPr>
      <w:r>
        <w:rPr>
          <w:rFonts w:hint="eastAsia" w:hAnsi="宋体"/>
          <w:kern w:val="0"/>
          <w:sz w:val="24"/>
        </w:rPr>
        <w:t>2）对基金财产和债权债务进行清理和确认；</w:t>
      </w:r>
    </w:p>
    <w:p w14:paraId="35330C39">
      <w:pPr>
        <w:adjustRightInd w:val="0"/>
        <w:snapToGrid w:val="0"/>
        <w:spacing w:line="360" w:lineRule="auto"/>
        <w:ind w:firstLine="480" w:firstLineChars="200"/>
        <w:rPr>
          <w:rFonts w:hint="eastAsia" w:hAnsi="宋体"/>
          <w:kern w:val="0"/>
          <w:sz w:val="24"/>
        </w:rPr>
      </w:pPr>
      <w:r>
        <w:rPr>
          <w:rFonts w:hint="eastAsia" w:hAnsi="宋体"/>
          <w:kern w:val="0"/>
          <w:sz w:val="24"/>
        </w:rPr>
        <w:t>3）对基金财产进行估值和变现；</w:t>
      </w:r>
    </w:p>
    <w:p w14:paraId="2F3B11D4">
      <w:pPr>
        <w:adjustRightInd w:val="0"/>
        <w:snapToGrid w:val="0"/>
        <w:spacing w:line="360" w:lineRule="auto"/>
        <w:ind w:firstLine="480" w:firstLineChars="200"/>
        <w:rPr>
          <w:rFonts w:hint="eastAsia" w:hAnsi="宋体"/>
          <w:kern w:val="0"/>
          <w:sz w:val="24"/>
        </w:rPr>
      </w:pPr>
      <w:r>
        <w:rPr>
          <w:rFonts w:hint="eastAsia" w:hAnsi="宋体"/>
          <w:kern w:val="0"/>
          <w:sz w:val="24"/>
        </w:rPr>
        <w:t>4）制作清算报告；</w:t>
      </w:r>
    </w:p>
    <w:p w14:paraId="3FFE1038">
      <w:pPr>
        <w:adjustRightInd w:val="0"/>
        <w:snapToGrid w:val="0"/>
        <w:spacing w:line="360" w:lineRule="auto"/>
        <w:ind w:firstLine="480" w:firstLineChars="200"/>
        <w:rPr>
          <w:rFonts w:hint="eastAsia" w:hAnsi="宋体"/>
          <w:kern w:val="0"/>
          <w:sz w:val="24"/>
        </w:rPr>
      </w:pPr>
      <w:r>
        <w:rPr>
          <w:rFonts w:hint="eastAsia" w:hAnsi="宋体"/>
          <w:kern w:val="0"/>
          <w:sz w:val="24"/>
        </w:rPr>
        <w:t>5）聘请会计师事务所对清算报告进行外部审计，聘请律师事务所对清算报告出具法律意见书；</w:t>
      </w:r>
    </w:p>
    <w:p w14:paraId="7CB85652">
      <w:pPr>
        <w:adjustRightInd w:val="0"/>
        <w:snapToGrid w:val="0"/>
        <w:spacing w:line="360" w:lineRule="auto"/>
        <w:ind w:firstLine="480" w:firstLineChars="200"/>
        <w:rPr>
          <w:rFonts w:hint="eastAsia" w:hAnsi="宋体"/>
          <w:kern w:val="0"/>
          <w:sz w:val="24"/>
        </w:rPr>
      </w:pPr>
      <w:r>
        <w:rPr>
          <w:rFonts w:hint="eastAsia" w:hAnsi="宋体"/>
          <w:kern w:val="0"/>
          <w:sz w:val="24"/>
        </w:rPr>
        <w:t>6）将清算报告报中国证监会备案并公告；</w:t>
      </w:r>
    </w:p>
    <w:p w14:paraId="1962F516">
      <w:pPr>
        <w:adjustRightInd w:val="0"/>
        <w:snapToGrid w:val="0"/>
        <w:spacing w:line="360" w:lineRule="auto"/>
        <w:ind w:firstLine="480" w:firstLineChars="200"/>
        <w:rPr>
          <w:rFonts w:hint="eastAsia" w:hAnsi="宋体"/>
          <w:kern w:val="0"/>
          <w:sz w:val="24"/>
        </w:rPr>
      </w:pPr>
      <w:r>
        <w:rPr>
          <w:rFonts w:hint="eastAsia" w:hAnsi="宋体"/>
          <w:kern w:val="0"/>
          <w:sz w:val="24"/>
        </w:rPr>
        <w:t>7）对基金剩余财产进行分配。</w:t>
      </w:r>
    </w:p>
    <w:p w14:paraId="08F02005">
      <w:pPr>
        <w:adjustRightInd w:val="0"/>
        <w:snapToGrid w:val="0"/>
        <w:spacing w:line="360" w:lineRule="auto"/>
        <w:ind w:firstLine="480" w:firstLineChars="200"/>
        <w:rPr>
          <w:rFonts w:hint="eastAsia" w:hAnsi="宋体"/>
          <w:kern w:val="0"/>
          <w:sz w:val="24"/>
        </w:rPr>
      </w:pPr>
      <w:r>
        <w:rPr>
          <w:rFonts w:hint="eastAsia" w:hAnsi="宋体"/>
          <w:kern w:val="0"/>
          <w:sz w:val="24"/>
        </w:rPr>
        <w:t>（5）基金财产清算的期限为6个月，但因本基金所持证券的流动性受到限制而不能及时变现的，清算期限相应顺延。</w:t>
      </w:r>
    </w:p>
    <w:p w14:paraId="1C0D2E5E">
      <w:pPr>
        <w:adjustRightInd w:val="0"/>
        <w:snapToGrid w:val="0"/>
        <w:spacing w:line="360" w:lineRule="auto"/>
        <w:ind w:firstLine="480" w:firstLineChars="200"/>
        <w:rPr>
          <w:rFonts w:hint="eastAsia" w:hAnsi="宋体"/>
          <w:kern w:val="0"/>
          <w:sz w:val="24"/>
        </w:rPr>
      </w:pPr>
      <w:r>
        <w:rPr>
          <w:rFonts w:hint="eastAsia" w:hAnsi="宋体"/>
          <w:kern w:val="0"/>
          <w:sz w:val="24"/>
        </w:rPr>
        <w:t>4</w:t>
      </w:r>
      <w:r>
        <w:rPr>
          <w:rFonts w:hAnsi="宋体"/>
          <w:kern w:val="0"/>
          <w:sz w:val="24"/>
        </w:rPr>
        <w:t>、清算费用</w:t>
      </w:r>
    </w:p>
    <w:p w14:paraId="206238D0">
      <w:pPr>
        <w:adjustRightInd w:val="0"/>
        <w:snapToGrid w:val="0"/>
        <w:spacing w:line="360" w:lineRule="auto"/>
        <w:ind w:firstLine="480" w:firstLineChars="200"/>
        <w:rPr>
          <w:rFonts w:hint="eastAsia" w:hAnsi="宋体"/>
          <w:kern w:val="0"/>
          <w:sz w:val="24"/>
        </w:rPr>
      </w:pPr>
      <w:r>
        <w:rPr>
          <w:rFonts w:hint="eastAsia" w:hAnsi="宋体"/>
          <w:kern w:val="0"/>
          <w:sz w:val="24"/>
        </w:rPr>
        <w:t>清算费用是指基金财产清算小组在进行基金</w:t>
      </w:r>
      <w:r>
        <w:rPr>
          <w:rFonts w:hint="eastAsia"/>
          <w:bCs/>
          <w:sz w:val="24"/>
        </w:rPr>
        <w:t>财产</w:t>
      </w:r>
      <w:r>
        <w:rPr>
          <w:rFonts w:hint="eastAsia" w:hAnsi="宋体"/>
          <w:kern w:val="0"/>
          <w:sz w:val="24"/>
        </w:rPr>
        <w:t>清算过程中发生的所有合理费用，清算费用由基金财产清算小组优先从基金财产中支付。</w:t>
      </w:r>
    </w:p>
    <w:p w14:paraId="001C543F">
      <w:pPr>
        <w:adjustRightInd w:val="0"/>
        <w:snapToGrid w:val="0"/>
        <w:spacing w:line="360" w:lineRule="auto"/>
        <w:ind w:firstLine="480" w:firstLineChars="200"/>
        <w:rPr>
          <w:rFonts w:hint="eastAsia" w:hAnsi="宋体"/>
          <w:kern w:val="0"/>
          <w:sz w:val="24"/>
        </w:rPr>
      </w:pPr>
      <w:r>
        <w:rPr>
          <w:rFonts w:hint="eastAsia" w:hAnsi="宋体"/>
          <w:kern w:val="0"/>
          <w:sz w:val="24"/>
        </w:rPr>
        <w:t>5</w:t>
      </w:r>
      <w:r>
        <w:rPr>
          <w:rFonts w:hAnsi="宋体"/>
          <w:kern w:val="0"/>
          <w:sz w:val="24"/>
        </w:rPr>
        <w:t>、基金财产清算剩余资产的分配</w:t>
      </w:r>
    </w:p>
    <w:p w14:paraId="6DBEC329">
      <w:pPr>
        <w:adjustRightInd w:val="0"/>
        <w:snapToGrid w:val="0"/>
        <w:spacing w:line="360" w:lineRule="auto"/>
        <w:ind w:firstLine="480" w:firstLineChars="200"/>
        <w:rPr>
          <w:rFonts w:hint="eastAsia"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14:paraId="01CEB6A7">
      <w:pPr>
        <w:adjustRightInd w:val="0"/>
        <w:snapToGrid w:val="0"/>
        <w:spacing w:line="360" w:lineRule="auto"/>
        <w:ind w:firstLine="480" w:firstLineChars="200"/>
        <w:rPr>
          <w:rFonts w:hint="eastAsia" w:hAnsi="宋体"/>
          <w:kern w:val="0"/>
          <w:sz w:val="24"/>
        </w:rPr>
      </w:pPr>
      <w:r>
        <w:rPr>
          <w:rFonts w:hint="eastAsia" w:hAnsi="宋体"/>
          <w:kern w:val="0"/>
          <w:sz w:val="24"/>
        </w:rPr>
        <w:t>6</w:t>
      </w:r>
      <w:r>
        <w:rPr>
          <w:rFonts w:hAnsi="宋体"/>
          <w:kern w:val="0"/>
          <w:sz w:val="24"/>
        </w:rPr>
        <w:t>、基金财产清算的公告</w:t>
      </w:r>
    </w:p>
    <w:p w14:paraId="4C1936E8">
      <w:pPr>
        <w:adjustRightInd w:val="0"/>
        <w:snapToGrid w:val="0"/>
        <w:spacing w:line="360" w:lineRule="auto"/>
        <w:ind w:firstLine="480" w:firstLineChars="200"/>
        <w:rPr>
          <w:rFonts w:hint="eastAsia" w:hAnsi="宋体"/>
          <w:kern w:val="0"/>
          <w:sz w:val="24"/>
        </w:rPr>
      </w:pPr>
      <w:r>
        <w:rPr>
          <w:rFonts w:hint="eastAsia" w:hAnsi="宋体"/>
          <w:kern w:val="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23F32AD">
      <w:pPr>
        <w:adjustRightInd w:val="0"/>
        <w:snapToGrid w:val="0"/>
        <w:spacing w:line="360" w:lineRule="auto"/>
        <w:ind w:firstLine="480" w:firstLineChars="200"/>
        <w:rPr>
          <w:rFonts w:hint="eastAsia" w:hAnsi="宋体"/>
          <w:kern w:val="0"/>
          <w:sz w:val="24"/>
        </w:rPr>
      </w:pPr>
      <w:r>
        <w:rPr>
          <w:rFonts w:hint="eastAsia" w:hAnsi="宋体"/>
          <w:kern w:val="0"/>
          <w:sz w:val="24"/>
        </w:rPr>
        <w:t>7</w:t>
      </w:r>
      <w:r>
        <w:rPr>
          <w:rFonts w:hAnsi="宋体"/>
          <w:kern w:val="0"/>
          <w:sz w:val="24"/>
        </w:rPr>
        <w:t>、基金财产清算账册及文件的保存</w:t>
      </w:r>
    </w:p>
    <w:p w14:paraId="65D59AE3">
      <w:pPr>
        <w:adjustRightInd w:val="0"/>
        <w:snapToGrid w:val="0"/>
        <w:spacing w:line="360" w:lineRule="auto"/>
        <w:ind w:firstLine="480" w:firstLineChars="200"/>
        <w:rPr>
          <w:rFonts w:hint="eastAsia"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14:paraId="5D399CA4">
      <w:pPr>
        <w:adjustRightInd w:val="0"/>
        <w:snapToGrid w:val="0"/>
        <w:spacing w:line="360" w:lineRule="auto"/>
        <w:ind w:firstLine="482" w:firstLineChars="200"/>
        <w:rPr>
          <w:rFonts w:hint="eastAsia" w:hAnsi="宋体"/>
          <w:b/>
          <w:kern w:val="0"/>
          <w:sz w:val="24"/>
        </w:rPr>
      </w:pPr>
      <w:r>
        <w:rPr>
          <w:rFonts w:hAnsi="宋体"/>
          <w:b/>
          <w:kern w:val="0"/>
          <w:sz w:val="24"/>
        </w:rPr>
        <w:t>（四）争议</w:t>
      </w:r>
      <w:r>
        <w:rPr>
          <w:rFonts w:hint="eastAsia" w:hAnsi="宋体"/>
          <w:b/>
          <w:kern w:val="0"/>
          <w:sz w:val="24"/>
        </w:rPr>
        <w:t>解决方式</w:t>
      </w:r>
    </w:p>
    <w:p w14:paraId="76401099">
      <w:pPr>
        <w:adjustRightInd w:val="0"/>
        <w:snapToGrid w:val="0"/>
        <w:spacing w:line="360" w:lineRule="auto"/>
        <w:ind w:firstLine="482" w:firstLineChars="200"/>
        <w:rPr>
          <w:rFonts w:hint="eastAsia" w:hAnsi="宋体"/>
          <w:kern w:val="0"/>
          <w:sz w:val="24"/>
        </w:rPr>
      </w:pPr>
      <w:r>
        <w:rPr>
          <w:rFonts w:hint="eastAsia" w:hAnsi="宋体"/>
          <w:b/>
          <w:kern w:val="0"/>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w:t>
      </w:r>
      <w:r>
        <w:rPr>
          <w:rFonts w:hint="eastAsia" w:hAnsi="宋体"/>
          <w:kern w:val="0"/>
          <w:sz w:val="24"/>
        </w:rPr>
        <w:t>仲裁裁决是终局的，对各方当事人均有约束力，除非仲裁裁决另有规定，仲裁费用由败诉方承担。</w:t>
      </w:r>
    </w:p>
    <w:p w14:paraId="1533B49B">
      <w:pPr>
        <w:adjustRightInd w:val="0"/>
        <w:snapToGrid w:val="0"/>
        <w:spacing w:line="360" w:lineRule="auto"/>
        <w:ind w:firstLine="480" w:firstLineChars="200"/>
        <w:rPr>
          <w:rFonts w:hint="eastAsia" w:hAnsi="宋体"/>
          <w:kern w:val="0"/>
          <w:sz w:val="24"/>
        </w:rPr>
      </w:pPr>
      <w:r>
        <w:rPr>
          <w:rFonts w:hint="eastAsia" w:hAnsi="宋体"/>
          <w:kern w:val="0"/>
          <w:sz w:val="24"/>
        </w:rPr>
        <w:t>争议处理期间，基金合同当事人应恪守各自的职责，继续忠实、勤勉、尽责地履行基金合同规定的义务，维护基金份额持有人的合法权益。</w:t>
      </w:r>
    </w:p>
    <w:p w14:paraId="1F24043D">
      <w:pPr>
        <w:adjustRightInd w:val="0"/>
        <w:snapToGrid w:val="0"/>
        <w:spacing w:line="360" w:lineRule="auto"/>
        <w:ind w:firstLine="480" w:firstLineChars="200"/>
        <w:rPr>
          <w:rFonts w:hint="eastAsia" w:hAnsi="宋体"/>
          <w:kern w:val="0"/>
          <w:sz w:val="24"/>
        </w:rPr>
      </w:pPr>
      <w:r>
        <w:rPr>
          <w:rFonts w:hint="eastAsia" w:hAnsi="宋体"/>
          <w:kern w:val="0"/>
          <w:sz w:val="24"/>
        </w:rPr>
        <w:t>《基金合同》受中国法律（为本基金合同之目的，不含港澳台地区法律）管辖并从其解释。</w:t>
      </w:r>
    </w:p>
    <w:p w14:paraId="2D1ACDAC">
      <w:pPr>
        <w:adjustRightInd w:val="0"/>
        <w:snapToGrid w:val="0"/>
        <w:spacing w:line="360" w:lineRule="auto"/>
        <w:ind w:firstLine="482" w:firstLineChars="200"/>
        <w:rPr>
          <w:rFonts w:hint="eastAsia" w:hAnsi="宋体"/>
          <w:b/>
          <w:kern w:val="0"/>
          <w:sz w:val="24"/>
        </w:rPr>
      </w:pPr>
      <w:bookmarkStart w:id="108" w:name="_Toc523711688"/>
      <w:r>
        <w:rPr>
          <w:rFonts w:hAnsi="宋体"/>
          <w:b/>
          <w:kern w:val="0"/>
          <w:sz w:val="24"/>
        </w:rPr>
        <w:t>（五）基金合同存放地和投资者取得基金合同的方式</w:t>
      </w:r>
    </w:p>
    <w:bookmarkEnd w:id="108"/>
    <w:p w14:paraId="015C5E85">
      <w:pPr>
        <w:adjustRightInd w:val="0"/>
        <w:snapToGrid w:val="0"/>
        <w:spacing w:line="360" w:lineRule="auto"/>
        <w:ind w:firstLine="480" w:firstLineChars="200"/>
        <w:rPr>
          <w:rFonts w:hint="eastAsia" w:hAnsi="宋体"/>
          <w:kern w:val="0"/>
          <w:sz w:val="24"/>
        </w:rPr>
      </w:pPr>
      <w:r>
        <w:rPr>
          <w:bCs/>
          <w:sz w:val="24"/>
        </w:rPr>
        <w:t>《基金合同》正本一式</w:t>
      </w:r>
      <w:r>
        <w:rPr>
          <w:rFonts w:hint="eastAsia"/>
          <w:bCs/>
          <w:sz w:val="24"/>
        </w:rPr>
        <w:t>三</w:t>
      </w:r>
      <w:r>
        <w:rPr>
          <w:bCs/>
          <w:sz w:val="24"/>
        </w:rPr>
        <w:t>份，除上报有关监管机构一份外，基金管理人、基金托管人各持有一份，每份具有同等的法律效力。</w:t>
      </w:r>
    </w:p>
    <w:p w14:paraId="02084633">
      <w:pPr>
        <w:adjustRightInd w:val="0"/>
        <w:snapToGrid w:val="0"/>
        <w:spacing w:line="360" w:lineRule="auto"/>
        <w:ind w:firstLine="480" w:firstLineChars="200"/>
        <w:rPr>
          <w:rFonts w:hint="eastAsia" w:hAnsi="宋体"/>
          <w:kern w:val="0"/>
          <w:sz w:val="24"/>
        </w:rPr>
      </w:pPr>
      <w:r>
        <w:rPr>
          <w:rFonts w:hint="eastAsia" w:hAnsi="宋体"/>
          <w:kern w:val="0"/>
          <w:sz w:val="24"/>
        </w:rPr>
        <w:t>《基金合同》可印制成册，供投资者在基金管理人、基金托管人、销售机构的办公场所和营业场所查阅，但应以《基金合同》正本为准。</w:t>
      </w:r>
    </w:p>
    <w:p w14:paraId="284FFA4B">
      <w:pPr>
        <w:adjustRightInd w:val="0"/>
        <w:snapToGrid w:val="0"/>
        <w:spacing w:line="360" w:lineRule="auto"/>
        <w:ind w:firstLine="480" w:firstLineChars="200"/>
        <w:rPr>
          <w:rFonts w:hint="eastAsia" w:hAnsi="宋体"/>
          <w:kern w:val="0"/>
          <w:sz w:val="24"/>
        </w:rPr>
      </w:pPr>
    </w:p>
    <w:p w14:paraId="71FACEB0">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09" w:name="_Toc56690600"/>
      <w:r>
        <w:rPr>
          <w:rFonts w:hint="eastAsia" w:ascii="宋体" w:hAnsi="宋体"/>
          <w:b/>
          <w:kern w:val="0"/>
          <w:sz w:val="30"/>
        </w:rPr>
        <w:t>二十、托管协议的内容摘要</w:t>
      </w:r>
      <w:bookmarkEnd w:id="109"/>
    </w:p>
    <w:p w14:paraId="734C490C">
      <w:pPr>
        <w:widowControl/>
        <w:adjustRightInd w:val="0"/>
        <w:snapToGrid w:val="0"/>
        <w:spacing w:line="360" w:lineRule="auto"/>
        <w:ind w:firstLine="482" w:firstLineChars="200"/>
        <w:rPr>
          <w:b/>
          <w:bCs/>
          <w:sz w:val="24"/>
        </w:rPr>
      </w:pPr>
      <w:r>
        <w:rPr>
          <w:rFonts w:hint="eastAsia"/>
          <w:b/>
          <w:bCs/>
          <w:sz w:val="24"/>
        </w:rPr>
        <w:t>（一）托管协议当事人</w:t>
      </w:r>
    </w:p>
    <w:p w14:paraId="0AB767A9">
      <w:pPr>
        <w:widowControl/>
        <w:adjustRightInd w:val="0"/>
        <w:snapToGrid w:val="0"/>
        <w:spacing w:line="360" w:lineRule="auto"/>
        <w:ind w:firstLine="480" w:firstLineChars="200"/>
        <w:rPr>
          <w:bCs/>
          <w:sz w:val="24"/>
        </w:rPr>
      </w:pPr>
      <w:r>
        <w:rPr>
          <w:rFonts w:hint="eastAsia"/>
          <w:bCs/>
          <w:sz w:val="24"/>
        </w:rPr>
        <w:t>1、基金管理人</w:t>
      </w:r>
    </w:p>
    <w:p w14:paraId="7AA0CCAD">
      <w:pPr>
        <w:widowControl/>
        <w:adjustRightInd w:val="0"/>
        <w:snapToGrid w:val="0"/>
        <w:spacing w:line="360" w:lineRule="auto"/>
        <w:ind w:firstLine="480" w:firstLineChars="200"/>
        <w:rPr>
          <w:bCs/>
          <w:sz w:val="24"/>
        </w:rPr>
      </w:pPr>
      <w:r>
        <w:rPr>
          <w:rFonts w:hint="eastAsia"/>
          <w:bCs/>
          <w:sz w:val="24"/>
        </w:rPr>
        <w:t>名称：交银施罗德基金管理有限公司</w:t>
      </w:r>
    </w:p>
    <w:p w14:paraId="44A2AA48">
      <w:pPr>
        <w:widowControl/>
        <w:adjustRightInd w:val="0"/>
        <w:snapToGrid w:val="0"/>
        <w:spacing w:line="360" w:lineRule="auto"/>
        <w:ind w:firstLine="480" w:firstLineChars="200"/>
        <w:rPr>
          <w:bCs/>
          <w:sz w:val="24"/>
        </w:rPr>
      </w:pPr>
      <w:r>
        <w:rPr>
          <w:rFonts w:hint="eastAsia"/>
          <w:bCs/>
          <w:sz w:val="24"/>
        </w:rPr>
        <w:t>住所：中国（上海）自由贸易试验区银城中路188号交通银行大楼二层（裙）</w:t>
      </w:r>
    </w:p>
    <w:p w14:paraId="672EE7DC">
      <w:pPr>
        <w:widowControl/>
        <w:adjustRightInd w:val="0"/>
        <w:snapToGrid w:val="0"/>
        <w:spacing w:line="360" w:lineRule="auto"/>
        <w:ind w:firstLine="480" w:firstLineChars="200"/>
        <w:rPr>
          <w:bCs/>
          <w:sz w:val="24"/>
        </w:rPr>
      </w:pPr>
      <w:r>
        <w:rPr>
          <w:rFonts w:hint="eastAsia"/>
          <w:bCs/>
          <w:sz w:val="24"/>
        </w:rPr>
        <w:t>办公地址：上海市浦东新区世纪大道8号国金中心二期21-22楼</w:t>
      </w:r>
    </w:p>
    <w:p w14:paraId="1561908F">
      <w:pPr>
        <w:widowControl/>
        <w:adjustRightInd w:val="0"/>
        <w:snapToGrid w:val="0"/>
        <w:spacing w:line="360" w:lineRule="auto"/>
        <w:ind w:firstLine="480" w:firstLineChars="200"/>
        <w:rPr>
          <w:bCs/>
          <w:sz w:val="24"/>
        </w:rPr>
      </w:pPr>
      <w:r>
        <w:rPr>
          <w:rFonts w:hint="eastAsia"/>
          <w:bCs/>
          <w:sz w:val="24"/>
        </w:rPr>
        <w:t>邮政编码：200120</w:t>
      </w:r>
    </w:p>
    <w:p w14:paraId="0B012C4C">
      <w:pPr>
        <w:widowControl/>
        <w:adjustRightInd w:val="0"/>
        <w:snapToGrid w:val="0"/>
        <w:spacing w:line="360" w:lineRule="auto"/>
        <w:ind w:firstLine="480" w:firstLineChars="200"/>
        <w:rPr>
          <w:rFonts w:hint="eastAsia" w:eastAsia="宋体"/>
          <w:bCs/>
          <w:sz w:val="24"/>
          <w:lang w:eastAsia="zh-CN"/>
        </w:rPr>
      </w:pPr>
      <w:r>
        <w:rPr>
          <w:rFonts w:hint="eastAsia"/>
          <w:bCs/>
          <w:sz w:val="24"/>
        </w:rPr>
        <w:t>法定代表人：</w:t>
      </w:r>
      <w:r>
        <w:rPr>
          <w:rFonts w:hint="eastAsia"/>
          <w:bCs/>
          <w:sz w:val="24"/>
          <w:lang w:eastAsia="zh-CN"/>
        </w:rPr>
        <w:t>袁庆伟（代任）</w:t>
      </w:r>
    </w:p>
    <w:p w14:paraId="6DA7399E">
      <w:pPr>
        <w:widowControl/>
        <w:adjustRightInd w:val="0"/>
        <w:snapToGrid w:val="0"/>
        <w:spacing w:line="360" w:lineRule="auto"/>
        <w:ind w:firstLine="480" w:firstLineChars="200"/>
        <w:rPr>
          <w:bCs/>
          <w:sz w:val="24"/>
        </w:rPr>
      </w:pPr>
      <w:r>
        <w:rPr>
          <w:rFonts w:hint="eastAsia"/>
          <w:bCs/>
          <w:sz w:val="24"/>
        </w:rPr>
        <w:t>成立时间：2005年8月4日</w:t>
      </w:r>
    </w:p>
    <w:p w14:paraId="0FC9F018">
      <w:pPr>
        <w:widowControl/>
        <w:adjustRightInd w:val="0"/>
        <w:snapToGrid w:val="0"/>
        <w:spacing w:line="360" w:lineRule="auto"/>
        <w:ind w:firstLine="480" w:firstLineChars="200"/>
        <w:rPr>
          <w:bCs/>
          <w:sz w:val="24"/>
        </w:rPr>
      </w:pPr>
      <w:r>
        <w:rPr>
          <w:rFonts w:hint="eastAsia"/>
          <w:bCs/>
          <w:sz w:val="24"/>
        </w:rPr>
        <w:t>批准设立机关：中国证券监督管理委员会</w:t>
      </w:r>
    </w:p>
    <w:p w14:paraId="1A4CFD98">
      <w:pPr>
        <w:widowControl/>
        <w:adjustRightInd w:val="0"/>
        <w:snapToGrid w:val="0"/>
        <w:spacing w:line="360" w:lineRule="auto"/>
        <w:ind w:firstLine="480" w:firstLineChars="200"/>
        <w:rPr>
          <w:bCs/>
          <w:sz w:val="24"/>
        </w:rPr>
      </w:pPr>
      <w:r>
        <w:rPr>
          <w:rFonts w:hint="eastAsia"/>
          <w:bCs/>
          <w:sz w:val="24"/>
        </w:rPr>
        <w:t>批准设立文号：中国证监会证监基金字[2005]128号</w:t>
      </w:r>
    </w:p>
    <w:p w14:paraId="7C27CF93">
      <w:pPr>
        <w:widowControl/>
        <w:adjustRightInd w:val="0"/>
        <w:snapToGrid w:val="0"/>
        <w:spacing w:line="360" w:lineRule="auto"/>
        <w:ind w:firstLine="480" w:firstLineChars="200"/>
        <w:rPr>
          <w:bCs/>
          <w:sz w:val="24"/>
        </w:rPr>
      </w:pPr>
      <w:r>
        <w:rPr>
          <w:rFonts w:hint="eastAsia"/>
          <w:bCs/>
          <w:sz w:val="24"/>
        </w:rPr>
        <w:t>组织形式：有限责任公司</w:t>
      </w:r>
    </w:p>
    <w:p w14:paraId="621D63DE">
      <w:pPr>
        <w:widowControl/>
        <w:adjustRightInd w:val="0"/>
        <w:snapToGrid w:val="0"/>
        <w:spacing w:line="360" w:lineRule="auto"/>
        <w:ind w:firstLine="480" w:firstLineChars="200"/>
        <w:rPr>
          <w:bCs/>
          <w:sz w:val="24"/>
        </w:rPr>
      </w:pPr>
      <w:r>
        <w:rPr>
          <w:rFonts w:hint="eastAsia"/>
          <w:bCs/>
          <w:sz w:val="24"/>
        </w:rPr>
        <w:t>注册资本：2亿元人民币</w:t>
      </w:r>
    </w:p>
    <w:p w14:paraId="07D05201">
      <w:pPr>
        <w:widowControl/>
        <w:adjustRightInd w:val="0"/>
        <w:snapToGrid w:val="0"/>
        <w:spacing w:line="360" w:lineRule="auto"/>
        <w:ind w:firstLine="480" w:firstLineChars="200"/>
        <w:rPr>
          <w:bCs/>
          <w:sz w:val="24"/>
        </w:rPr>
      </w:pPr>
      <w:r>
        <w:rPr>
          <w:rFonts w:hint="eastAsia"/>
          <w:bCs/>
          <w:sz w:val="24"/>
        </w:rPr>
        <w:t>存续期间：持续经营</w:t>
      </w:r>
    </w:p>
    <w:p w14:paraId="4C1D6AB1">
      <w:pPr>
        <w:widowControl/>
        <w:adjustRightInd w:val="0"/>
        <w:snapToGrid w:val="0"/>
        <w:spacing w:line="360" w:lineRule="auto"/>
        <w:ind w:firstLine="480" w:firstLineChars="200"/>
        <w:rPr>
          <w:bCs/>
          <w:sz w:val="24"/>
        </w:rPr>
      </w:pPr>
      <w:r>
        <w:rPr>
          <w:rFonts w:hint="eastAsia"/>
          <w:bCs/>
          <w:sz w:val="24"/>
        </w:rPr>
        <w:t>经营范围：基金募集、基金销售、资产管理和中国证监会许可的其他业务。</w:t>
      </w:r>
    </w:p>
    <w:p w14:paraId="4D6AAE72">
      <w:pPr>
        <w:widowControl/>
        <w:adjustRightInd w:val="0"/>
        <w:snapToGrid w:val="0"/>
        <w:spacing w:line="360" w:lineRule="auto"/>
        <w:ind w:firstLine="480" w:firstLineChars="200"/>
        <w:rPr>
          <w:bCs/>
          <w:sz w:val="24"/>
        </w:rPr>
      </w:pPr>
      <w:r>
        <w:rPr>
          <w:rFonts w:hint="eastAsia"/>
          <w:bCs/>
          <w:sz w:val="24"/>
        </w:rPr>
        <w:t>2、基金托管人</w:t>
      </w:r>
    </w:p>
    <w:p w14:paraId="5A1C0E88">
      <w:pPr>
        <w:widowControl/>
        <w:adjustRightInd w:val="0"/>
        <w:snapToGrid w:val="0"/>
        <w:spacing w:line="360" w:lineRule="auto"/>
        <w:ind w:firstLine="480" w:firstLineChars="200"/>
        <w:rPr>
          <w:bCs/>
          <w:sz w:val="24"/>
        </w:rPr>
      </w:pPr>
      <w:r>
        <w:rPr>
          <w:rFonts w:hint="eastAsia"/>
          <w:bCs/>
          <w:sz w:val="24"/>
        </w:rPr>
        <w:t>名称：招商银行股份有限公司</w:t>
      </w:r>
    </w:p>
    <w:p w14:paraId="77855406">
      <w:pPr>
        <w:widowControl/>
        <w:adjustRightInd w:val="0"/>
        <w:snapToGrid w:val="0"/>
        <w:spacing w:line="360" w:lineRule="auto"/>
        <w:ind w:firstLine="480" w:firstLineChars="200"/>
        <w:rPr>
          <w:bCs/>
          <w:sz w:val="24"/>
        </w:rPr>
      </w:pPr>
      <w:r>
        <w:rPr>
          <w:rFonts w:hint="eastAsia"/>
          <w:bCs/>
          <w:sz w:val="24"/>
        </w:rPr>
        <w:t>住所：深圳市深南大道7088号招商银行大厦</w:t>
      </w:r>
    </w:p>
    <w:p w14:paraId="67DEDC31">
      <w:pPr>
        <w:widowControl/>
        <w:adjustRightInd w:val="0"/>
        <w:snapToGrid w:val="0"/>
        <w:spacing w:line="360" w:lineRule="auto"/>
        <w:ind w:firstLine="480" w:firstLineChars="200"/>
        <w:rPr>
          <w:bCs/>
          <w:sz w:val="24"/>
        </w:rPr>
      </w:pPr>
      <w:r>
        <w:rPr>
          <w:rFonts w:hint="eastAsia"/>
          <w:bCs/>
          <w:sz w:val="24"/>
        </w:rPr>
        <w:t>办公地址：深圳市深南大道7088号招商银行大厦</w:t>
      </w:r>
    </w:p>
    <w:p w14:paraId="36E7E785">
      <w:pPr>
        <w:widowControl/>
        <w:adjustRightInd w:val="0"/>
        <w:snapToGrid w:val="0"/>
        <w:spacing w:line="360" w:lineRule="auto"/>
        <w:ind w:firstLine="480" w:firstLineChars="200"/>
        <w:rPr>
          <w:bCs/>
          <w:sz w:val="24"/>
        </w:rPr>
      </w:pPr>
      <w:r>
        <w:rPr>
          <w:rFonts w:hint="eastAsia"/>
          <w:bCs/>
          <w:sz w:val="24"/>
        </w:rPr>
        <w:t>邮政编码：518040</w:t>
      </w:r>
    </w:p>
    <w:p w14:paraId="5C849C34">
      <w:pPr>
        <w:widowControl/>
        <w:adjustRightInd w:val="0"/>
        <w:snapToGrid w:val="0"/>
        <w:spacing w:line="360" w:lineRule="auto"/>
        <w:ind w:firstLine="480" w:firstLineChars="200"/>
        <w:rPr>
          <w:bCs/>
          <w:sz w:val="24"/>
        </w:rPr>
      </w:pPr>
      <w:r>
        <w:rPr>
          <w:rFonts w:hint="eastAsia"/>
          <w:bCs/>
          <w:sz w:val="24"/>
        </w:rPr>
        <w:t>法定代表人：缪建民</w:t>
      </w:r>
    </w:p>
    <w:p w14:paraId="57B968FD">
      <w:pPr>
        <w:widowControl/>
        <w:adjustRightInd w:val="0"/>
        <w:snapToGrid w:val="0"/>
        <w:spacing w:line="360" w:lineRule="auto"/>
        <w:ind w:firstLine="480" w:firstLineChars="200"/>
        <w:rPr>
          <w:rFonts w:hint="eastAsia" w:eastAsia="宋体"/>
          <w:bCs/>
          <w:sz w:val="24"/>
          <w:lang w:eastAsia="zh-CN"/>
        </w:rPr>
      </w:pPr>
      <w:r>
        <w:rPr>
          <w:rFonts w:hint="eastAsia"/>
          <w:bCs/>
          <w:sz w:val="24"/>
        </w:rPr>
        <w:t>成立时间：</w:t>
      </w:r>
      <w:r>
        <w:rPr>
          <w:rFonts w:hint="eastAsia"/>
          <w:bCs/>
          <w:sz w:val="24"/>
          <w:lang w:eastAsia="zh-CN"/>
        </w:rPr>
        <w:t>1987年3月31日</w:t>
      </w:r>
    </w:p>
    <w:p w14:paraId="688F0443">
      <w:pPr>
        <w:widowControl/>
        <w:adjustRightInd w:val="0"/>
        <w:snapToGrid w:val="0"/>
        <w:spacing w:line="360" w:lineRule="auto"/>
        <w:ind w:firstLine="480" w:firstLineChars="200"/>
        <w:rPr>
          <w:bCs/>
          <w:sz w:val="24"/>
        </w:rPr>
      </w:pPr>
      <w:r>
        <w:rPr>
          <w:rFonts w:hint="eastAsia"/>
          <w:bCs/>
          <w:sz w:val="24"/>
        </w:rPr>
        <w:t>批准设立机关和批准设立文号：中国人民银行银复字（1986）175号文、银复（1987）86号文</w:t>
      </w:r>
    </w:p>
    <w:p w14:paraId="63FCE20B">
      <w:pPr>
        <w:widowControl/>
        <w:adjustRightInd w:val="0"/>
        <w:snapToGrid w:val="0"/>
        <w:spacing w:line="360" w:lineRule="auto"/>
        <w:ind w:firstLine="480" w:firstLineChars="200"/>
        <w:rPr>
          <w:bCs/>
          <w:sz w:val="24"/>
        </w:rPr>
      </w:pPr>
      <w:r>
        <w:rPr>
          <w:rFonts w:hint="eastAsia"/>
          <w:bCs/>
          <w:sz w:val="24"/>
        </w:rPr>
        <w:t>基金托管业务批准文号：证监基金字[2002]83号</w:t>
      </w:r>
    </w:p>
    <w:p w14:paraId="05735EE3">
      <w:pPr>
        <w:widowControl/>
        <w:adjustRightInd w:val="0"/>
        <w:snapToGrid w:val="0"/>
        <w:spacing w:line="360" w:lineRule="auto"/>
        <w:ind w:firstLine="480" w:firstLineChars="200"/>
        <w:rPr>
          <w:bCs/>
          <w:sz w:val="24"/>
        </w:rPr>
      </w:pPr>
      <w:r>
        <w:rPr>
          <w:rFonts w:hint="eastAsia"/>
          <w:bCs/>
          <w:sz w:val="24"/>
        </w:rPr>
        <w:t>组织形式：股份有限公司</w:t>
      </w:r>
    </w:p>
    <w:p w14:paraId="6BD3CE8A">
      <w:pPr>
        <w:widowControl/>
        <w:adjustRightInd w:val="0"/>
        <w:snapToGrid w:val="0"/>
        <w:spacing w:line="360" w:lineRule="auto"/>
        <w:ind w:firstLine="480" w:firstLineChars="200"/>
        <w:rPr>
          <w:bCs/>
          <w:sz w:val="24"/>
        </w:rPr>
      </w:pPr>
      <w:r>
        <w:rPr>
          <w:rFonts w:hint="eastAsia"/>
          <w:bCs/>
          <w:sz w:val="24"/>
        </w:rPr>
        <w:t>注册资本：人民币252.20亿元</w:t>
      </w:r>
    </w:p>
    <w:p w14:paraId="1A3140DF">
      <w:pPr>
        <w:widowControl/>
        <w:adjustRightInd w:val="0"/>
        <w:snapToGrid w:val="0"/>
        <w:spacing w:line="360" w:lineRule="auto"/>
        <w:ind w:firstLine="480" w:firstLineChars="200"/>
        <w:rPr>
          <w:bCs/>
          <w:sz w:val="24"/>
        </w:rPr>
      </w:pPr>
      <w:r>
        <w:rPr>
          <w:rFonts w:hint="eastAsia"/>
          <w:bCs/>
          <w:sz w:val="24"/>
        </w:rPr>
        <w:t>存续期间：持续经营</w:t>
      </w:r>
    </w:p>
    <w:p w14:paraId="1D39F51E">
      <w:pPr>
        <w:widowControl/>
        <w:adjustRightInd w:val="0"/>
        <w:snapToGrid w:val="0"/>
        <w:spacing w:line="360" w:lineRule="auto"/>
        <w:ind w:firstLine="482" w:firstLineChars="200"/>
        <w:rPr>
          <w:b/>
          <w:bCs/>
          <w:sz w:val="24"/>
        </w:rPr>
      </w:pPr>
      <w:r>
        <w:rPr>
          <w:rFonts w:hint="eastAsia"/>
          <w:b/>
          <w:bCs/>
          <w:sz w:val="24"/>
        </w:rPr>
        <w:t>（二）基金托管人对基金管理人的业务监督和核查</w:t>
      </w:r>
    </w:p>
    <w:p w14:paraId="6AA23A13">
      <w:pPr>
        <w:adjustRightInd w:val="0"/>
        <w:snapToGrid w:val="0"/>
        <w:spacing w:line="360" w:lineRule="auto"/>
        <w:ind w:firstLine="480"/>
        <w:rPr>
          <w:rFonts w:hint="eastAsia" w:ascii="宋体" w:hAnsi="宋体"/>
          <w:sz w:val="24"/>
          <w:szCs w:val="24"/>
        </w:rPr>
      </w:pPr>
      <w:r>
        <w:rPr>
          <w:rFonts w:hint="eastAsia" w:ascii="宋体" w:hAnsi="宋体"/>
          <w:sz w:val="24"/>
          <w:szCs w:val="24"/>
        </w:rPr>
        <w:t>1、基金托管人根据有关法律法规的规定以及《基金合同》的约定，对基金投资范围、投资比例、投资限制、关联方交易等进行监督。</w:t>
      </w:r>
    </w:p>
    <w:p w14:paraId="57EE03D0">
      <w:pPr>
        <w:adjustRightInd w:val="0"/>
        <w:snapToGrid w:val="0"/>
        <w:spacing w:line="360" w:lineRule="auto"/>
        <w:ind w:firstLine="480"/>
        <w:rPr>
          <w:rFonts w:hint="eastAsia" w:ascii="宋体" w:hAnsi="宋体"/>
          <w:sz w:val="24"/>
          <w:szCs w:val="24"/>
        </w:rPr>
      </w:pPr>
      <w:r>
        <w:rPr>
          <w:rFonts w:hint="eastAsia" w:ascii="宋体" w:hAnsi="宋体"/>
          <w:sz w:val="24"/>
          <w:szCs w:val="24"/>
        </w:rPr>
        <w:t>（1）本基金的投资范围为：</w:t>
      </w:r>
    </w:p>
    <w:p w14:paraId="4AFCCCD7">
      <w:pPr>
        <w:adjustRightInd w:val="0"/>
        <w:snapToGrid w:val="0"/>
        <w:spacing w:line="360" w:lineRule="auto"/>
        <w:ind w:firstLine="480"/>
        <w:rPr>
          <w:rFonts w:hint="eastAsia" w:ascii="宋体" w:hAnsi="宋体"/>
          <w:sz w:val="24"/>
          <w:szCs w:val="24"/>
        </w:rPr>
      </w:pPr>
      <w:r>
        <w:rPr>
          <w:rFonts w:hint="eastAsia"/>
          <w:bCs/>
          <w:sz w:val="24"/>
        </w:rPr>
        <w:t>本基金的投资范围为具有良好流动性的金融工具，包括经中国证监会依法核准或注册的公开募集证券投资基金（含ETF和LOF、香港互认基金、QDII基金、商品基金（包括商品期货基金和黄金ETF）、公开募集不动产投资信托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2AB34B5F">
      <w:pPr>
        <w:adjustRightInd w:val="0"/>
        <w:snapToGrid w:val="0"/>
        <w:spacing w:line="360" w:lineRule="auto"/>
        <w:ind w:firstLine="480"/>
        <w:rPr>
          <w:rFonts w:hint="eastAsia"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14:paraId="623805BC">
      <w:pPr>
        <w:adjustRightInd w:val="0"/>
        <w:snapToGrid w:val="0"/>
        <w:spacing w:line="360" w:lineRule="auto"/>
        <w:ind w:firstLine="480"/>
        <w:rPr>
          <w:rFonts w:hint="eastAsia" w:ascii="宋体" w:hAnsi="宋体"/>
          <w:sz w:val="24"/>
          <w:szCs w:val="24"/>
        </w:rPr>
      </w:pPr>
      <w:r>
        <w:rPr>
          <w:rFonts w:hint="eastAsia" w:ascii="宋体" w:hAnsi="宋体"/>
          <w:sz w:val="24"/>
          <w:szCs w:val="24"/>
        </w:rPr>
        <w:t>（2）本基金各类品种的投资比例、投资限制为：</w:t>
      </w:r>
    </w:p>
    <w:p w14:paraId="4F55735A">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本基金投资于经中国证监会依法核准或注册的公开募集证券投资基金的基金份额的资产不低于本基金资产的80%；投资于股票（含存托凭证）、股票型基金（包括股票指数基金）、混合型基金等资产占基金资产的比例为5%-40%（其中，</w:t>
      </w:r>
      <w:r>
        <w:rPr>
          <w:rFonts w:hint="eastAsia"/>
          <w:bCs/>
          <w:sz w:val="24"/>
        </w:rPr>
        <w:t>投资于境内股票、股票型基金、计入权益类资产的混合型基金占基金资产的比例不低于5%，</w:t>
      </w:r>
      <w:r>
        <w:rPr>
          <w:rFonts w:hint="eastAsia" w:ascii="Times New Roman" w:hAnsi="Times New Roman"/>
          <w:bCs/>
          <w:sz w:val="24"/>
          <w:szCs w:val="20"/>
        </w:rPr>
        <w:t>投资于港股通股票的比例占股票资产的0%-50%）；投资于QDII基金和香港互认基金的比例合计不超过基金资产的20%；投资于货币市场基金的比例不超过基金资产的15%</w:t>
      </w:r>
      <w:r>
        <w:rPr>
          <w:rFonts w:hint="eastAsia"/>
          <w:bCs/>
          <w:sz w:val="24"/>
        </w:rPr>
        <w:t>；投资于商品基金（含商品期货基金和黄金ETF）的比例不超过基金资产的10%</w:t>
      </w:r>
      <w:r>
        <w:rPr>
          <w:rFonts w:hint="eastAsia" w:ascii="Times New Roman" w:hAnsi="Times New Roman"/>
          <w:bCs/>
          <w:sz w:val="24"/>
          <w:szCs w:val="20"/>
        </w:rPr>
        <w:t>。本基金持有的现金或者到期日在一年以内的政府债券的比例合计不低于基金资产净值的5%，其中现金不包括结算备付金、存出保证金、应收申购款等。</w:t>
      </w:r>
    </w:p>
    <w:p w14:paraId="0017AC46">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上述混合型基金需符合下列两个条件之一：</w:t>
      </w:r>
    </w:p>
    <w:p w14:paraId="00DD6D1F">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①基金合同中约定股票</w:t>
      </w:r>
      <w:r>
        <w:rPr>
          <w:rFonts w:hint="eastAsia"/>
          <w:bCs/>
          <w:sz w:val="24"/>
        </w:rPr>
        <w:t>（含存托凭证）</w:t>
      </w:r>
      <w:r>
        <w:rPr>
          <w:rFonts w:hint="eastAsia" w:ascii="Times New Roman" w:hAnsi="Times New Roman"/>
          <w:bCs/>
          <w:sz w:val="24"/>
          <w:szCs w:val="20"/>
        </w:rPr>
        <w:t>投资占基金资产的比例不低于60%的混合型基金；</w:t>
      </w:r>
    </w:p>
    <w:p w14:paraId="610589B0">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②最近四个季度披露的股票</w:t>
      </w:r>
      <w:r>
        <w:rPr>
          <w:rFonts w:hint="eastAsia"/>
          <w:bCs/>
          <w:sz w:val="24"/>
        </w:rPr>
        <w:t>（含存托凭证）</w:t>
      </w:r>
      <w:r>
        <w:rPr>
          <w:rFonts w:hint="eastAsia" w:ascii="Times New Roman" w:hAnsi="Times New Roman"/>
          <w:bCs/>
          <w:sz w:val="24"/>
          <w:szCs w:val="20"/>
        </w:rPr>
        <w:t>投资占基金资产的比例均不低于60%的混合型基金。</w:t>
      </w:r>
    </w:p>
    <w:p w14:paraId="77D67268">
      <w:pPr>
        <w:adjustRightInd w:val="0"/>
        <w:snapToGrid w:val="0"/>
        <w:spacing w:line="360" w:lineRule="auto"/>
        <w:ind w:firstLine="480"/>
        <w:rPr>
          <w:rFonts w:hint="eastAsia"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14:paraId="7BB9CDBC">
      <w:pPr>
        <w:adjustRightInd w:val="0"/>
        <w:snapToGrid w:val="0"/>
        <w:spacing w:line="360" w:lineRule="auto"/>
        <w:ind w:firstLine="480"/>
        <w:rPr>
          <w:rFonts w:hint="eastAsia" w:ascii="宋体" w:hAnsi="宋体"/>
          <w:sz w:val="24"/>
          <w:szCs w:val="24"/>
        </w:rPr>
      </w:pPr>
      <w:r>
        <w:rPr>
          <w:rFonts w:hint="eastAsia" w:ascii="宋体" w:hAnsi="宋体"/>
          <w:sz w:val="24"/>
          <w:szCs w:val="24"/>
        </w:rPr>
        <w:t>基金的投资组合应遵循以下限制：</w:t>
      </w:r>
    </w:p>
    <w:p w14:paraId="58A04905">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本基金投资于经中国证监会依法核准或注册的公开募集证券投资基金的基金份额的资产不低于本基金资产的80%；投资于股票（含存托凭证）、股票型基金（包括股票指数基金）、混合型基金等资产占基金资产的比例为5%-40%（其中，投资于境内股票、股票型基金、计入权益类资产的混合型基金占基金资产的比例不低于5%，投资于港股通股票的比例占股票资产的0%-50%）；投资于QDII基金和香港互认基金的比例合计不超过基金资产的20%；投资于货币市场基金的比例不超过基金资产的15%；投资于商品基金（含商品期货基金和黄金ETF）的比例不超过基金资产的10%；</w:t>
      </w:r>
    </w:p>
    <w:p w14:paraId="48FB9649">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768834F7">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2）本基金持有的现金或者到期日在一年以内的政府债券的比例合计不低于基金资产净值的5%，其中现金不包括结算备付金、存出保证金、应收申购款等；</w:t>
      </w:r>
    </w:p>
    <w:p w14:paraId="7284A91D">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3）本基金持有单只基金的市值，不得高于本基金资产净值的20%，且不得持有其他基金中基金；</w:t>
      </w:r>
    </w:p>
    <w:p w14:paraId="6E20596D">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4）本基金管理人管理的全部基金（除ETF联接基金外）持有单只基金不得超过被投资基金净资产的20%，被投资基金净资产规模以最近定期报告披露的规模为准；</w:t>
      </w:r>
    </w:p>
    <w:p w14:paraId="5B98812E">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5）本基金不得持有具有复杂、衍生品性质的基金份额，包括分级基金和中国证监会认定的其他基金份额，中国证监会认可或批准的特殊基金中基金除外；</w:t>
      </w:r>
    </w:p>
    <w:p w14:paraId="2C611B9D">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6）本基金投资其他基金时，被投资基金的运作期限应当不少于1年、最近定期报告披露的基金净资产应当不低于1亿元；</w:t>
      </w:r>
    </w:p>
    <w:p w14:paraId="6BAB2A70">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7）本基金投资于流通受限基金的比例不得超过基金资产净值的10%；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14:paraId="3CF01326">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8）本基金持有一家公司发行的证券（同一家公司在内地和香港同时上市的A+H股合并计算，不含本基金所投资的基金份额），其市值不超过基金资产净值的10%；</w:t>
      </w:r>
    </w:p>
    <w:p w14:paraId="597F4DC9">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499B767B">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AA66B47">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210D75D">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12）本基金与私募类证券资管产品及中国证监会认定的其他主体为交易对手开展逆回购交易的，可接受质押品的资质要求应当与基金合同约定的投资范围保持一致；</w:t>
      </w:r>
    </w:p>
    <w:p w14:paraId="3D782739">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13）本基金投资于同一原始权益人的各类资产支持证券的比例，不得超过基金资产净值的10%；</w:t>
      </w:r>
    </w:p>
    <w:p w14:paraId="4C8A57D7">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14）本基金持有的全部资产支持证券，其市值不得超过基金资产净值的20%；</w:t>
      </w:r>
    </w:p>
    <w:p w14:paraId="61A8867A">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15）本基金持有的同一（指同一信用级别）资产支持证券的比例，不得超过该资产支持证券规模的10%；</w:t>
      </w:r>
    </w:p>
    <w:p w14:paraId="4EE07DF8">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16）本基金管理人管理的全部基金投资于同一原始权益人的各类资产支持证券，不得超过其各类资产支持证券合计规模的10%；</w:t>
      </w:r>
    </w:p>
    <w:p w14:paraId="113ED751">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17）本基金应投资于信用级别评级为BBB以上（含BBB）的资产支持证券。基金持有资产支持证券期间，如果其信用等级下降、不再符合投资标准，应在评级报告发布之日起3个月内予以全部卖出；</w:t>
      </w:r>
    </w:p>
    <w:p w14:paraId="6A0E1B12">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18）基金财产参与股票发行申购，本基金所申报的金额不超过本基金的总资产，本基金所申报的股票数量不超过拟发行股票公司本次发行股票的总量；</w:t>
      </w:r>
    </w:p>
    <w:p w14:paraId="72533320">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19）本基金资产总值不超过基金资产净值的140%；</w:t>
      </w:r>
    </w:p>
    <w:p w14:paraId="76ABE500">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20）本基金投资存托凭证的比例限制依照境内上市交易的股票执行；</w:t>
      </w:r>
    </w:p>
    <w:p w14:paraId="4C934FB3">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21）法律法规及中国证监会规定的和《基金合同》约定的其他投资限制。</w:t>
      </w:r>
    </w:p>
    <w:p w14:paraId="53F9C2F7">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w:t>
      </w:r>
      <w:r>
        <w:rPr>
          <w:rFonts w:hint="eastAsia"/>
          <w:bCs/>
          <w:sz w:val="24"/>
        </w:rPr>
        <w:t>被投资基金可交易或可赎回之日起</w:t>
      </w:r>
      <w:r>
        <w:rPr>
          <w:rFonts w:hint="eastAsia" w:ascii="Times New Roman" w:hAnsi="Times New Roman"/>
          <w:bCs/>
          <w:sz w:val="24"/>
          <w:szCs w:val="20"/>
        </w:rPr>
        <w:t>20个交易日内进行调整；对于第2）项、第3）项、第4）项、第7）项、第11）项、第12）项及第17）项以外的其他情形，基金管理人应当在</w:t>
      </w:r>
      <w:r>
        <w:rPr>
          <w:rFonts w:hint="eastAsia"/>
          <w:bCs/>
          <w:sz w:val="24"/>
        </w:rPr>
        <w:t>被投资证券或基金可交易或可赎回之日起</w:t>
      </w:r>
      <w:r>
        <w:rPr>
          <w:rFonts w:hint="eastAsia" w:ascii="Times New Roman" w:hAnsi="Times New Roman"/>
          <w:bCs/>
          <w:sz w:val="24"/>
          <w:szCs w:val="20"/>
        </w:rPr>
        <w:t>10个交易日内进行调整，但中国证监会规定的特殊情形除外。法律法规另有规定的，从其规定。</w:t>
      </w:r>
    </w:p>
    <w:p w14:paraId="06BC896D">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（3）本基金财产不得用于以下投资或者活动：</w:t>
      </w:r>
    </w:p>
    <w:p w14:paraId="69B00B6F">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1）承销证券；</w:t>
      </w:r>
    </w:p>
    <w:p w14:paraId="1D7EB372">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2）违反规定向他人贷款或者提供担保；</w:t>
      </w:r>
    </w:p>
    <w:p w14:paraId="14649052">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3）从事承担无限责任的投资；</w:t>
      </w:r>
    </w:p>
    <w:p w14:paraId="7CE215AF">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4）向其基金管理人、基金托管人出资；</w:t>
      </w:r>
    </w:p>
    <w:p w14:paraId="5D69B00C">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5）从事内幕交易、操纵证券交易价格及其他不正当的证券交易活动；</w:t>
      </w:r>
    </w:p>
    <w:p w14:paraId="7AD864D0">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6）法律、行政法规和中国证监会规定禁止的其他活动。</w:t>
      </w:r>
    </w:p>
    <w:p w14:paraId="6A3A17F0">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8FC63D">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如法律、行政法规或监管部门取消或变更上述规定，如适用于本基金，基金管理人在履行适当程序后，本基金可不受上述规定的限制或以变更后的规定为准。</w:t>
      </w:r>
    </w:p>
    <w:p w14:paraId="0DB48F27">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4）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BEDB9C1">
      <w:pPr>
        <w:adjustRightInd w:val="0"/>
        <w:snapToGrid w:val="0"/>
        <w:spacing w:line="360" w:lineRule="auto"/>
        <w:ind w:firstLine="480"/>
        <w:rPr>
          <w:rFonts w:hint="eastAsia" w:ascii="Times New Roman" w:hAnsi="Times New Roman"/>
          <w:bCs/>
          <w:sz w:val="24"/>
          <w:szCs w:val="20"/>
        </w:rPr>
      </w:pPr>
      <w:r>
        <w:rPr>
          <w:rFonts w:hint="eastAsia" w:ascii="Times New Roman" w:hAnsi="Times New Roman"/>
          <w:bCs/>
          <w:sz w:val="24"/>
          <w:szCs w:val="20"/>
        </w:rPr>
        <w:t>（5）</w:t>
      </w:r>
      <w:r>
        <w:rPr>
          <w:rFonts w:hint="eastAsia" w:ascii="Times New Roman" w:hAnsi="Times New Roman"/>
          <w:bCs/>
          <w:sz w:val="24"/>
        </w:rPr>
        <w:t>法律法规或监管部门取消或变更上述限制，如适用于本基金，基金管理人在履行适当程序后，则本基金投资不再受相关限制或以变更后的规定为准。</w:t>
      </w:r>
    </w:p>
    <w:p w14:paraId="7C0D5522">
      <w:pPr>
        <w:widowControl/>
        <w:adjustRightInd w:val="0"/>
        <w:snapToGrid w:val="0"/>
        <w:spacing w:line="360" w:lineRule="auto"/>
        <w:ind w:firstLine="480" w:firstLineChars="0"/>
        <w:rPr>
          <w:rFonts w:hint="eastAsia"/>
          <w:bCs/>
          <w:sz w:val="24"/>
        </w:rPr>
      </w:pPr>
      <w:r>
        <w:rPr>
          <w:rFonts w:hint="eastAsia"/>
          <w:bCs/>
          <w:sz w:val="24"/>
        </w:rPr>
        <w:t>2、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428BAE7C">
      <w:pPr>
        <w:widowControl/>
        <w:adjustRightInd w:val="0"/>
        <w:snapToGrid w:val="0"/>
        <w:spacing w:line="360" w:lineRule="auto"/>
        <w:ind w:firstLine="480" w:firstLineChars="0"/>
        <w:rPr>
          <w:rFonts w:hint="eastAsia"/>
          <w:bCs/>
          <w:sz w:val="24"/>
        </w:rPr>
      </w:pPr>
      <w:r>
        <w:rPr>
          <w:rFonts w:hint="eastAsia"/>
          <w:bCs/>
          <w:sz w:val="24"/>
        </w:rPr>
        <w:t>本基金投资银行存款应符合如下规定：</w:t>
      </w:r>
    </w:p>
    <w:p w14:paraId="143C33DB">
      <w:pPr>
        <w:widowControl/>
        <w:adjustRightInd w:val="0"/>
        <w:snapToGrid w:val="0"/>
        <w:spacing w:line="360" w:lineRule="auto"/>
        <w:ind w:firstLine="480" w:firstLineChars="0"/>
        <w:rPr>
          <w:rFonts w:hint="eastAsia"/>
          <w:bCs/>
          <w:sz w:val="24"/>
        </w:rPr>
      </w:pPr>
      <w:r>
        <w:rPr>
          <w:rFonts w:hint="eastAsia"/>
          <w:bCs/>
          <w:sz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4F180590">
      <w:pPr>
        <w:widowControl/>
        <w:adjustRightInd w:val="0"/>
        <w:snapToGrid w:val="0"/>
        <w:spacing w:line="360" w:lineRule="auto"/>
        <w:ind w:firstLine="480" w:firstLineChars="0"/>
        <w:rPr>
          <w:rFonts w:hint="eastAsia"/>
          <w:bCs/>
          <w:sz w:val="24"/>
        </w:rPr>
      </w:pPr>
      <w:r>
        <w:rPr>
          <w:rFonts w:hint="eastAsia"/>
          <w:bCs/>
          <w:sz w:val="24"/>
        </w:rPr>
        <w:t>有关法律法规或监管部门制定或修改新的定期存款投资政策，基金管理人履行适当程序后，可相应调整投资组合限制的规定。</w:t>
      </w:r>
    </w:p>
    <w:p w14:paraId="261F88F4">
      <w:pPr>
        <w:widowControl/>
        <w:adjustRightInd w:val="0"/>
        <w:snapToGrid w:val="0"/>
        <w:spacing w:line="360" w:lineRule="auto"/>
        <w:ind w:firstLine="480" w:firstLineChars="0"/>
        <w:rPr>
          <w:rFonts w:hint="eastAsia"/>
          <w:bCs/>
          <w:sz w:val="24"/>
        </w:rPr>
      </w:pPr>
      <w:r>
        <w:rPr>
          <w:rFonts w:hint="eastAsia"/>
          <w:bCs/>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974C57F">
      <w:pPr>
        <w:widowControl/>
        <w:adjustRightInd w:val="0"/>
        <w:snapToGrid w:val="0"/>
        <w:spacing w:line="360" w:lineRule="auto"/>
        <w:ind w:firstLine="480" w:firstLineChars="0"/>
        <w:rPr>
          <w:rFonts w:hint="eastAsia"/>
          <w:bCs/>
          <w:sz w:val="24"/>
        </w:rPr>
      </w:pPr>
      <w:r>
        <w:rPr>
          <w:rFonts w:hint="eastAsia"/>
          <w:bCs/>
          <w:sz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43DFF170">
      <w:pPr>
        <w:widowControl/>
        <w:adjustRightInd w:val="0"/>
        <w:snapToGrid w:val="0"/>
        <w:spacing w:line="360" w:lineRule="auto"/>
        <w:ind w:firstLine="480" w:firstLineChars="0"/>
        <w:rPr>
          <w:rFonts w:hint="eastAsia"/>
          <w:bCs/>
          <w:sz w:val="24"/>
        </w:rPr>
      </w:pPr>
      <w:r>
        <w:rPr>
          <w:rFonts w:hint="eastAsia"/>
          <w:bCs/>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47A94F0F">
      <w:pPr>
        <w:widowControl/>
        <w:adjustRightInd w:val="0"/>
        <w:snapToGrid w:val="0"/>
        <w:spacing w:line="360" w:lineRule="auto"/>
        <w:ind w:firstLine="480" w:firstLineChars="0"/>
        <w:rPr>
          <w:rFonts w:hint="eastAsia"/>
          <w:bCs/>
          <w:sz w:val="24"/>
        </w:rPr>
      </w:pPr>
      <w:r>
        <w:rPr>
          <w:rFonts w:hint="eastAsia"/>
          <w:bCs/>
          <w:sz w:val="24"/>
        </w:rPr>
        <w:t>3）基金管理人须加强内部风险控制制度的建设。如因基金管理人员工职务行为导致基金财产受到损失的，需由基金管理人承担由此造成的损失。</w:t>
      </w:r>
    </w:p>
    <w:p w14:paraId="075D2859">
      <w:pPr>
        <w:widowControl/>
        <w:adjustRightInd w:val="0"/>
        <w:snapToGrid w:val="0"/>
        <w:spacing w:line="360" w:lineRule="auto"/>
        <w:ind w:firstLine="480" w:firstLineChars="0"/>
        <w:rPr>
          <w:rFonts w:hint="eastAsia"/>
          <w:bCs/>
          <w:sz w:val="24"/>
        </w:rPr>
      </w:pPr>
      <w:r>
        <w:rPr>
          <w:rFonts w:hint="eastAsia"/>
          <w:bCs/>
          <w:sz w:val="24"/>
        </w:rPr>
        <w:t>4）基金管理人与基金托管人在开展基金存款业务时，应严格遵守《基金法》、《运作办法》等有关法律法规，以及国家有关账户管理、利率管理、支付结算等的各项规定。</w:t>
      </w:r>
    </w:p>
    <w:p w14:paraId="6D2C0267">
      <w:pPr>
        <w:widowControl/>
        <w:adjustRightInd w:val="0"/>
        <w:snapToGrid w:val="0"/>
        <w:spacing w:line="360" w:lineRule="auto"/>
        <w:ind w:firstLine="480" w:firstLineChars="0"/>
        <w:rPr>
          <w:rFonts w:hint="eastAsia"/>
          <w:bCs/>
          <w:sz w:val="24"/>
        </w:rPr>
      </w:pPr>
      <w:r>
        <w:rPr>
          <w:rFonts w:hint="eastAsia"/>
          <w:bCs/>
          <w:sz w:val="24"/>
        </w:rPr>
        <w:t>3、</w:t>
      </w:r>
      <w:r>
        <w:rPr>
          <w:rFonts w:hint="eastAsia" w:ascii="Times New Roman" w:hAnsi="Times New Roman"/>
          <w:bCs/>
          <w:sz w:val="24"/>
        </w:rPr>
        <w:t>基金投资银行存款协议的签订、账户开设与管理、投资指令与资金划付、账目核对、到期兑付、提前支取</w:t>
      </w:r>
    </w:p>
    <w:p w14:paraId="4AB68389">
      <w:pPr>
        <w:widowControl/>
        <w:adjustRightInd w:val="0"/>
        <w:snapToGrid w:val="0"/>
        <w:spacing w:line="360" w:lineRule="auto"/>
        <w:ind w:firstLine="480" w:firstLineChars="200"/>
        <w:rPr>
          <w:bCs/>
          <w:sz w:val="24"/>
        </w:rPr>
      </w:pPr>
      <w:r>
        <w:rPr>
          <w:rFonts w:hint="eastAsia"/>
          <w:bCs/>
          <w:sz w:val="24"/>
        </w:rPr>
        <w:t>（1）</w:t>
      </w:r>
      <w:r>
        <w:rPr>
          <w:rFonts w:ascii="宋体" w:hAnsi="宋体"/>
          <w:sz w:val="24"/>
        </w:rPr>
        <w:t>基金投资银行存款协议的签订</w:t>
      </w:r>
    </w:p>
    <w:p w14:paraId="56794082">
      <w:pPr>
        <w:widowControl/>
        <w:adjustRightInd w:val="0"/>
        <w:snapToGrid w:val="0"/>
        <w:spacing w:line="360" w:lineRule="auto"/>
        <w:ind w:firstLine="480" w:firstLineChars="200"/>
        <w:rPr>
          <w:bCs/>
          <w:sz w:val="24"/>
        </w:rPr>
      </w:pPr>
      <w:r>
        <w:rPr>
          <w:rFonts w:hint="eastAsia"/>
          <w:bCs/>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54872909">
      <w:pPr>
        <w:widowControl/>
        <w:adjustRightInd w:val="0"/>
        <w:snapToGrid w:val="0"/>
        <w:spacing w:line="360" w:lineRule="auto"/>
        <w:ind w:firstLine="480" w:firstLineChars="200"/>
        <w:rPr>
          <w:bCs/>
          <w:sz w:val="24"/>
        </w:rPr>
      </w:pPr>
      <w:r>
        <w:rPr>
          <w:rFonts w:hint="eastAsia"/>
          <w:bCs/>
          <w:sz w:val="24"/>
        </w:rPr>
        <w:t>2）基金托管人依据相关法规对《总体合作协议》和《存款协议书》的内容进行复核，审查存款银行资格等。</w:t>
      </w:r>
    </w:p>
    <w:p w14:paraId="0860CDA8">
      <w:pPr>
        <w:widowControl/>
        <w:adjustRightInd w:val="0"/>
        <w:snapToGrid w:val="0"/>
        <w:spacing w:line="360" w:lineRule="auto"/>
        <w:ind w:firstLine="480" w:firstLineChars="200"/>
        <w:rPr>
          <w:bCs/>
          <w:sz w:val="24"/>
        </w:rPr>
      </w:pPr>
      <w:r>
        <w:rPr>
          <w:rFonts w:hint="eastAsia"/>
          <w:bCs/>
          <w:sz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66A04679">
      <w:pPr>
        <w:widowControl/>
        <w:adjustRightInd w:val="0"/>
        <w:snapToGrid w:val="0"/>
        <w:spacing w:line="360" w:lineRule="auto"/>
        <w:ind w:firstLine="480" w:firstLineChars="200"/>
        <w:rPr>
          <w:bCs/>
          <w:sz w:val="24"/>
        </w:rPr>
      </w:pPr>
      <w:r>
        <w:rPr>
          <w:rFonts w:hint="eastAsia"/>
          <w:bCs/>
          <w:sz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0190B3D1">
      <w:pPr>
        <w:widowControl/>
        <w:adjustRightInd w:val="0"/>
        <w:snapToGrid w:val="0"/>
        <w:spacing w:line="360" w:lineRule="auto"/>
        <w:ind w:firstLine="480" w:firstLineChars="200"/>
        <w:rPr>
          <w:bCs/>
          <w:sz w:val="24"/>
        </w:rPr>
      </w:pPr>
      <w:r>
        <w:rPr>
          <w:rFonts w:hint="eastAsia"/>
          <w:bCs/>
          <w:sz w:val="24"/>
        </w:rPr>
        <w:t>5）基金管理人应在《存款协议书》中规定，基金存放到期或提前兑付的资金应全部划转到指定的基金托管账户，并在《存款协议书》写明账户名称和账号，未划入指定账户的，由存款银行承担一切责任。</w:t>
      </w:r>
    </w:p>
    <w:p w14:paraId="2D5467C7">
      <w:pPr>
        <w:widowControl/>
        <w:adjustRightInd w:val="0"/>
        <w:snapToGrid w:val="0"/>
        <w:spacing w:line="360" w:lineRule="auto"/>
        <w:ind w:firstLine="480" w:firstLineChars="200"/>
        <w:rPr>
          <w:bCs/>
          <w:sz w:val="24"/>
        </w:rPr>
      </w:pPr>
      <w:r>
        <w:rPr>
          <w:rFonts w:hint="eastAsia"/>
          <w:bCs/>
          <w:sz w:val="24"/>
        </w:rPr>
        <w:t>6）基金管理人应在《存款协议书》中规定，在存期内，如本基金银行账户、预留印鉴发生变更，基金管理人应及时书面通知存款</w:t>
      </w:r>
      <w:r>
        <w:rPr>
          <w:rFonts w:hint="eastAsia" w:ascii="宋体" w:hAnsi="宋体"/>
          <w:sz w:val="24"/>
        </w:rPr>
        <w:t>银</w:t>
      </w:r>
      <w:r>
        <w:rPr>
          <w:rFonts w:hint="eastAsia"/>
          <w:bCs/>
          <w:sz w:val="24"/>
        </w:rPr>
        <w:t>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r>
        <w:rPr>
          <w:rFonts w:hint="eastAsia" w:ascii="宋体" w:hAnsi="宋体"/>
          <w:sz w:val="24"/>
        </w:rPr>
        <w:t>及基金管理人</w:t>
      </w:r>
      <w:r>
        <w:rPr>
          <w:rFonts w:hint="eastAsia"/>
          <w:bCs/>
          <w:sz w:val="24"/>
        </w:rPr>
        <w:t>。</w:t>
      </w:r>
    </w:p>
    <w:p w14:paraId="4EE2073B">
      <w:pPr>
        <w:widowControl/>
        <w:adjustRightInd w:val="0"/>
        <w:snapToGrid w:val="0"/>
        <w:spacing w:line="360" w:lineRule="auto"/>
        <w:ind w:firstLine="480" w:firstLineChars="200"/>
        <w:rPr>
          <w:bCs/>
          <w:sz w:val="24"/>
        </w:rPr>
      </w:pPr>
      <w:r>
        <w:rPr>
          <w:rFonts w:hint="eastAsia"/>
          <w:bCs/>
          <w:sz w:val="24"/>
        </w:rPr>
        <w:t>7）基金管理人应在《存款协议书》中规定，因定期存款产生的存单不得被质押或以任何方式被抵押，不得用于转让和背书。</w:t>
      </w:r>
    </w:p>
    <w:p w14:paraId="0D5D3A37">
      <w:pPr>
        <w:widowControl/>
        <w:adjustRightInd w:val="0"/>
        <w:snapToGrid w:val="0"/>
        <w:spacing w:line="360" w:lineRule="auto"/>
        <w:ind w:firstLine="480" w:firstLineChars="200"/>
        <w:rPr>
          <w:bCs/>
          <w:sz w:val="24"/>
        </w:rPr>
      </w:pPr>
      <w:r>
        <w:rPr>
          <w:rFonts w:hint="eastAsia"/>
          <w:bCs/>
          <w:sz w:val="24"/>
        </w:rPr>
        <w:t>（2）基金投资银行存款时的账户开设与管理</w:t>
      </w:r>
    </w:p>
    <w:p w14:paraId="666CD2C1">
      <w:pPr>
        <w:widowControl/>
        <w:adjustRightInd w:val="0"/>
        <w:snapToGrid w:val="0"/>
        <w:spacing w:line="360" w:lineRule="auto"/>
        <w:ind w:firstLine="480" w:firstLineChars="200"/>
        <w:rPr>
          <w:bCs/>
          <w:sz w:val="24"/>
        </w:rPr>
      </w:pPr>
      <w:r>
        <w:rPr>
          <w:rFonts w:hint="eastAsia"/>
          <w:bCs/>
          <w:sz w:val="24"/>
        </w:rPr>
        <w:t>1）基金投资于银行存款时，基金管理人应当依据基金管理人与存款银行签订的《总体合作协议》、《存款协议书》等，以基金的名义在存款银行总行或授权分行指定的分支机构开立银行账户。</w:t>
      </w:r>
    </w:p>
    <w:p w14:paraId="4A665879">
      <w:pPr>
        <w:widowControl/>
        <w:adjustRightInd w:val="0"/>
        <w:snapToGrid w:val="0"/>
        <w:spacing w:line="360" w:lineRule="auto"/>
        <w:ind w:firstLine="480" w:firstLineChars="200"/>
        <w:rPr>
          <w:bCs/>
          <w:sz w:val="24"/>
        </w:rPr>
      </w:pPr>
      <w:r>
        <w:rPr>
          <w:rFonts w:hint="eastAsia"/>
          <w:bCs/>
          <w:sz w:val="24"/>
        </w:rPr>
        <w:t>2）基金投资于银行存款时的预留印鉴由基金托管人保管和使用。</w:t>
      </w:r>
    </w:p>
    <w:p w14:paraId="6512F7A8">
      <w:pPr>
        <w:widowControl/>
        <w:adjustRightInd w:val="0"/>
        <w:snapToGrid w:val="0"/>
        <w:spacing w:line="360" w:lineRule="auto"/>
        <w:ind w:firstLine="480" w:firstLineChars="200"/>
        <w:rPr>
          <w:bCs/>
          <w:sz w:val="24"/>
        </w:rPr>
      </w:pPr>
      <w:r>
        <w:rPr>
          <w:rFonts w:hint="eastAsia"/>
          <w:bCs/>
          <w:sz w:val="24"/>
        </w:rPr>
        <w:t>（3）存款凭证传递、账目核对及到期兑付</w:t>
      </w:r>
    </w:p>
    <w:p w14:paraId="3CA619BB">
      <w:pPr>
        <w:widowControl/>
        <w:adjustRightInd w:val="0"/>
        <w:snapToGrid w:val="0"/>
        <w:spacing w:line="360" w:lineRule="auto"/>
        <w:ind w:firstLine="480" w:firstLineChars="200"/>
        <w:rPr>
          <w:bCs/>
          <w:sz w:val="24"/>
        </w:rPr>
      </w:pPr>
      <w:r>
        <w:rPr>
          <w:rFonts w:hint="eastAsia"/>
          <w:bCs/>
          <w:sz w:val="24"/>
        </w:rPr>
        <w:t>1）存款证实书等存款凭证传递</w:t>
      </w:r>
    </w:p>
    <w:p w14:paraId="7C7ED8D9">
      <w:pPr>
        <w:widowControl/>
        <w:adjustRightInd w:val="0"/>
        <w:snapToGrid w:val="0"/>
        <w:spacing w:line="360" w:lineRule="auto"/>
        <w:ind w:firstLine="480" w:firstLineChars="200"/>
        <w:rPr>
          <w:bCs/>
          <w:sz w:val="24"/>
        </w:rPr>
      </w:pPr>
      <w:r>
        <w:rPr>
          <w:rFonts w:hint="eastAsia"/>
          <w:bCs/>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EC16BB6">
      <w:pPr>
        <w:widowControl/>
        <w:adjustRightInd w:val="0"/>
        <w:snapToGrid w:val="0"/>
        <w:spacing w:line="360" w:lineRule="auto"/>
        <w:ind w:firstLine="480" w:firstLineChars="200"/>
        <w:rPr>
          <w:bCs/>
          <w:sz w:val="24"/>
        </w:rPr>
      </w:pPr>
      <w:r>
        <w:rPr>
          <w:rFonts w:hint="eastAsia"/>
          <w:bCs/>
          <w:sz w:val="24"/>
        </w:rPr>
        <w:t>2）存款凭证的遗失补办</w:t>
      </w:r>
    </w:p>
    <w:p w14:paraId="73F63FEC">
      <w:pPr>
        <w:widowControl/>
        <w:adjustRightInd w:val="0"/>
        <w:snapToGrid w:val="0"/>
        <w:spacing w:line="360" w:lineRule="auto"/>
        <w:ind w:firstLine="480" w:firstLineChars="200"/>
        <w:rPr>
          <w:bCs/>
          <w:sz w:val="24"/>
        </w:rPr>
      </w:pPr>
      <w:r>
        <w:rPr>
          <w:rFonts w:hint="eastAsia"/>
          <w:bCs/>
          <w:sz w:val="24"/>
        </w:rPr>
        <w:t>存款凭证在邮寄过程中遗失的，由基金管理人向存款银行提出补办申请，基金管理人应督促存款银行尽快补办存款凭证，并按以上1）的方式快递或上门交付至基金托管人，原存款凭证自动作废。</w:t>
      </w:r>
    </w:p>
    <w:p w14:paraId="0CE3351C">
      <w:pPr>
        <w:widowControl/>
        <w:adjustRightInd w:val="0"/>
        <w:snapToGrid w:val="0"/>
        <w:spacing w:line="360" w:lineRule="auto"/>
        <w:ind w:firstLine="480" w:firstLineChars="200"/>
        <w:rPr>
          <w:bCs/>
          <w:sz w:val="24"/>
        </w:rPr>
      </w:pPr>
      <w:r>
        <w:rPr>
          <w:rFonts w:hint="eastAsia"/>
          <w:bCs/>
          <w:sz w:val="24"/>
        </w:rPr>
        <w:t>3）账目核对</w:t>
      </w:r>
    </w:p>
    <w:p w14:paraId="7FDD9BF3">
      <w:pPr>
        <w:widowControl/>
        <w:adjustRightInd w:val="0"/>
        <w:snapToGrid w:val="0"/>
        <w:spacing w:line="360" w:lineRule="auto"/>
        <w:ind w:firstLine="480" w:firstLineChars="200"/>
        <w:rPr>
          <w:bCs/>
          <w:sz w:val="24"/>
        </w:rPr>
      </w:pPr>
      <w:r>
        <w:rPr>
          <w:rFonts w:hint="eastAsia"/>
          <w:bCs/>
          <w:sz w:val="24"/>
        </w:rPr>
        <w:t>每个工作日，基金管理人应与基金托管人核对各项银行存款投资余额及应计利息。</w:t>
      </w:r>
    </w:p>
    <w:p w14:paraId="30DB6500">
      <w:pPr>
        <w:widowControl/>
        <w:adjustRightInd w:val="0"/>
        <w:snapToGrid w:val="0"/>
        <w:spacing w:line="360" w:lineRule="auto"/>
        <w:ind w:firstLine="480" w:firstLineChars="200"/>
        <w:rPr>
          <w:bCs/>
          <w:sz w:val="24"/>
        </w:rPr>
      </w:pPr>
      <w:r>
        <w:rPr>
          <w:rFonts w:hint="eastAsia"/>
          <w:bCs/>
          <w:sz w:val="24"/>
        </w:rPr>
        <w:t>基金管理人应在《存款协议书》中规定，对于存期超过3个月的定期存款，基金托管人于每季度向存款银行发起查询查复，存款银行应按照</w:t>
      </w:r>
      <w:r>
        <w:rPr>
          <w:rFonts w:hint="eastAsia" w:ascii="宋体" w:hAnsi="宋体"/>
          <w:sz w:val="24"/>
        </w:rPr>
        <w:t>中国人民银行</w:t>
      </w:r>
      <w:r>
        <w:rPr>
          <w:rFonts w:hint="eastAsia"/>
          <w:bCs/>
          <w:sz w:val="24"/>
        </w:rPr>
        <w:t>查询查复的有关时限要求及时回复。基金管理人有责任督促存款银行及时回复查询查复。因存款银行未及时回复造成的资金被挪用、盗取的责任由存款银行承担。</w:t>
      </w:r>
    </w:p>
    <w:p w14:paraId="557E3469">
      <w:pPr>
        <w:widowControl/>
        <w:adjustRightInd w:val="0"/>
        <w:snapToGrid w:val="0"/>
        <w:spacing w:line="360" w:lineRule="auto"/>
        <w:ind w:firstLine="480" w:firstLineChars="200"/>
        <w:rPr>
          <w:bCs/>
          <w:sz w:val="24"/>
        </w:rPr>
      </w:pPr>
      <w:r>
        <w:rPr>
          <w:rFonts w:hint="eastAsia"/>
          <w:bCs/>
          <w:sz w:val="24"/>
        </w:rPr>
        <w:t>存款银行应配合基金托管人对存款凭证的询证，并在询证函上加盖存款银行公章寄送至基金托管人指定联系人。</w:t>
      </w:r>
    </w:p>
    <w:p w14:paraId="2B6994F5">
      <w:pPr>
        <w:widowControl/>
        <w:adjustRightInd w:val="0"/>
        <w:snapToGrid w:val="0"/>
        <w:spacing w:line="360" w:lineRule="auto"/>
        <w:ind w:firstLine="480" w:firstLineChars="200"/>
        <w:rPr>
          <w:bCs/>
          <w:sz w:val="24"/>
        </w:rPr>
      </w:pPr>
      <w:r>
        <w:rPr>
          <w:rFonts w:hint="eastAsia"/>
          <w:bCs/>
          <w:sz w:val="24"/>
        </w:rPr>
        <w:t>4）到期兑付</w:t>
      </w:r>
    </w:p>
    <w:p w14:paraId="6404A30D">
      <w:pPr>
        <w:widowControl/>
        <w:adjustRightInd w:val="0"/>
        <w:snapToGrid w:val="0"/>
        <w:spacing w:line="360" w:lineRule="auto"/>
        <w:ind w:firstLine="480" w:firstLineChars="200"/>
        <w:rPr>
          <w:bCs/>
          <w:sz w:val="24"/>
        </w:rPr>
      </w:pPr>
      <w:r>
        <w:rPr>
          <w:rFonts w:hint="eastAsia"/>
          <w:bCs/>
          <w:sz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14322473">
      <w:pPr>
        <w:widowControl/>
        <w:adjustRightInd w:val="0"/>
        <w:snapToGrid w:val="0"/>
        <w:spacing w:line="360" w:lineRule="auto"/>
        <w:ind w:firstLine="480" w:firstLineChars="200"/>
        <w:rPr>
          <w:bCs/>
          <w:sz w:val="24"/>
        </w:rPr>
      </w:pPr>
      <w:r>
        <w:rPr>
          <w:rFonts w:hint="eastAsia"/>
          <w:bCs/>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5065F103">
      <w:pPr>
        <w:widowControl/>
        <w:adjustRightInd w:val="0"/>
        <w:snapToGrid w:val="0"/>
        <w:spacing w:line="360" w:lineRule="auto"/>
        <w:ind w:firstLine="480" w:firstLineChars="200"/>
        <w:rPr>
          <w:bCs/>
          <w:sz w:val="24"/>
        </w:rPr>
      </w:pPr>
      <w:r>
        <w:rPr>
          <w:rFonts w:hint="eastAsia"/>
          <w:bCs/>
          <w:sz w:val="24"/>
        </w:rPr>
        <w:t>基金管理人应在《存款协议书》中规定，存款凭证在邮寄过程中遗失的，存款银行应立即通知基金托管人</w:t>
      </w:r>
      <w:r>
        <w:rPr>
          <w:rFonts w:hint="eastAsia" w:ascii="宋体" w:hAnsi="宋体"/>
          <w:sz w:val="24"/>
        </w:rPr>
        <w:t>及基金管理人</w:t>
      </w:r>
      <w:r>
        <w:rPr>
          <w:rFonts w:hint="eastAsia"/>
          <w:bCs/>
          <w:sz w:val="24"/>
        </w:rPr>
        <w:t>，基金托管人在原存款凭证复印件上加盖公章并出具相关证明文件后，与存款银行指定会计主管电话确认后，存款银行应在到期日将存款本息划至指定的基金资金账户。</w:t>
      </w:r>
    </w:p>
    <w:p w14:paraId="52CB7A92">
      <w:pPr>
        <w:widowControl/>
        <w:adjustRightInd w:val="0"/>
        <w:snapToGrid w:val="0"/>
        <w:spacing w:line="360" w:lineRule="auto"/>
        <w:ind w:firstLine="480" w:firstLineChars="200"/>
        <w:rPr>
          <w:bCs/>
          <w:sz w:val="24"/>
        </w:rPr>
      </w:pPr>
      <w:r>
        <w:rPr>
          <w:rFonts w:hint="eastAsia"/>
          <w:bCs/>
          <w:sz w:val="24"/>
        </w:rPr>
        <w:t>如果存款到期日为法定节假日，存款银行顺延至到期后第一个工作日支付，存款银行需按原协议约定利率和实际延期天数支付延期利息。</w:t>
      </w:r>
    </w:p>
    <w:p w14:paraId="713126E0">
      <w:pPr>
        <w:widowControl/>
        <w:adjustRightInd w:val="0"/>
        <w:snapToGrid w:val="0"/>
        <w:spacing w:line="360" w:lineRule="auto"/>
        <w:ind w:firstLine="480" w:firstLineChars="200"/>
        <w:rPr>
          <w:bCs/>
          <w:sz w:val="24"/>
        </w:rPr>
      </w:pPr>
      <w:r>
        <w:rPr>
          <w:rFonts w:hint="eastAsia"/>
          <w:bCs/>
          <w:sz w:val="24"/>
        </w:rPr>
        <w:t>（4）提前支取</w:t>
      </w:r>
    </w:p>
    <w:p w14:paraId="07063CE5">
      <w:pPr>
        <w:widowControl/>
        <w:adjustRightInd w:val="0"/>
        <w:snapToGrid w:val="0"/>
        <w:spacing w:line="360" w:lineRule="auto"/>
        <w:ind w:firstLine="480" w:firstLineChars="200"/>
        <w:rPr>
          <w:bCs/>
          <w:sz w:val="24"/>
        </w:rPr>
      </w:pPr>
      <w:r>
        <w:rPr>
          <w:rFonts w:hint="eastAsia"/>
          <w:bCs/>
          <w:sz w:val="24"/>
        </w:rPr>
        <w:t>如果在存款期限内，由于基金规模发生缩减的原因或者出于流动性管理的需要等原因，基金管理人可以提前支取全部或部分资金。</w:t>
      </w:r>
    </w:p>
    <w:p w14:paraId="2E82C8EB">
      <w:pPr>
        <w:widowControl/>
        <w:adjustRightInd w:val="0"/>
        <w:snapToGrid w:val="0"/>
        <w:spacing w:line="360" w:lineRule="auto"/>
        <w:ind w:firstLine="480" w:firstLineChars="200"/>
        <w:rPr>
          <w:bCs/>
          <w:sz w:val="24"/>
        </w:rPr>
      </w:pPr>
      <w:r>
        <w:rPr>
          <w:rFonts w:hint="eastAsia"/>
          <w:bCs/>
          <w:sz w:val="24"/>
        </w:rPr>
        <w:t>提前支取的具体事项按照基金管理人与存款银行签订的《存款协议书》执行。</w:t>
      </w:r>
    </w:p>
    <w:p w14:paraId="3F5A3B87">
      <w:pPr>
        <w:widowControl/>
        <w:adjustRightInd w:val="0"/>
        <w:snapToGrid w:val="0"/>
        <w:spacing w:line="360" w:lineRule="auto"/>
        <w:ind w:firstLine="480" w:firstLineChars="200"/>
        <w:rPr>
          <w:bCs/>
          <w:sz w:val="24"/>
        </w:rPr>
      </w:pPr>
      <w:r>
        <w:rPr>
          <w:rFonts w:hint="eastAsia"/>
          <w:bCs/>
          <w:sz w:val="24"/>
        </w:rPr>
        <w:t>（5）基金投资银行存款的监督</w:t>
      </w:r>
    </w:p>
    <w:p w14:paraId="730578AE">
      <w:pPr>
        <w:widowControl/>
        <w:adjustRightInd w:val="0"/>
        <w:snapToGrid w:val="0"/>
        <w:spacing w:line="360" w:lineRule="auto"/>
        <w:ind w:firstLine="480" w:firstLineChars="200"/>
        <w:rPr>
          <w:bCs/>
          <w:sz w:val="24"/>
        </w:rPr>
      </w:pPr>
      <w:r>
        <w:rPr>
          <w:rFonts w:hint="eastAsia"/>
          <w:bCs/>
          <w:sz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w:t>
      </w:r>
      <w:r>
        <w:rPr>
          <w:rFonts w:hint="eastAsia" w:ascii="宋体" w:hAnsi="宋体"/>
          <w:sz w:val="24"/>
        </w:rPr>
        <w:t>任何</w:t>
      </w:r>
      <w:r>
        <w:rPr>
          <w:rFonts w:hint="eastAsia"/>
          <w:bCs/>
          <w:sz w:val="24"/>
        </w:rPr>
        <w:t>责任。</w:t>
      </w:r>
    </w:p>
    <w:p w14:paraId="71ACDDAE">
      <w:pPr>
        <w:widowControl/>
        <w:adjustRightInd w:val="0"/>
        <w:snapToGrid w:val="0"/>
        <w:spacing w:line="360" w:lineRule="auto"/>
        <w:ind w:firstLine="480" w:firstLineChars="200"/>
        <w:rPr>
          <w:bCs/>
          <w:sz w:val="24"/>
        </w:rPr>
      </w:pPr>
      <w:r>
        <w:rPr>
          <w:rFonts w:hint="eastAsia"/>
          <w:bCs/>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17CEFA73">
      <w:pPr>
        <w:widowControl/>
        <w:adjustRightInd w:val="0"/>
        <w:snapToGrid w:val="0"/>
        <w:spacing w:line="360" w:lineRule="auto"/>
        <w:ind w:firstLine="480" w:firstLineChars="200"/>
        <w:rPr>
          <w:bCs/>
          <w:sz w:val="24"/>
        </w:rPr>
      </w:pPr>
      <w:r>
        <w:rPr>
          <w:rFonts w:hint="eastAsia"/>
          <w:bCs/>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1A0A0CC">
      <w:pPr>
        <w:widowControl/>
        <w:adjustRightInd w:val="0"/>
        <w:snapToGrid w:val="0"/>
        <w:spacing w:line="360" w:lineRule="auto"/>
        <w:ind w:firstLine="480" w:firstLineChars="200"/>
        <w:rPr>
          <w:bCs/>
          <w:sz w:val="24"/>
        </w:rPr>
      </w:pPr>
      <w:r>
        <w:rPr>
          <w:rFonts w:hint="eastAsia"/>
          <w:bCs/>
          <w:sz w:val="24"/>
        </w:rPr>
        <w:t>5、本基金投资流通受限证券，应遵守《关于基金投资非公开发行股票等流通受限证券有关问题的通知》等有关监管规定。</w:t>
      </w:r>
    </w:p>
    <w:p w14:paraId="642DB805">
      <w:pPr>
        <w:widowControl/>
        <w:adjustRightInd w:val="0"/>
        <w:snapToGrid w:val="0"/>
        <w:spacing w:line="360" w:lineRule="auto"/>
        <w:ind w:firstLine="480" w:firstLineChars="200"/>
        <w:rPr>
          <w:bCs/>
          <w:sz w:val="24"/>
        </w:rPr>
      </w:pPr>
      <w:r>
        <w:rPr>
          <w:rFonts w:hint="eastAsia"/>
          <w:bCs/>
          <w:sz w:val="24"/>
        </w:rPr>
        <w:t>（1）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7F9D9084">
      <w:pPr>
        <w:widowControl/>
        <w:adjustRightInd w:val="0"/>
        <w:snapToGrid w:val="0"/>
        <w:spacing w:line="360" w:lineRule="auto"/>
        <w:ind w:firstLine="480" w:firstLineChars="200"/>
        <w:rPr>
          <w:bCs/>
          <w:sz w:val="24"/>
        </w:rPr>
      </w:pPr>
      <w:r>
        <w:rPr>
          <w:rFonts w:hint="eastAsia"/>
          <w:bCs/>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5F80D96A">
      <w:pPr>
        <w:widowControl/>
        <w:adjustRightInd w:val="0"/>
        <w:snapToGrid w:val="0"/>
        <w:spacing w:line="360" w:lineRule="auto"/>
        <w:ind w:firstLine="480" w:firstLineChars="200"/>
        <w:rPr>
          <w:bCs/>
          <w:sz w:val="24"/>
        </w:rPr>
      </w:pPr>
      <w:r>
        <w:rPr>
          <w:rFonts w:hint="eastAsia"/>
          <w:bCs/>
          <w:sz w:val="24"/>
        </w:rPr>
        <w:t>本基金不得投资未经中国证监会批准的非公开发行证券。</w:t>
      </w:r>
    </w:p>
    <w:p w14:paraId="640B68AA">
      <w:pPr>
        <w:widowControl/>
        <w:adjustRightInd w:val="0"/>
        <w:snapToGrid w:val="0"/>
        <w:spacing w:line="360" w:lineRule="auto"/>
        <w:ind w:firstLine="480" w:firstLineChars="200"/>
        <w:rPr>
          <w:bCs/>
          <w:sz w:val="24"/>
        </w:rPr>
      </w:pPr>
      <w:r>
        <w:rPr>
          <w:rFonts w:hint="eastAsia"/>
          <w:bCs/>
          <w:sz w:val="24"/>
        </w:rPr>
        <w:t>本基金不得投资有锁定期但锁定期不明确的证券。</w:t>
      </w:r>
    </w:p>
    <w:p w14:paraId="412E9758">
      <w:pPr>
        <w:widowControl/>
        <w:adjustRightInd w:val="0"/>
        <w:snapToGrid w:val="0"/>
        <w:spacing w:line="360" w:lineRule="auto"/>
        <w:ind w:firstLine="480" w:firstLineChars="200"/>
        <w:rPr>
          <w:bCs/>
          <w:sz w:val="24"/>
        </w:rPr>
      </w:pPr>
      <w:r>
        <w:rPr>
          <w:rFonts w:hint="eastAsia"/>
          <w:bCs/>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C18F490">
      <w:pPr>
        <w:widowControl/>
        <w:adjustRightInd w:val="0"/>
        <w:snapToGrid w:val="0"/>
        <w:spacing w:line="360" w:lineRule="auto"/>
        <w:ind w:firstLine="480" w:firstLineChars="200"/>
        <w:rPr>
          <w:bCs/>
          <w:sz w:val="24"/>
        </w:rPr>
      </w:pPr>
      <w:r>
        <w:rPr>
          <w:rFonts w:hint="eastAsia"/>
          <w:bCs/>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C002008">
      <w:pPr>
        <w:widowControl/>
        <w:adjustRightInd w:val="0"/>
        <w:snapToGrid w:val="0"/>
        <w:spacing w:line="360" w:lineRule="auto"/>
        <w:ind w:firstLine="480" w:firstLineChars="200"/>
        <w:rPr>
          <w:bCs/>
          <w:sz w:val="24"/>
        </w:rPr>
      </w:pPr>
      <w:r>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w:t>
      </w:r>
      <w:r>
        <w:rPr>
          <w:rFonts w:hint="eastAsia" w:ascii="宋体" w:hAnsi="宋体"/>
          <w:sz w:val="24"/>
        </w:rPr>
        <w:t>相应</w:t>
      </w:r>
      <w:r>
        <w:rPr>
          <w:rFonts w:hint="eastAsia"/>
          <w:bCs/>
          <w:sz w:val="24"/>
        </w:rPr>
        <w:t>损失。对本基金因投资流通受限证券导致的流动性风险，基金托管人不承担任何责任。</w:t>
      </w:r>
    </w:p>
    <w:p w14:paraId="675DF8C2">
      <w:pPr>
        <w:widowControl/>
        <w:adjustRightInd w:val="0"/>
        <w:snapToGrid w:val="0"/>
        <w:spacing w:line="360" w:lineRule="auto"/>
        <w:ind w:firstLine="480" w:firstLineChars="200"/>
        <w:rPr>
          <w:bCs/>
          <w:sz w:val="24"/>
        </w:rPr>
      </w:pPr>
      <w:r>
        <w:rPr>
          <w:rFonts w:hint="eastAsia"/>
          <w:bCs/>
          <w:sz w:val="24"/>
        </w:rPr>
        <w:t>（3）基金投资</w:t>
      </w:r>
      <w:r>
        <w:rPr>
          <w:rFonts w:hint="eastAsia" w:ascii="宋体" w:hAnsi="宋体"/>
          <w:sz w:val="24"/>
        </w:rPr>
        <w:t>非公开发行股票</w:t>
      </w:r>
      <w:r>
        <w:rPr>
          <w:rFonts w:hint="eastAsia"/>
          <w:bCs/>
          <w:sz w:val="24"/>
        </w:rPr>
        <w:t>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383C891F">
      <w:pPr>
        <w:widowControl/>
        <w:adjustRightInd w:val="0"/>
        <w:snapToGrid w:val="0"/>
        <w:spacing w:line="360" w:lineRule="auto"/>
        <w:ind w:firstLine="480" w:firstLineChars="200"/>
        <w:rPr>
          <w:bCs/>
          <w:sz w:val="24"/>
        </w:rPr>
      </w:pPr>
      <w:r>
        <w:rPr>
          <w:rFonts w:hint="eastAsia"/>
          <w:bCs/>
          <w:sz w:val="24"/>
        </w:rPr>
        <w:t>由于基金管理人未及时提供有关证券的具体的必要的信息，致使基金托管人无法审核认购指令而影响认购款项划拨的，基金托管人免于承担责任。</w:t>
      </w:r>
    </w:p>
    <w:p w14:paraId="3CDBCA70">
      <w:pPr>
        <w:widowControl/>
        <w:adjustRightInd w:val="0"/>
        <w:snapToGrid w:val="0"/>
        <w:spacing w:line="360" w:lineRule="auto"/>
        <w:ind w:firstLine="480" w:firstLineChars="200"/>
        <w:rPr>
          <w:bCs/>
          <w:sz w:val="24"/>
        </w:rPr>
      </w:pPr>
      <w:r>
        <w:rPr>
          <w:rFonts w:hint="eastAsia"/>
          <w:bCs/>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6467103">
      <w:pPr>
        <w:widowControl/>
        <w:adjustRightInd w:val="0"/>
        <w:snapToGrid w:val="0"/>
        <w:spacing w:line="360" w:lineRule="auto"/>
        <w:ind w:firstLine="480" w:firstLineChars="200"/>
        <w:rPr>
          <w:bCs/>
          <w:sz w:val="24"/>
        </w:rPr>
      </w:pPr>
      <w:r>
        <w:rPr>
          <w:rFonts w:hint="eastAsia"/>
          <w:bCs/>
          <w:sz w:val="24"/>
        </w:rPr>
        <w:t>（5）</w:t>
      </w:r>
      <w:r>
        <w:rPr>
          <w:rFonts w:ascii="宋体" w:hAnsi="宋体"/>
          <w:sz w:val="24"/>
        </w:rPr>
        <w:t>基金管理</w:t>
      </w:r>
      <w:r>
        <w:rPr>
          <w:rFonts w:hint="eastAsia" w:ascii="宋体" w:hAnsi="宋体"/>
          <w:sz w:val="24"/>
        </w:rPr>
        <w:t>人</w:t>
      </w:r>
      <w:r>
        <w:rPr>
          <w:rFonts w:ascii="宋体" w:hAnsi="宋体"/>
          <w:sz w:val="24"/>
        </w:rPr>
        <w:t>应在基金投资非公开发行股票后</w:t>
      </w:r>
      <w:r>
        <w:rPr>
          <w:rFonts w:hint="eastAsia" w:ascii="宋体" w:hAnsi="宋体"/>
          <w:sz w:val="24"/>
        </w:rPr>
        <w:t>按照法律法规规定的期限，</w:t>
      </w:r>
      <w:r>
        <w:rPr>
          <w:rFonts w:ascii="宋体" w:hAnsi="宋体"/>
          <w:sz w:val="24"/>
        </w:rPr>
        <w:t>在中国证监会</w:t>
      </w:r>
      <w:r>
        <w:rPr>
          <w:rFonts w:hint="eastAsia" w:ascii="宋体" w:hAnsi="宋体"/>
          <w:sz w:val="24"/>
        </w:rPr>
        <w:t>规定</w:t>
      </w:r>
      <w:r>
        <w:rPr>
          <w:rFonts w:ascii="宋体" w:hAnsi="宋体"/>
          <w:sz w:val="24"/>
        </w:rPr>
        <w:t>媒介披露所投资非公开发行股票的名称、数量、总成本、账面价值</w:t>
      </w:r>
      <w:r>
        <w:rPr>
          <w:rFonts w:hint="eastAsia" w:ascii="宋体" w:hAnsi="宋体"/>
          <w:sz w:val="24"/>
        </w:rPr>
        <w:t>，</w:t>
      </w:r>
      <w:r>
        <w:rPr>
          <w:rFonts w:ascii="宋体" w:hAnsi="宋体"/>
          <w:sz w:val="24"/>
        </w:rPr>
        <w:t>以及总成本和账面价值占基金资产净值的比例、锁定期等信息。</w:t>
      </w:r>
    </w:p>
    <w:p w14:paraId="06173D1E">
      <w:pPr>
        <w:widowControl/>
        <w:adjustRightInd w:val="0"/>
        <w:snapToGrid w:val="0"/>
        <w:spacing w:line="360" w:lineRule="auto"/>
        <w:ind w:firstLine="480" w:firstLineChars="200"/>
        <w:rPr>
          <w:bCs/>
          <w:sz w:val="24"/>
        </w:rPr>
      </w:pPr>
      <w:r>
        <w:rPr>
          <w:rFonts w:hint="eastAsia"/>
          <w:bCs/>
          <w:sz w:val="24"/>
        </w:rPr>
        <w:t>6、基金管理人应当对投资中期票据业务进行研究，认真评估中期票据投资业务的风险，本着审慎、勤勉尽责的原则进行中期票据的投资业务，并应符合法律法规及监管机构的相关规定。</w:t>
      </w:r>
    </w:p>
    <w:p w14:paraId="49F98127">
      <w:pPr>
        <w:widowControl/>
        <w:adjustRightInd w:val="0"/>
        <w:snapToGrid w:val="0"/>
        <w:spacing w:line="360" w:lineRule="auto"/>
        <w:ind w:firstLine="480" w:firstLineChars="200"/>
        <w:rPr>
          <w:bCs/>
          <w:sz w:val="24"/>
        </w:rPr>
      </w:pPr>
      <w:r>
        <w:rPr>
          <w:rFonts w:hint="eastAsia"/>
          <w:bCs/>
          <w:sz w:val="24"/>
        </w:rPr>
        <w:t>7、本基金</w:t>
      </w:r>
      <w:r>
        <w:rPr>
          <w:rFonts w:hint="eastAsia" w:ascii="宋体" w:hAnsi="宋体"/>
          <w:sz w:val="24"/>
        </w:rPr>
        <w:t>如</w:t>
      </w:r>
      <w:r>
        <w:rPr>
          <w:rFonts w:hint="eastAsia"/>
          <w:bCs/>
          <w:sz w:val="24"/>
        </w:rPr>
        <w:t>通过第三方基金销售机构投资开放式基金，基金管理人负责选择销售机构，并确保在销售机构预留的备案回款账户为本基金托管账户。</w:t>
      </w:r>
    </w:p>
    <w:p w14:paraId="5ED40C74">
      <w:pPr>
        <w:widowControl/>
        <w:adjustRightInd w:val="0"/>
        <w:snapToGrid w:val="0"/>
        <w:spacing w:line="360" w:lineRule="auto"/>
        <w:ind w:firstLine="480" w:firstLineChars="200"/>
        <w:rPr>
          <w:bCs/>
          <w:sz w:val="24"/>
        </w:rPr>
      </w:pPr>
      <w:r>
        <w:rPr>
          <w:rFonts w:hint="eastAsia"/>
          <w:bCs/>
          <w:sz w:val="24"/>
        </w:rPr>
        <w:t>8、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3AF74EFD">
      <w:pPr>
        <w:widowControl/>
        <w:adjustRightInd w:val="0"/>
        <w:snapToGrid w:val="0"/>
        <w:spacing w:line="360" w:lineRule="auto"/>
        <w:ind w:firstLine="480" w:firstLineChars="200"/>
        <w:rPr>
          <w:bCs/>
          <w:sz w:val="24"/>
        </w:rPr>
      </w:pPr>
      <w:r>
        <w:rPr>
          <w:bCs/>
          <w:sz w:val="24"/>
        </w:rPr>
        <w:t>9</w:t>
      </w:r>
      <w:r>
        <w:rPr>
          <w:rFonts w:hint="eastAsia"/>
          <w:bCs/>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47BB0B37">
      <w:pPr>
        <w:widowControl/>
        <w:adjustRightInd w:val="0"/>
        <w:snapToGrid w:val="0"/>
        <w:spacing w:line="360" w:lineRule="auto"/>
        <w:ind w:firstLine="480" w:firstLineChars="200"/>
        <w:rPr>
          <w:bCs/>
          <w:sz w:val="24"/>
        </w:rPr>
      </w:pPr>
      <w:r>
        <w:rPr>
          <w:rFonts w:hint="eastAsia"/>
          <w:bCs/>
          <w:sz w:val="24"/>
        </w:rPr>
        <w:t>10、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677332D6">
      <w:pPr>
        <w:widowControl/>
        <w:adjustRightInd w:val="0"/>
        <w:snapToGrid w:val="0"/>
        <w:spacing w:line="360" w:lineRule="auto"/>
        <w:ind w:firstLine="480" w:firstLineChars="200"/>
        <w:rPr>
          <w:bCs/>
          <w:sz w:val="24"/>
        </w:rPr>
      </w:pPr>
      <w:r>
        <w:rPr>
          <w:bCs/>
          <w:sz w:val="24"/>
        </w:rPr>
        <w:t>11</w:t>
      </w:r>
      <w:r>
        <w:rPr>
          <w:rFonts w:hint="eastAsia"/>
          <w:bCs/>
          <w:sz w:val="24"/>
        </w:rPr>
        <w:t>、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2E4FBF23">
      <w:pPr>
        <w:widowControl/>
        <w:adjustRightInd w:val="0"/>
        <w:snapToGrid w:val="0"/>
        <w:spacing w:line="360" w:lineRule="auto"/>
        <w:ind w:firstLine="480" w:firstLineChars="200"/>
        <w:rPr>
          <w:bCs/>
          <w:sz w:val="24"/>
        </w:rPr>
      </w:pPr>
      <w:r>
        <w:rPr>
          <w:bCs/>
          <w:sz w:val="24"/>
        </w:rPr>
        <w:t>12</w:t>
      </w:r>
      <w:r>
        <w:rPr>
          <w:rFonts w:hint="eastAsia"/>
          <w:bCs/>
          <w:sz w:val="24"/>
        </w:rPr>
        <w:t>、基金托管人发现基金管理人有重大违规行为，应及时报告中国证监会，同时通知基金管理人限期纠正。</w:t>
      </w:r>
    </w:p>
    <w:p w14:paraId="07079A04">
      <w:pPr>
        <w:widowControl/>
        <w:adjustRightInd w:val="0"/>
        <w:snapToGrid w:val="0"/>
        <w:spacing w:line="360" w:lineRule="auto"/>
        <w:ind w:firstLine="480" w:firstLineChars="200"/>
        <w:rPr>
          <w:bCs/>
          <w:sz w:val="24"/>
        </w:rPr>
      </w:pPr>
      <w:r>
        <w:rPr>
          <w:bCs/>
          <w:sz w:val="24"/>
        </w:rPr>
        <w:t>13</w:t>
      </w:r>
      <w:r>
        <w:rPr>
          <w:rFonts w:hint="eastAsia"/>
          <w:bCs/>
          <w:sz w:val="24"/>
        </w:rPr>
        <w:t>、侧袋机制的实施和投资运作安排</w:t>
      </w:r>
    </w:p>
    <w:p w14:paraId="22CF1166">
      <w:pPr>
        <w:widowControl/>
        <w:adjustRightInd w:val="0"/>
        <w:snapToGrid w:val="0"/>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009DC74">
      <w:pPr>
        <w:widowControl/>
        <w:adjustRightInd w:val="0"/>
        <w:snapToGrid w:val="0"/>
        <w:spacing w:line="360" w:lineRule="auto"/>
        <w:ind w:firstLine="480" w:firstLineChars="200"/>
        <w:rPr>
          <w:bCs/>
          <w:sz w:val="24"/>
        </w:rPr>
      </w:pPr>
      <w:r>
        <w:rPr>
          <w:rFonts w:hint="eastAsia"/>
          <w:bCs/>
          <w:sz w:val="24"/>
        </w:rPr>
        <w:t>侧袋机制实施期间，基金合同约定的投资组合比例、投资策略、组合限制、业绩比较基准、风险收益特征等约定仅适用于主袋账户。</w:t>
      </w:r>
    </w:p>
    <w:p w14:paraId="6A256849">
      <w:pPr>
        <w:widowControl/>
        <w:adjustRightInd w:val="0"/>
        <w:snapToGrid w:val="0"/>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146B31A6">
      <w:pPr>
        <w:widowControl/>
        <w:adjustRightInd w:val="0"/>
        <w:snapToGrid w:val="0"/>
        <w:spacing w:line="360" w:lineRule="auto"/>
        <w:ind w:firstLine="482" w:firstLineChars="200"/>
        <w:rPr>
          <w:b/>
          <w:kern w:val="0"/>
          <w:sz w:val="24"/>
        </w:rPr>
      </w:pPr>
      <w:r>
        <w:rPr>
          <w:b/>
          <w:kern w:val="0"/>
          <w:sz w:val="24"/>
        </w:rPr>
        <w:t>（三）基金管理人对基金托管人的业务核查</w:t>
      </w:r>
    </w:p>
    <w:p w14:paraId="6852781B">
      <w:pPr>
        <w:pStyle w:val="61"/>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03787FF4">
      <w:pPr>
        <w:pStyle w:val="61"/>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16FD3B4B">
      <w:pPr>
        <w:pStyle w:val="61"/>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14:paraId="336F5BD7">
      <w:pPr>
        <w:pStyle w:val="61"/>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4、基金管理人发现基金托管人有重大违规行为，应及时报告中国证监会，同时通知基金托管人限期纠正，并将纠正结果报告中国证监会。</w:t>
      </w:r>
    </w:p>
    <w:p w14:paraId="5D8E54F1">
      <w:pPr>
        <w:widowControl/>
        <w:adjustRightInd w:val="0"/>
        <w:snapToGrid w:val="0"/>
        <w:spacing w:line="360" w:lineRule="auto"/>
        <w:ind w:firstLine="482" w:firstLineChars="200"/>
        <w:rPr>
          <w:b/>
          <w:kern w:val="0"/>
          <w:sz w:val="24"/>
        </w:rPr>
      </w:pPr>
      <w:r>
        <w:rPr>
          <w:b/>
          <w:kern w:val="0"/>
          <w:sz w:val="24"/>
        </w:rPr>
        <w:t>（四）基金财产保管</w:t>
      </w:r>
    </w:p>
    <w:p w14:paraId="58784EA0">
      <w:pPr>
        <w:adjustRightInd w:val="0"/>
        <w:snapToGrid w:val="0"/>
        <w:spacing w:line="360" w:lineRule="auto"/>
        <w:ind w:firstLine="480" w:firstLineChars="200"/>
        <w:rPr>
          <w:sz w:val="24"/>
        </w:rPr>
      </w:pPr>
      <w:r>
        <w:rPr>
          <w:rFonts w:hint="eastAsia"/>
          <w:sz w:val="24"/>
        </w:rPr>
        <w:t>1、基金财产保管的原则</w:t>
      </w:r>
    </w:p>
    <w:p w14:paraId="720B181B">
      <w:pPr>
        <w:adjustRightInd w:val="0"/>
        <w:snapToGrid w:val="0"/>
        <w:spacing w:line="360" w:lineRule="auto"/>
        <w:ind w:firstLine="480" w:firstLineChars="200"/>
        <w:rPr>
          <w:sz w:val="24"/>
        </w:rPr>
      </w:pPr>
      <w:r>
        <w:rPr>
          <w:rFonts w:hint="eastAsia"/>
          <w:sz w:val="24"/>
        </w:rPr>
        <w:t>（1）基金财产应独立于基金管理人、基金托管人的固有财产。</w:t>
      </w:r>
    </w:p>
    <w:p w14:paraId="15636BC2">
      <w:pPr>
        <w:adjustRightInd w:val="0"/>
        <w:snapToGrid w:val="0"/>
        <w:spacing w:line="360" w:lineRule="auto"/>
        <w:ind w:firstLine="480" w:firstLineChars="200"/>
        <w:rPr>
          <w:sz w:val="24"/>
        </w:rPr>
      </w:pPr>
      <w:r>
        <w:rPr>
          <w:rFonts w:hint="eastAsia"/>
          <w:sz w:val="24"/>
        </w:rPr>
        <w:t>（2）基金托管人应安全保管基金财产。</w:t>
      </w:r>
    </w:p>
    <w:p w14:paraId="3AFBA03A">
      <w:pPr>
        <w:adjustRightInd w:val="0"/>
        <w:snapToGrid w:val="0"/>
        <w:spacing w:line="360" w:lineRule="auto"/>
        <w:ind w:firstLine="480" w:firstLineChars="200"/>
        <w:rPr>
          <w:sz w:val="24"/>
        </w:rPr>
      </w:pPr>
      <w:r>
        <w:rPr>
          <w:rFonts w:hint="eastAsia"/>
          <w:sz w:val="24"/>
        </w:rPr>
        <w:t>（3）基金托管人按照规定开设基金财产的资金账户、证券账户等投资所需的相关账户。</w:t>
      </w:r>
    </w:p>
    <w:p w14:paraId="392DD283">
      <w:pPr>
        <w:adjustRightInd w:val="0"/>
        <w:snapToGrid w:val="0"/>
        <w:spacing w:line="360" w:lineRule="auto"/>
        <w:ind w:firstLine="480" w:firstLineChars="200"/>
        <w:rPr>
          <w:sz w:val="24"/>
        </w:rPr>
      </w:pPr>
      <w:r>
        <w:rPr>
          <w:rFonts w:hint="eastAsia"/>
          <w:sz w:val="24"/>
        </w:rPr>
        <w:t>（4）基金托管人对所托管的不同基金财产分别设置账户，</w:t>
      </w:r>
      <w:r>
        <w:rPr>
          <w:rFonts w:hint="eastAsia" w:ascii="宋体" w:hAnsi="宋体"/>
          <w:sz w:val="24"/>
        </w:rPr>
        <w:t>独立核算，分账管理，</w:t>
      </w:r>
      <w:r>
        <w:rPr>
          <w:rFonts w:hint="eastAsia"/>
          <w:sz w:val="24"/>
        </w:rPr>
        <w:t>确保基金财产的完整与独立。</w:t>
      </w:r>
    </w:p>
    <w:p w14:paraId="52263014">
      <w:pPr>
        <w:adjustRightInd w:val="0"/>
        <w:snapToGrid w:val="0"/>
        <w:spacing w:line="360" w:lineRule="auto"/>
        <w:ind w:firstLine="480" w:firstLineChars="200"/>
        <w:rPr>
          <w:sz w:val="24"/>
        </w:rPr>
      </w:pPr>
      <w:r>
        <w:rPr>
          <w:rFonts w:hint="eastAsia"/>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5B74BF5D">
      <w:pPr>
        <w:adjustRightInd w:val="0"/>
        <w:snapToGrid w:val="0"/>
        <w:spacing w:line="360" w:lineRule="auto"/>
        <w:ind w:firstLine="480" w:firstLineChars="200"/>
        <w:rPr>
          <w:sz w:val="24"/>
        </w:rPr>
      </w:pPr>
      <w:r>
        <w:rPr>
          <w:rFonts w:hint="eastAsia"/>
          <w:sz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r>
        <w:rPr>
          <w:rFonts w:hint="eastAsia" w:ascii="宋体" w:hAnsi="宋体"/>
          <w:sz w:val="24"/>
        </w:rPr>
        <w:t>，基金托管人应给予必要的协助</w:t>
      </w:r>
      <w:r>
        <w:rPr>
          <w:rFonts w:hint="eastAsia"/>
          <w:sz w:val="24"/>
        </w:rPr>
        <w:t>。</w:t>
      </w:r>
    </w:p>
    <w:p w14:paraId="3230673B">
      <w:pPr>
        <w:adjustRightInd w:val="0"/>
        <w:snapToGrid w:val="0"/>
        <w:spacing w:line="360" w:lineRule="auto"/>
        <w:ind w:firstLine="480" w:firstLineChars="200"/>
        <w:rPr>
          <w:sz w:val="24"/>
        </w:rPr>
      </w:pPr>
      <w:r>
        <w:rPr>
          <w:rFonts w:hint="eastAsia"/>
          <w:sz w:val="24"/>
        </w:rPr>
        <w:t>（7）基金托管人对因为基金管理人投资产生的存放或存管在基金托管人以外机构的基金资产，或交由证券公司负责清算交收的基金资产及其收益（包括但不限于证券类基金资产等），由于该等机构或该机构会员单位等本协议当事人外第三方的欺诈、疏忽、过失或破产等原因给基金资产造成的损失等不承担责任。</w:t>
      </w:r>
    </w:p>
    <w:p w14:paraId="09080D02">
      <w:pPr>
        <w:adjustRightInd w:val="0"/>
        <w:snapToGrid w:val="0"/>
        <w:spacing w:line="360" w:lineRule="auto"/>
        <w:ind w:firstLine="480" w:firstLineChars="200"/>
        <w:rPr>
          <w:sz w:val="24"/>
        </w:rPr>
      </w:pPr>
      <w:r>
        <w:rPr>
          <w:rFonts w:hint="eastAsia"/>
          <w:sz w:val="24"/>
        </w:rPr>
        <w:t>（8）除依据法律法规和基金合同的规定外，基金托管人不得委托第三人托管基金财产。</w:t>
      </w:r>
    </w:p>
    <w:p w14:paraId="2386AC8C">
      <w:pPr>
        <w:adjustRightInd w:val="0"/>
        <w:snapToGrid w:val="0"/>
        <w:spacing w:line="360" w:lineRule="auto"/>
        <w:ind w:firstLine="480" w:firstLineChars="200"/>
        <w:rPr>
          <w:sz w:val="24"/>
        </w:rPr>
      </w:pPr>
      <w:r>
        <w:rPr>
          <w:rFonts w:hint="eastAsia"/>
          <w:sz w:val="24"/>
        </w:rPr>
        <w:t>2、基金募集期间及募集资金的验资</w:t>
      </w:r>
    </w:p>
    <w:p w14:paraId="6CA954B2">
      <w:pPr>
        <w:adjustRightInd w:val="0"/>
        <w:snapToGrid w:val="0"/>
        <w:spacing w:line="360" w:lineRule="auto"/>
        <w:ind w:firstLine="480" w:firstLineChars="200"/>
        <w:rPr>
          <w:sz w:val="24"/>
        </w:rPr>
      </w:pPr>
      <w:r>
        <w:rPr>
          <w:rFonts w:hint="eastAsia"/>
          <w:sz w:val="24"/>
        </w:rPr>
        <w:t>（1）基金募集期间募集认购款项应开立“基金募集专户”。该账户由基金管理人或基金管理人委托的登记机构开立并管理。</w:t>
      </w:r>
    </w:p>
    <w:p w14:paraId="1AE64994">
      <w:pPr>
        <w:adjustRightInd w:val="0"/>
        <w:snapToGrid w:val="0"/>
        <w:spacing w:line="360" w:lineRule="auto"/>
        <w:ind w:firstLine="480" w:firstLineChars="200"/>
        <w:rPr>
          <w:sz w:val="24"/>
        </w:rPr>
      </w:pPr>
      <w:r>
        <w:rPr>
          <w:rFonts w:hint="eastAsia"/>
          <w:sz w:val="24"/>
        </w:rPr>
        <w:t>（2）</w:t>
      </w:r>
      <w:r>
        <w:rPr>
          <w:rFonts w:ascii="宋体" w:hAnsi="宋体"/>
          <w:sz w:val="24"/>
        </w:rPr>
        <w:t>基金募集期满或基金停止募集时，</w:t>
      </w:r>
      <w:r>
        <w:rPr>
          <w:rFonts w:hint="eastAsia" w:ascii="宋体" w:hAnsi="宋体"/>
          <w:sz w:val="24"/>
        </w:rPr>
        <w:t>募集的基金份额总额、基金募集金额、基金份额持有人人数</w:t>
      </w:r>
      <w:r>
        <w:rPr>
          <w:rFonts w:ascii="宋体" w:hAnsi="宋体"/>
          <w:sz w:val="24"/>
        </w:rPr>
        <w:t>符合《基金法》、《运作办法》等有关规定后，基金管理人应将属于基金财产的全部资金划入基金托管人</w:t>
      </w:r>
      <w:r>
        <w:rPr>
          <w:rFonts w:hint="eastAsia" w:ascii="宋体" w:hAnsi="宋体"/>
          <w:sz w:val="24"/>
        </w:rPr>
        <w:t>为基金开立的基金资金账户，同时在规定时间内，基金管理人应聘请符合《中华人民共和国证券法》规定的会计师事务所进行验资，出具验资报告。出具的验资报告由参加验资的</w:t>
      </w:r>
      <w:r>
        <w:rPr>
          <w:rFonts w:ascii="宋体" w:hAnsi="宋体"/>
          <w:sz w:val="24"/>
        </w:rPr>
        <w:t>2名或2名以上中国注册会计师签字方为有效。</w:t>
      </w:r>
    </w:p>
    <w:p w14:paraId="37751558">
      <w:pPr>
        <w:adjustRightInd w:val="0"/>
        <w:snapToGrid w:val="0"/>
        <w:spacing w:line="360" w:lineRule="auto"/>
        <w:ind w:firstLine="480" w:firstLineChars="200"/>
        <w:rPr>
          <w:sz w:val="24"/>
        </w:rPr>
      </w:pPr>
      <w:r>
        <w:rPr>
          <w:rFonts w:hint="eastAsia"/>
          <w:sz w:val="24"/>
        </w:rPr>
        <w:t>（3）若基金募集期限届满，未能达到基金合同生效的条件，由基金管理人按规定办理退款等事宜</w:t>
      </w:r>
      <w:r>
        <w:rPr>
          <w:rFonts w:hint="eastAsia" w:ascii="宋体" w:hAnsi="宋体"/>
          <w:sz w:val="24"/>
        </w:rPr>
        <w:t>，基金托管人应予以必要的协助和配合</w:t>
      </w:r>
      <w:r>
        <w:rPr>
          <w:rFonts w:hint="eastAsia"/>
          <w:sz w:val="24"/>
        </w:rPr>
        <w:t>。</w:t>
      </w:r>
    </w:p>
    <w:p w14:paraId="7B6684BD">
      <w:pPr>
        <w:adjustRightInd w:val="0"/>
        <w:snapToGrid w:val="0"/>
        <w:spacing w:line="360" w:lineRule="auto"/>
        <w:ind w:firstLine="480" w:firstLineChars="200"/>
        <w:rPr>
          <w:sz w:val="24"/>
        </w:rPr>
      </w:pPr>
      <w:r>
        <w:rPr>
          <w:rFonts w:hint="eastAsia"/>
          <w:sz w:val="24"/>
        </w:rPr>
        <w:t>3、基金资金账户的开立和管理</w:t>
      </w:r>
    </w:p>
    <w:p w14:paraId="04E75E65">
      <w:pPr>
        <w:adjustRightInd w:val="0"/>
        <w:snapToGrid w:val="0"/>
        <w:spacing w:line="360" w:lineRule="auto"/>
        <w:ind w:firstLine="480" w:firstLineChars="200"/>
        <w:rPr>
          <w:sz w:val="24"/>
        </w:rPr>
      </w:pPr>
      <w:r>
        <w:rPr>
          <w:rFonts w:hint="eastAsia"/>
          <w:sz w:val="24"/>
        </w:rPr>
        <w:t>（1）基金托管人以本基金的名义在其营业机构开立基金的资金账户（也可称为“托管账户”），保管基金的银行存款，并根据基金管理人的指令办理资金收付。基金开立的托管账户原则上应按“开户主体+产品名称”规则命名，如遇账户名称过长影响其他业务办理等特殊情况时，开户主体或账户名称可以使用简称。确保资金账户名称与所托管的产品名称相对应。预留印鉴为基金托管人印章。</w:t>
      </w:r>
    </w:p>
    <w:p w14:paraId="7D59D942">
      <w:pPr>
        <w:adjustRightInd w:val="0"/>
        <w:snapToGrid w:val="0"/>
        <w:spacing w:line="360" w:lineRule="auto"/>
        <w:ind w:firstLine="480" w:firstLineChars="200"/>
        <w:rPr>
          <w:sz w:val="24"/>
        </w:rPr>
      </w:pPr>
      <w:r>
        <w:rPr>
          <w:rFonts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557A07F8">
      <w:pPr>
        <w:adjustRightInd w:val="0"/>
        <w:snapToGrid w:val="0"/>
        <w:spacing w:line="360" w:lineRule="auto"/>
        <w:ind w:firstLine="480" w:firstLineChars="200"/>
        <w:rPr>
          <w:sz w:val="24"/>
        </w:rPr>
      </w:pPr>
      <w:r>
        <w:rPr>
          <w:rFonts w:hint="eastAsia"/>
          <w:sz w:val="24"/>
        </w:rPr>
        <w:t>（3）基金资金账户的开立和管理应符合法律法规及银行业监督管理机构的有关规定。</w:t>
      </w:r>
    </w:p>
    <w:p w14:paraId="5B41775F">
      <w:pPr>
        <w:adjustRightInd w:val="0"/>
        <w:snapToGrid w:val="0"/>
        <w:spacing w:line="360" w:lineRule="auto"/>
        <w:ind w:firstLine="480" w:firstLineChars="200"/>
        <w:rPr>
          <w:sz w:val="24"/>
        </w:rPr>
      </w:pPr>
      <w:r>
        <w:rPr>
          <w:rFonts w:hint="eastAsia"/>
          <w:sz w:val="24"/>
        </w:rPr>
        <w:t>4、</w:t>
      </w:r>
      <w:r>
        <w:rPr>
          <w:rFonts w:hint="eastAsia" w:ascii="宋体" w:hAnsi="宋体"/>
          <w:sz w:val="24"/>
        </w:rPr>
        <w:t>基金证券账户和结算备付金账户的开立和管理</w:t>
      </w:r>
    </w:p>
    <w:p w14:paraId="0815B606">
      <w:pPr>
        <w:adjustRightInd w:val="0"/>
        <w:snapToGrid w:val="0"/>
        <w:spacing w:line="360" w:lineRule="auto"/>
        <w:ind w:firstLine="480" w:firstLineChars="200"/>
        <w:rPr>
          <w:sz w:val="24"/>
        </w:rPr>
      </w:pPr>
      <w:r>
        <w:rPr>
          <w:rFonts w:hint="eastAsia"/>
          <w:sz w:val="24"/>
        </w:rPr>
        <w:t>（1）</w:t>
      </w:r>
      <w:r>
        <w:rPr>
          <w:rFonts w:ascii="宋体" w:hAnsi="宋体"/>
          <w:sz w:val="24"/>
        </w:rPr>
        <w:t>基金托管人在中国证券登记结算有限责任公司为基金开立基金托管人与基金联名的证券账户。</w:t>
      </w:r>
    </w:p>
    <w:p w14:paraId="25833A5C">
      <w:pPr>
        <w:adjustRightInd w:val="0"/>
        <w:snapToGrid w:val="0"/>
        <w:spacing w:line="360" w:lineRule="auto"/>
        <w:ind w:firstLine="480" w:firstLineChars="200"/>
        <w:rPr>
          <w:sz w:val="24"/>
        </w:rPr>
      </w:pPr>
      <w:r>
        <w:rPr>
          <w:rFonts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BB6AAC3">
      <w:pPr>
        <w:adjustRightInd w:val="0"/>
        <w:snapToGrid w:val="0"/>
        <w:spacing w:line="360" w:lineRule="auto"/>
        <w:ind w:firstLine="480" w:firstLineChars="200"/>
        <w:rPr>
          <w:sz w:val="24"/>
        </w:rPr>
      </w:pPr>
      <w:r>
        <w:rPr>
          <w:rFonts w:hint="eastAsia"/>
          <w:sz w:val="24"/>
        </w:rPr>
        <w:t>（3）基金证券账户的开立和证券账户卡的保管由基金托管人负责，账户资产的管理和运用由基金管理人负责。</w:t>
      </w:r>
    </w:p>
    <w:p w14:paraId="58A5FC5F">
      <w:pPr>
        <w:adjustRightInd w:val="0"/>
        <w:snapToGrid w:val="0"/>
        <w:spacing w:line="360" w:lineRule="auto"/>
        <w:ind w:firstLine="480" w:firstLineChars="200"/>
        <w:rPr>
          <w:sz w:val="24"/>
        </w:rPr>
      </w:pPr>
      <w:r>
        <w:rPr>
          <w:rFonts w:hint="eastAsia"/>
          <w:sz w:val="24"/>
        </w:rPr>
        <w:t>（4）</w:t>
      </w:r>
      <w:r>
        <w:rPr>
          <w:rFonts w:hint="eastAsia" w:ascii="宋体" w:hAnsi="宋体"/>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42AF6DE6">
      <w:pPr>
        <w:adjustRightInd w:val="0"/>
        <w:snapToGrid w:val="0"/>
        <w:spacing w:line="360" w:lineRule="auto"/>
        <w:ind w:firstLine="480" w:firstLineChars="200"/>
        <w:rPr>
          <w:sz w:val="24"/>
        </w:rPr>
      </w:pPr>
      <w:r>
        <w:rPr>
          <w:rFonts w:hint="eastAsia"/>
          <w:sz w:val="24"/>
        </w:rPr>
        <w:t>（</w:t>
      </w:r>
      <w:r>
        <w:rPr>
          <w:sz w:val="24"/>
        </w:rPr>
        <w:t>5</w:t>
      </w:r>
      <w:r>
        <w:rPr>
          <w:rFonts w:hint="eastAsia"/>
          <w:sz w:val="24"/>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6C4BC33B">
      <w:pPr>
        <w:adjustRightInd w:val="0"/>
        <w:snapToGrid w:val="0"/>
        <w:spacing w:line="360" w:lineRule="auto"/>
        <w:ind w:firstLine="480" w:firstLineChars="200"/>
        <w:rPr>
          <w:sz w:val="24"/>
        </w:rPr>
      </w:pPr>
      <w:r>
        <w:rPr>
          <w:rFonts w:hint="eastAsia"/>
          <w:sz w:val="24"/>
        </w:rPr>
        <w:t>5、债券托管账户的开设和管理</w:t>
      </w:r>
    </w:p>
    <w:p w14:paraId="6944897A">
      <w:pPr>
        <w:adjustRightInd w:val="0"/>
        <w:snapToGrid w:val="0"/>
        <w:spacing w:line="360" w:lineRule="auto"/>
        <w:ind w:firstLine="480" w:firstLineChars="200"/>
        <w:rPr>
          <w:sz w:val="24"/>
        </w:rPr>
      </w:pPr>
      <w:r>
        <w:rPr>
          <w:rFonts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4E5C6110">
      <w:pPr>
        <w:adjustRightInd w:val="0"/>
        <w:snapToGrid w:val="0"/>
        <w:spacing w:line="360" w:lineRule="auto"/>
        <w:ind w:firstLine="480" w:firstLineChars="200"/>
        <w:rPr>
          <w:sz w:val="24"/>
        </w:rPr>
      </w:pPr>
      <w:r>
        <w:rPr>
          <w:rFonts w:hint="eastAsia"/>
          <w:sz w:val="24"/>
        </w:rPr>
        <w:t>6、其他账户的开立和管理</w:t>
      </w:r>
    </w:p>
    <w:p w14:paraId="37DADAD2">
      <w:pPr>
        <w:adjustRightInd w:val="0"/>
        <w:snapToGrid w:val="0"/>
        <w:spacing w:line="360" w:lineRule="auto"/>
        <w:ind w:firstLine="480" w:firstLineChars="200"/>
        <w:rPr>
          <w:sz w:val="24"/>
        </w:rPr>
      </w:pPr>
      <w:r>
        <w:rPr>
          <w:rFonts w:hint="eastAsia"/>
          <w:sz w:val="24"/>
        </w:rPr>
        <w:t>（1）基金托管人和基金管理人应当在开户过程中相互配合，并提供所需资料。基金管理人保证所提供的账户开户材料的真实性和有效性，且在相关资料变更后及时将变更的资料提供给基金托管人。</w:t>
      </w:r>
    </w:p>
    <w:p w14:paraId="4DD894B9">
      <w:pPr>
        <w:adjustRightInd w:val="0"/>
        <w:snapToGrid w:val="0"/>
        <w:spacing w:line="360" w:lineRule="auto"/>
        <w:ind w:firstLine="480" w:firstLineChars="200"/>
        <w:rPr>
          <w:sz w:val="24"/>
        </w:rPr>
      </w:pPr>
      <w:r>
        <w:rPr>
          <w:rFonts w:hint="eastAsia"/>
          <w:sz w:val="24"/>
        </w:rPr>
        <w:t>（2）因业务发展需要而开立的其他账户，可以根据法律法规和基金合同的规定，由基金管理人协助基金托管人按照有关法律法规和本协议的约定协商后开立。新账户按有关规定使用并管理。</w:t>
      </w:r>
    </w:p>
    <w:p w14:paraId="1F5AD551">
      <w:pPr>
        <w:adjustRightInd w:val="0"/>
        <w:snapToGrid w:val="0"/>
        <w:spacing w:line="360" w:lineRule="auto"/>
        <w:ind w:firstLine="480" w:firstLineChars="200"/>
        <w:rPr>
          <w:sz w:val="24"/>
        </w:rPr>
      </w:pPr>
      <w:r>
        <w:rPr>
          <w:rFonts w:hint="eastAsia"/>
          <w:sz w:val="24"/>
        </w:rPr>
        <w:t>（3）法律法规等有关规定对相关账户的开立和管理另有规定的，从其规定办理。</w:t>
      </w:r>
    </w:p>
    <w:p w14:paraId="4BA6D6C4">
      <w:pPr>
        <w:adjustRightInd w:val="0"/>
        <w:snapToGrid w:val="0"/>
        <w:spacing w:line="360" w:lineRule="auto"/>
        <w:ind w:firstLine="480" w:firstLineChars="200"/>
        <w:rPr>
          <w:sz w:val="24"/>
        </w:rPr>
      </w:pPr>
      <w:r>
        <w:rPr>
          <w:sz w:val="24"/>
        </w:rPr>
        <w:t>7</w:t>
      </w:r>
      <w:r>
        <w:rPr>
          <w:rFonts w:hint="eastAsia"/>
          <w:sz w:val="24"/>
        </w:rPr>
        <w:t>、基金财产投资的有关有价凭证等的保管</w:t>
      </w:r>
    </w:p>
    <w:p w14:paraId="00FC730B">
      <w:pPr>
        <w:adjustRightInd w:val="0"/>
        <w:snapToGrid w:val="0"/>
        <w:spacing w:line="360" w:lineRule="auto"/>
        <w:ind w:firstLine="480" w:firstLineChars="200"/>
        <w:rPr>
          <w:sz w:val="24"/>
        </w:rPr>
      </w:pPr>
      <w:r>
        <w:rPr>
          <w:rFonts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74005887">
      <w:pPr>
        <w:adjustRightInd w:val="0"/>
        <w:snapToGrid w:val="0"/>
        <w:spacing w:line="360" w:lineRule="auto"/>
        <w:ind w:firstLine="480" w:firstLineChars="200"/>
        <w:rPr>
          <w:sz w:val="24"/>
        </w:rPr>
      </w:pPr>
      <w:r>
        <w:rPr>
          <w:sz w:val="24"/>
        </w:rPr>
        <w:t>8</w:t>
      </w:r>
      <w:r>
        <w:rPr>
          <w:rFonts w:hint="eastAsia"/>
          <w:sz w:val="24"/>
        </w:rPr>
        <w:t>、与基金财产有关的重大合同的保管</w:t>
      </w:r>
    </w:p>
    <w:p w14:paraId="270CC3E7">
      <w:pPr>
        <w:adjustRightInd w:val="0"/>
        <w:snapToGrid w:val="0"/>
        <w:spacing w:line="360" w:lineRule="auto"/>
        <w:ind w:firstLine="480" w:firstLineChars="200"/>
        <w:rPr>
          <w:sz w:val="24"/>
        </w:rPr>
      </w:pPr>
      <w:r>
        <w:rPr>
          <w:rFonts w:hint="eastAsia" w:ascii="宋体" w:hAnsi="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14:paraId="651A7732">
      <w:pPr>
        <w:adjustRightInd w:val="0"/>
        <w:snapToGrid w:val="0"/>
        <w:spacing w:line="360" w:lineRule="auto"/>
        <w:ind w:firstLine="480" w:firstLineChars="200"/>
        <w:rPr>
          <w:rFonts w:hint="eastAsia" w:ascii="宋体" w:hAnsi="宋体"/>
          <w:sz w:val="24"/>
          <w:szCs w:val="24"/>
        </w:rPr>
      </w:pPr>
      <w:r>
        <w:rPr>
          <w:rFonts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6D4CA589">
      <w:pPr>
        <w:adjustRightInd w:val="0"/>
        <w:snapToGrid w:val="0"/>
        <w:spacing w:line="360" w:lineRule="auto"/>
        <w:ind w:firstLine="482" w:firstLineChars="200"/>
        <w:rPr>
          <w:b/>
          <w:sz w:val="24"/>
        </w:rPr>
      </w:pPr>
      <w:r>
        <w:rPr>
          <w:b/>
          <w:sz w:val="24"/>
        </w:rPr>
        <w:t>（五）</w:t>
      </w:r>
      <w:r>
        <w:rPr>
          <w:rFonts w:hint="eastAsia"/>
          <w:b/>
          <w:sz w:val="24"/>
        </w:rPr>
        <w:t>基金资产净值计算、估值和会计核算</w:t>
      </w:r>
    </w:p>
    <w:p w14:paraId="11E49C51">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1、基金资产净值的计算、复核与完成的时间及程序</w:t>
      </w:r>
    </w:p>
    <w:p w14:paraId="07E06963">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）基金资产净值</w:t>
      </w:r>
    </w:p>
    <w:p w14:paraId="6351A351">
      <w:pPr>
        <w:adjustRightInd w:val="0"/>
        <w:snapToGrid w:val="0"/>
        <w:spacing w:line="360" w:lineRule="auto"/>
        <w:ind w:firstLine="480" w:firstLineChars="200"/>
        <w:rPr>
          <w:rFonts w:hint="eastAsia" w:ascii="宋体" w:hAnsi="宋体"/>
          <w:sz w:val="24"/>
        </w:rPr>
      </w:pPr>
      <w:r>
        <w:rPr>
          <w:rFonts w:hint="eastAsia" w:ascii="宋体" w:hAnsi="宋体"/>
          <w:sz w:val="24"/>
        </w:rPr>
        <w:t>基金资产净值是指基金资产总值减去基金负债后的价值。</w:t>
      </w:r>
    </w:p>
    <w:p w14:paraId="67C859A7">
      <w:pPr>
        <w:adjustRightInd w:val="0"/>
        <w:snapToGrid w:val="0"/>
        <w:spacing w:line="360" w:lineRule="auto"/>
        <w:ind w:firstLine="480" w:firstLineChars="200"/>
        <w:rPr>
          <w:bCs/>
          <w:sz w:val="24"/>
        </w:rPr>
      </w:pPr>
      <w:r>
        <w:rPr>
          <w:rFonts w:hint="eastAsia"/>
          <w:bCs/>
          <w:sz w:val="24"/>
        </w:rPr>
        <w:t>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08D806CD">
      <w:pPr>
        <w:adjustRightInd w:val="0"/>
        <w:snapToGrid w:val="0"/>
        <w:spacing w:line="360" w:lineRule="auto"/>
        <w:ind w:firstLine="480" w:firstLineChars="200"/>
        <w:rPr>
          <w:rFonts w:hint="eastAsia" w:ascii="宋体" w:hAnsi="宋体"/>
          <w:sz w:val="24"/>
          <w:szCs w:val="24"/>
        </w:rPr>
      </w:pPr>
      <w:r>
        <w:rPr>
          <w:rFonts w:hint="eastAsia"/>
          <w:bCs/>
          <w:sz w:val="24"/>
        </w:rPr>
        <w:t>基金管理人于每个估值日计算基金资产净值及基金份额净值，并按规定公告。如遇特殊情况，经履行适当程序，可以适当延迟计算或公告。</w:t>
      </w:r>
    </w:p>
    <w:p w14:paraId="76E57935">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ascii="宋体" w:hAnsi="宋体"/>
          <w:sz w:val="24"/>
          <w:szCs w:val="24"/>
        </w:rPr>
        <w:t>复核程序</w:t>
      </w:r>
    </w:p>
    <w:p w14:paraId="13FE96AD">
      <w:pPr>
        <w:adjustRightInd w:val="0"/>
        <w:snapToGrid w:val="0"/>
        <w:spacing w:line="360" w:lineRule="auto"/>
        <w:ind w:firstLine="480" w:firstLineChars="200"/>
        <w:rPr>
          <w:rFonts w:hint="eastAsia" w:ascii="宋体" w:hAnsi="宋体"/>
          <w:sz w:val="24"/>
          <w:szCs w:val="24"/>
        </w:rPr>
      </w:pPr>
      <w:r>
        <w:rPr>
          <w:rFonts w:hint="eastAsia" w:ascii="宋体" w:hAnsi="宋体"/>
          <w:sz w:val="24"/>
        </w:rPr>
        <w:t>基金管理人每个估值日对基金资产估值后，将基金资产净值、基金份额净值结果发送基金托管人，经基金托管人复核无误后，由基金管理人依据基金合同和相关法律法规的规定对外公布。</w:t>
      </w:r>
    </w:p>
    <w:p w14:paraId="1297574A">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437A3D4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2、基金资产的估值</w:t>
      </w:r>
    </w:p>
    <w:p w14:paraId="11E911F7">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基金管理人及基金托管人应当按照《基金合同》的约定进行估值。</w:t>
      </w:r>
    </w:p>
    <w:p w14:paraId="7694C3FF">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3、基金份额净值错误的处理方式</w:t>
      </w:r>
    </w:p>
    <w:p w14:paraId="46B7B9BF">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基金管理人及基金托管人应当按照《基金合同》的约定处理份额净值错误。</w:t>
      </w:r>
    </w:p>
    <w:p w14:paraId="0E8C2A2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4、基金会计制度</w:t>
      </w:r>
    </w:p>
    <w:p w14:paraId="02F55864">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按国家有关部门规定的会计制度执行。</w:t>
      </w:r>
    </w:p>
    <w:p w14:paraId="20DCE909">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5、基金账册的建立</w:t>
      </w:r>
    </w:p>
    <w:p w14:paraId="7206AE1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5D184084">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6、基金财务报表与报告的编制和复核</w:t>
      </w:r>
    </w:p>
    <w:p w14:paraId="24AC374A">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（1）财务报表的编制</w:t>
      </w:r>
    </w:p>
    <w:p w14:paraId="25B5325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基金财务报表由基金管理人编制，基金托管人复核。</w:t>
      </w:r>
    </w:p>
    <w:p w14:paraId="5F0B0E3A">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（2）报表复核</w:t>
      </w:r>
    </w:p>
    <w:p w14:paraId="5C076460">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基金托管人在收到基金管理人编制的基金财务报表后，进行独立的复核。核对不符时，应及时通知基金管理人共同查出原因，进行调整，直至双方数据完全一致。</w:t>
      </w:r>
    </w:p>
    <w:p w14:paraId="0A36E98F">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（3）财务报表的编制与复核时间安排</w:t>
      </w:r>
    </w:p>
    <w:p w14:paraId="37961A67">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3203BA40">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7、在有需要时，基金管理人应每季度向基金托管人提供基金业绩比较基准的基础数据和编制结果。</w:t>
      </w:r>
    </w:p>
    <w:p w14:paraId="3EE1B211">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8、实施侧袋机制期间的基金资产估值</w:t>
      </w:r>
    </w:p>
    <w:p w14:paraId="55B59DEF">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本基金实施侧袋机制的，应根据基金合同的约定对主袋账户资产进行估值并披露主袋账户的基金净值信息，暂停披露侧袋账户份额净值。</w:t>
      </w:r>
    </w:p>
    <w:p w14:paraId="11C7BCE9">
      <w:pPr>
        <w:widowControl/>
        <w:adjustRightInd w:val="0"/>
        <w:snapToGrid w:val="0"/>
        <w:spacing w:line="360" w:lineRule="auto"/>
        <w:ind w:firstLine="482" w:firstLineChars="200"/>
        <w:rPr>
          <w:b/>
          <w:kern w:val="0"/>
          <w:sz w:val="24"/>
        </w:rPr>
      </w:pPr>
      <w:r>
        <w:rPr>
          <w:rFonts w:hAnsi="宋体"/>
          <w:b/>
          <w:kern w:val="0"/>
          <w:sz w:val="24"/>
        </w:rPr>
        <w:t>（六）基金份额持有人名册的保管</w:t>
      </w:r>
    </w:p>
    <w:p w14:paraId="5D05CDE7">
      <w:pPr>
        <w:widowControl/>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如不能妥善保管，则按相关法律法规承担责任。</w:t>
      </w:r>
    </w:p>
    <w:p w14:paraId="2098A934">
      <w:pPr>
        <w:widowControl/>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0ECCF41F">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（七）争议解决方式</w:t>
      </w:r>
    </w:p>
    <w:p w14:paraId="70B14681">
      <w:pPr>
        <w:adjustRightInd w:val="0"/>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规定，仲裁费用由败诉方承担。</w:t>
      </w:r>
    </w:p>
    <w:p w14:paraId="4AD70FE5">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争议处理期间，双方当事人应恪守基金管理人和基金托管人职责，各自继续忠实、勤勉、尽责地履行基金合同和本托管协议规定的义务，维护基金份额持有人的合法权益。</w:t>
      </w:r>
    </w:p>
    <w:p w14:paraId="7CA0952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本协议受中华人民共和国法律（为本托管协议之目的，不含港澳台地区法律）管辖并从其解释。</w:t>
      </w:r>
    </w:p>
    <w:p w14:paraId="4A530CB8">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（八）托管协议的</w:t>
      </w:r>
      <w:r>
        <w:rPr>
          <w:rFonts w:hint="eastAsia" w:ascii="宋体" w:hAnsi="宋体"/>
          <w:b/>
          <w:sz w:val="24"/>
          <w:szCs w:val="24"/>
        </w:rPr>
        <w:t>变更、终止与基金财产的清算</w:t>
      </w:r>
    </w:p>
    <w:p w14:paraId="76A7100D">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托管协议的变更程序</w:t>
      </w:r>
    </w:p>
    <w:p w14:paraId="5E7475E5">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本协议双方当事人经协商一致，可以对协议进行修改。修改后的新协议，其内容不得与基金合同的规定有任何冲突。基金托管协议的变更应</w:t>
      </w:r>
      <w:r>
        <w:rPr>
          <w:rFonts w:hint="eastAsia" w:ascii="宋体" w:hAnsi="宋体"/>
          <w:sz w:val="24"/>
        </w:rPr>
        <w:t>按规定</w:t>
      </w:r>
      <w:r>
        <w:rPr>
          <w:rFonts w:hint="eastAsia" w:ascii="宋体" w:hAnsi="宋体"/>
          <w:sz w:val="24"/>
          <w:szCs w:val="24"/>
        </w:rPr>
        <w:t>报中国证监会备案。</w:t>
      </w:r>
    </w:p>
    <w:p w14:paraId="582C7575">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基金托管协议终止的情形</w:t>
      </w:r>
    </w:p>
    <w:p w14:paraId="7D0D123F">
      <w:pPr>
        <w:widowControl/>
        <w:adjustRightInd w:val="0"/>
        <w:snapToGrid w:val="0"/>
        <w:spacing w:line="360" w:lineRule="auto"/>
        <w:ind w:firstLine="480" w:firstLineChars="200"/>
        <w:rPr>
          <w:rFonts w:hint="eastAsia" w:ascii="宋体" w:hAnsi="宋体"/>
          <w:sz w:val="24"/>
        </w:rPr>
      </w:pPr>
      <w:r>
        <w:rPr>
          <w:rFonts w:hint="eastAsia" w:ascii="宋体" w:hAnsi="宋体"/>
          <w:sz w:val="24"/>
        </w:rPr>
        <w:t>（1）《基金合同》终止；</w:t>
      </w:r>
    </w:p>
    <w:p w14:paraId="5E50E945">
      <w:pPr>
        <w:widowControl/>
        <w:adjustRightInd w:val="0"/>
        <w:snapToGrid w:val="0"/>
        <w:spacing w:line="360" w:lineRule="auto"/>
        <w:ind w:firstLine="480" w:firstLineChars="200"/>
        <w:rPr>
          <w:rFonts w:hint="eastAsia" w:ascii="宋体" w:hAnsi="宋体"/>
          <w:sz w:val="24"/>
        </w:rPr>
      </w:pPr>
      <w:r>
        <w:rPr>
          <w:rFonts w:hint="eastAsia" w:ascii="宋体" w:hAnsi="宋体"/>
          <w:sz w:val="24"/>
        </w:rPr>
        <w:t>（2）基金托管人因解散、破产、撤销等事由，不能继续担任基金托管人的职务，而在6个月内无其他适当的托管机构承接其原有权利义务；</w:t>
      </w:r>
    </w:p>
    <w:p w14:paraId="47EC7276">
      <w:pPr>
        <w:widowControl/>
        <w:adjustRightInd w:val="0"/>
        <w:snapToGrid w:val="0"/>
        <w:spacing w:line="360" w:lineRule="auto"/>
        <w:ind w:firstLine="480" w:firstLineChars="200"/>
        <w:rPr>
          <w:rFonts w:hint="eastAsia" w:ascii="宋体" w:hAnsi="宋体"/>
          <w:sz w:val="24"/>
        </w:rPr>
      </w:pPr>
      <w:r>
        <w:rPr>
          <w:rFonts w:hint="eastAsia" w:ascii="宋体" w:hAnsi="宋体"/>
          <w:sz w:val="24"/>
        </w:rPr>
        <w:t>（3）基金管理人因解散、破产、撤销等事由，不能继续担任基金管理人的职务，而在6个月内无其他适当的基金管理人承接其原有权利义务；</w:t>
      </w:r>
    </w:p>
    <w:p w14:paraId="0F91A192">
      <w:pPr>
        <w:widowControl/>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发生法律法规或《基金合同》规定的其他终止事项。</w:t>
      </w:r>
    </w:p>
    <w:p w14:paraId="403C6704">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3、基金财产的清算</w:t>
      </w:r>
    </w:p>
    <w:p w14:paraId="7B5AF00D">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基金管理人与基金托管人按照《基金合同》的约定处理基金财产的清算。</w:t>
      </w:r>
    </w:p>
    <w:p w14:paraId="71A26CA8">
      <w:pPr>
        <w:adjustRightInd w:val="0"/>
        <w:snapToGrid w:val="0"/>
        <w:spacing w:line="360" w:lineRule="auto"/>
        <w:ind w:firstLine="480" w:firstLineChars="200"/>
        <w:rPr>
          <w:rFonts w:hint="eastAsia" w:ascii="宋体" w:hAnsi="宋体"/>
          <w:kern w:val="0"/>
          <w:sz w:val="24"/>
        </w:rPr>
      </w:pPr>
    </w:p>
    <w:p w14:paraId="6D7E4BB0">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0" w:name="_Toc56690601"/>
      <w:r>
        <w:rPr>
          <w:rFonts w:hint="eastAsia" w:ascii="宋体" w:hAnsi="宋体"/>
          <w:b/>
          <w:kern w:val="0"/>
          <w:sz w:val="30"/>
        </w:rPr>
        <w:t>二十一、对基金份额持有人的服务</w:t>
      </w:r>
      <w:bookmarkEnd w:id="110"/>
    </w:p>
    <w:p w14:paraId="5DB0D9D9">
      <w:pPr>
        <w:widowControl/>
        <w:adjustRightInd w:val="0"/>
        <w:snapToGrid w:val="0"/>
        <w:spacing w:line="360" w:lineRule="auto"/>
        <w:ind w:firstLine="480" w:firstLineChars="200"/>
        <w:rPr>
          <w:kern w:val="0"/>
          <w:sz w:val="24"/>
        </w:rPr>
      </w:pPr>
      <w:r>
        <w:rPr>
          <w:kern w:val="0"/>
          <w:sz w:val="24"/>
        </w:rPr>
        <w:t>基金管理人承诺为基金份额持有人提供一系列的服务。基金管理人根据基金份额持有人的需要和市场的变化，有权增加或变更服务项目。主要服务内容如下：</w:t>
      </w:r>
    </w:p>
    <w:p w14:paraId="2BE0D8CF">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（一）</w:t>
      </w:r>
      <w:r>
        <w:rPr>
          <w:rFonts w:hint="eastAsia" w:ascii="宋体" w:hAnsi="宋体"/>
          <w:b/>
          <w:sz w:val="24"/>
          <w:szCs w:val="24"/>
        </w:rPr>
        <w:t>基金募集客户服务相关准备工作</w:t>
      </w:r>
    </w:p>
    <w:p w14:paraId="0062B152">
      <w:pPr>
        <w:widowControl/>
        <w:adjustRightInd w:val="0"/>
        <w:snapToGrid w:val="0"/>
        <w:spacing w:line="360" w:lineRule="auto"/>
        <w:ind w:firstLine="480" w:firstLineChars="200"/>
        <w:rPr>
          <w:kern w:val="0"/>
          <w:sz w:val="24"/>
        </w:rPr>
      </w:pPr>
      <w:bookmarkStart w:id="111" w:name="_Toc109537400"/>
      <w:r>
        <w:rPr>
          <w:rFonts w:hint="eastAsia"/>
          <w:kern w:val="0"/>
          <w:sz w:val="24"/>
        </w:rPr>
        <w:t>基金管理人将通过客户服务电话、公司网站、手机短信及其他服务形式，向投资者提供关于基金募集的信息咨询服务，并为投资者办理基金募集相关业务提供协助。</w:t>
      </w:r>
    </w:p>
    <w:bookmarkEnd w:id="111"/>
    <w:p w14:paraId="26C33465">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（二）网上</w:t>
      </w:r>
      <w:r>
        <w:rPr>
          <w:rFonts w:hint="eastAsia" w:ascii="宋体" w:hAnsi="宋体"/>
          <w:b/>
          <w:sz w:val="24"/>
          <w:szCs w:val="24"/>
        </w:rPr>
        <w:t>直销</w:t>
      </w:r>
      <w:r>
        <w:rPr>
          <w:rFonts w:ascii="宋体" w:hAnsi="宋体"/>
          <w:b/>
          <w:sz w:val="24"/>
          <w:szCs w:val="24"/>
        </w:rPr>
        <w:t>服务</w:t>
      </w:r>
    </w:p>
    <w:p w14:paraId="14266C53">
      <w:pPr>
        <w:widowControl/>
        <w:adjustRightInd w:val="0"/>
        <w:snapToGrid w:val="0"/>
        <w:spacing w:line="360" w:lineRule="auto"/>
        <w:ind w:firstLine="480" w:firstLineChars="200"/>
        <w:rPr>
          <w:rFonts w:hint="eastAsia"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kern w:val="0"/>
          <w:sz w:val="24"/>
        </w:rPr>
        <w:t>本基金的申购和赎回等业务</w:t>
      </w:r>
      <w:r>
        <w:rPr>
          <w:rFonts w:hAnsi="宋体"/>
          <w:kern w:val="0"/>
          <w:sz w:val="24"/>
        </w:rPr>
        <w:t>，有关详情可参见相关公告。</w:t>
      </w:r>
    </w:p>
    <w:p w14:paraId="2A305087">
      <w:pPr>
        <w:widowControl/>
        <w:adjustRightInd w:val="0"/>
        <w:snapToGrid w:val="0"/>
        <w:spacing w:line="360" w:lineRule="auto"/>
        <w:ind w:firstLine="480" w:firstLineChars="200"/>
        <w:rPr>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14:paraId="5E7ABDE1">
      <w:pPr>
        <w:widowControl/>
        <w:adjustRightInd w:val="0"/>
        <w:snapToGrid w:val="0"/>
        <w:spacing w:line="360" w:lineRule="auto"/>
        <w:ind w:firstLine="480" w:firstLineChars="200"/>
        <w:rPr>
          <w:kern w:val="0"/>
          <w:sz w:val="24"/>
        </w:rPr>
      </w:pPr>
      <w:r>
        <w:rPr>
          <w:rFonts w:hAnsi="宋体"/>
          <w:sz w:val="24"/>
        </w:rPr>
        <w:t>在条件成熟的时候，</w:t>
      </w:r>
      <w:r>
        <w:rPr>
          <w:rFonts w:hAnsi="宋体"/>
          <w:kern w:val="0"/>
          <w:sz w:val="24"/>
        </w:rPr>
        <w:t>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14:paraId="76AF9161">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（三）信息咨询、查询服务</w:t>
      </w:r>
    </w:p>
    <w:p w14:paraId="7B162FC3">
      <w:pPr>
        <w:widowControl/>
        <w:adjustRightInd w:val="0"/>
        <w:snapToGrid w:val="0"/>
        <w:spacing w:line="360" w:lineRule="auto"/>
        <w:ind w:firstLine="480" w:firstLineChars="200"/>
        <w:rPr>
          <w:kern w:val="0"/>
          <w:sz w:val="24"/>
        </w:rPr>
      </w:pPr>
      <w:r>
        <w:rPr>
          <w:rFonts w:hAnsi="宋体"/>
          <w:kern w:val="0"/>
          <w:sz w:val="24"/>
        </w:rPr>
        <w:t>投资人如果想查询申购和赎回等交易情况、分红方式状态、基金账户余额、基金产品与服务等信息，请拨打本基金管理人客户服务电话（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www.fund001.com</w:t>
      </w:r>
      <w:r>
        <w:rPr>
          <w:rFonts w:hAnsi="宋体"/>
          <w:kern w:val="0"/>
          <w:sz w:val="24"/>
        </w:rPr>
        <w:t>）进行咨询、查询。</w:t>
      </w:r>
    </w:p>
    <w:p w14:paraId="1F1C65B0">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57463FCB">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14:paraId="4B9CD251">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（四）</w:t>
      </w:r>
      <w:r>
        <w:rPr>
          <w:rFonts w:hint="eastAsia" w:ascii="宋体" w:hAnsi="宋体"/>
          <w:b/>
          <w:sz w:val="24"/>
          <w:szCs w:val="24"/>
        </w:rPr>
        <w:t>基金红利再投资</w:t>
      </w:r>
    </w:p>
    <w:p w14:paraId="5D1F34A0">
      <w:pPr>
        <w:widowControl/>
        <w:adjustRightInd w:val="0"/>
        <w:snapToGrid w:val="0"/>
        <w:spacing w:line="360" w:lineRule="auto"/>
        <w:ind w:firstLine="480" w:firstLineChars="200"/>
        <w:rPr>
          <w:kern w:val="0"/>
          <w:sz w:val="24"/>
        </w:rPr>
      </w:pPr>
      <w:r>
        <w:rPr>
          <w:rFonts w:hint="eastAsia" w:hAnsi="宋体"/>
          <w:kern w:val="0"/>
          <w:sz w:val="24"/>
        </w:rPr>
        <w:t>本基金收益分配时，基金份额持有人持有的基金份额可选择现金红利或选择红利再投将现金红利自动转为基金份额进行再投资，若投资人不选择，本基金默认的收益分配方式是现金分红。再投资红利按红利再投日（即除息日）除息后的基金份额净值自动转为基金份额，并免收申购费用。</w:t>
      </w:r>
    </w:p>
    <w:p w14:paraId="78C5E0B8">
      <w:pPr>
        <w:adjustRightInd w:val="0"/>
        <w:snapToGrid w:val="0"/>
        <w:spacing w:line="360" w:lineRule="auto"/>
        <w:ind w:firstLine="482" w:firstLineChars="200"/>
        <w:rPr>
          <w:rFonts w:hint="eastAsia" w:ascii="宋体" w:hAnsi="宋体"/>
          <w:b/>
          <w:sz w:val="24"/>
          <w:szCs w:val="24"/>
        </w:rPr>
      </w:pPr>
      <w:r>
        <w:rPr>
          <w:rFonts w:ascii="宋体" w:hAnsi="宋体"/>
          <w:b/>
          <w:sz w:val="24"/>
          <w:szCs w:val="24"/>
        </w:rPr>
        <w:t>（五）定期定额投资计划</w:t>
      </w:r>
    </w:p>
    <w:p w14:paraId="3763A867">
      <w:pPr>
        <w:widowControl/>
        <w:adjustRightInd w:val="0"/>
        <w:snapToGrid w:val="0"/>
        <w:spacing w:line="360" w:lineRule="auto"/>
        <w:ind w:firstLine="480" w:firstLineChars="200"/>
        <w:rPr>
          <w:kern w:val="0"/>
          <w:sz w:val="24"/>
        </w:rPr>
      </w:pPr>
      <w:r>
        <w:rPr>
          <w:kern w:val="0"/>
          <w:sz w:val="24"/>
        </w:rPr>
        <w:t>待技术条件成熟时，基金</w:t>
      </w:r>
      <w:bookmarkStart w:id="112" w:name="OLE_LINK11"/>
      <w:r>
        <w:rPr>
          <w:kern w:val="0"/>
          <w:sz w:val="24"/>
        </w:rPr>
        <w:t>管理人可通过销售机构为投资人提供定期定额投资的服务。通过定期定额</w:t>
      </w:r>
      <w:bookmarkEnd w:id="112"/>
      <w:r>
        <w:rPr>
          <w:kern w:val="0"/>
          <w:sz w:val="24"/>
        </w:rPr>
        <w:t>投资计划，投资人可以定期定额申购基金份额，具体实施方法另行公告。</w:t>
      </w:r>
    </w:p>
    <w:p w14:paraId="0360A860">
      <w:pPr>
        <w:widowControl/>
        <w:adjustRightInd w:val="0"/>
        <w:snapToGrid w:val="0"/>
        <w:spacing w:line="360" w:lineRule="auto"/>
        <w:ind w:firstLine="480" w:firstLineChars="200"/>
        <w:rPr>
          <w:kern w:val="0"/>
          <w:sz w:val="24"/>
        </w:rPr>
      </w:pPr>
      <w:r>
        <w:rPr>
          <w:rFonts w:hAnsi="宋体"/>
          <w:kern w:val="0"/>
          <w:sz w:val="24"/>
        </w:rPr>
        <w:t>服务联系方式：</w:t>
      </w:r>
    </w:p>
    <w:p w14:paraId="086B6969">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14:paraId="1D4E29E0">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kern w:val="0"/>
          <w:sz w:val="24"/>
        </w:rPr>
        <w:t>www.fund001.com</w:t>
      </w:r>
      <w:r>
        <w:rPr>
          <w:kern w:val="0"/>
          <w:sz w:val="24"/>
        </w:rPr>
        <w:fldChar w:fldCharType="end"/>
      </w:r>
    </w:p>
    <w:p w14:paraId="0414B45F">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电子信箱：</w:t>
      </w:r>
      <w:r>
        <w:rPr>
          <w:sz w:val="24"/>
        </w:rPr>
        <w:t>services@jysld.com</w:t>
      </w:r>
    </w:p>
    <w:p w14:paraId="14E82523">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投资者也可登录本基金管理人网站，直接提出有关本基金的问题和建议。</w:t>
      </w:r>
    </w:p>
    <w:p w14:paraId="683167C1">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（六）如本招募说明书存在任何您/贵机构无法理解的内容，请通过上述方式联系基金管理人。请确保投资前，您/贵机构已经全面理解了本招募说明书。</w:t>
      </w:r>
    </w:p>
    <w:p w14:paraId="7922471F">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3" w:name="_Toc56690602"/>
      <w:r>
        <w:rPr>
          <w:rFonts w:hint="eastAsia" w:ascii="宋体" w:hAnsi="宋体"/>
          <w:b/>
          <w:kern w:val="0"/>
          <w:sz w:val="30"/>
        </w:rPr>
        <w:t>二十二、其他应披露事项</w:t>
      </w:r>
      <w:bookmarkEnd w:id="113"/>
    </w:p>
    <w:p w14:paraId="7D4D9A06">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基金合同如有未尽事宜，由基金合同当事人各方按有关法律法规协商解决。</w:t>
      </w:r>
    </w:p>
    <w:p w14:paraId="36057F3E">
      <w:pPr>
        <w:widowControl/>
        <w:adjustRightInd w:val="0"/>
        <w:snapToGrid w:val="0"/>
        <w:spacing w:line="360" w:lineRule="auto"/>
        <w:ind w:firstLine="480" w:firstLineChars="200"/>
        <w:rPr>
          <w:rFonts w:hint="eastAsia" w:ascii="宋体" w:hAnsi="宋体"/>
          <w:kern w:val="0"/>
          <w:sz w:val="24"/>
        </w:rPr>
      </w:pPr>
    </w:p>
    <w:p w14:paraId="3EAE29EA">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4" w:name="_Toc56690603"/>
      <w:r>
        <w:rPr>
          <w:rFonts w:hint="eastAsia" w:ascii="宋体" w:hAnsi="宋体"/>
          <w:b/>
          <w:kern w:val="0"/>
          <w:sz w:val="30"/>
        </w:rPr>
        <w:t>二十三、招募说明书的存放及查阅方式</w:t>
      </w:r>
      <w:bookmarkEnd w:id="114"/>
    </w:p>
    <w:p w14:paraId="68837640">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15" w:name="_Toc109537401"/>
      <w:r>
        <w:rPr>
          <w:rFonts w:ascii="宋体" w:hAnsi="宋体"/>
          <w:kern w:val="0"/>
          <w:sz w:val="24"/>
        </w:rPr>
        <w:t>间内取得上述文件复制件</w:t>
      </w:r>
      <w:bookmarkEnd w:id="115"/>
      <w:r>
        <w:rPr>
          <w:rFonts w:ascii="宋体" w:hAnsi="宋体"/>
          <w:kern w:val="0"/>
          <w:sz w:val="24"/>
        </w:rPr>
        <w:t>或复印件。对投资人按此种方式所获得的文件及其复印件，基金管理人和基金托管人</w:t>
      </w:r>
      <w:bookmarkStart w:id="116" w:name="_Toc109537402"/>
      <w:r>
        <w:rPr>
          <w:rFonts w:ascii="宋体" w:hAnsi="宋体"/>
          <w:kern w:val="0"/>
          <w:sz w:val="24"/>
        </w:rPr>
        <w:t>保证文本的内容与所公告的内容完全一</w:t>
      </w:r>
      <w:bookmarkEnd w:id="116"/>
      <w:r>
        <w:rPr>
          <w:rFonts w:ascii="宋体" w:hAnsi="宋体"/>
          <w:kern w:val="0"/>
          <w:sz w:val="24"/>
        </w:rPr>
        <w:t>致。</w:t>
      </w:r>
    </w:p>
    <w:p w14:paraId="00A23A65">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14:paraId="774DC693">
      <w:pPr>
        <w:widowControl/>
        <w:adjustRightInd w:val="0"/>
        <w:snapToGrid w:val="0"/>
        <w:spacing w:line="360" w:lineRule="auto"/>
        <w:ind w:firstLine="480" w:firstLineChars="200"/>
        <w:rPr>
          <w:rFonts w:hint="eastAsia" w:ascii="宋体" w:hAnsi="宋体"/>
          <w:kern w:val="0"/>
          <w:sz w:val="24"/>
        </w:rPr>
      </w:pPr>
    </w:p>
    <w:p w14:paraId="31D0D1B8">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7" w:name="_Toc56690604"/>
      <w:r>
        <w:rPr>
          <w:rFonts w:hint="eastAsia" w:ascii="宋体" w:hAnsi="宋体"/>
          <w:b/>
          <w:kern w:val="0"/>
          <w:sz w:val="30"/>
        </w:rPr>
        <w:t>二十四、备查文件</w:t>
      </w:r>
      <w:bookmarkEnd w:id="117"/>
    </w:p>
    <w:p w14:paraId="7D5EB5A8">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以下备查文件存放在基金管理人的办公场所，在办公时间可供免费查阅。</w:t>
      </w:r>
    </w:p>
    <w:p w14:paraId="56D7103B">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w:t>
      </w:r>
      <w:r>
        <w:rPr>
          <w:rFonts w:hint="eastAsia" w:ascii="宋体" w:hAnsi="宋体"/>
          <w:kern w:val="0"/>
          <w:sz w:val="24"/>
        </w:rPr>
        <w:t>惠享多资产六个月</w:t>
      </w:r>
      <w:r>
        <w:rPr>
          <w:rFonts w:ascii="宋体" w:hAnsi="宋体"/>
          <w:kern w:val="0"/>
          <w:sz w:val="24"/>
        </w:rPr>
        <w:t>持有期混合型基金中基金（FOF）募集</w:t>
      </w:r>
      <w:r>
        <w:rPr>
          <w:rFonts w:hint="eastAsia" w:ascii="宋体" w:hAnsi="宋体"/>
          <w:kern w:val="0"/>
          <w:sz w:val="24"/>
          <w:szCs w:val="24"/>
        </w:rPr>
        <w:t>注册</w:t>
      </w:r>
      <w:r>
        <w:rPr>
          <w:rFonts w:ascii="宋体" w:hAnsi="宋体"/>
          <w:kern w:val="0"/>
          <w:sz w:val="24"/>
        </w:rPr>
        <w:t>的文件</w:t>
      </w:r>
    </w:p>
    <w:p w14:paraId="569D5F00">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（二）《交银施罗德</w:t>
      </w:r>
      <w:r>
        <w:rPr>
          <w:rFonts w:hint="eastAsia" w:ascii="宋体" w:hAnsi="宋体"/>
          <w:kern w:val="0"/>
          <w:sz w:val="24"/>
        </w:rPr>
        <w:t>惠享多资产六个月</w:t>
      </w:r>
      <w:r>
        <w:rPr>
          <w:rFonts w:ascii="宋体" w:hAnsi="宋体"/>
          <w:kern w:val="0"/>
          <w:sz w:val="24"/>
        </w:rPr>
        <w:t>持有期混合型基金中基金（FOF）基金合同》</w:t>
      </w:r>
    </w:p>
    <w:p w14:paraId="791D69DE">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w:t>
      </w:r>
      <w:r>
        <w:rPr>
          <w:rFonts w:hint="eastAsia" w:ascii="宋体" w:hAnsi="宋体"/>
          <w:kern w:val="0"/>
          <w:sz w:val="24"/>
        </w:rPr>
        <w:t>惠享多资产六个月</w:t>
      </w:r>
      <w:r>
        <w:rPr>
          <w:rFonts w:ascii="宋体" w:hAnsi="宋体"/>
          <w:kern w:val="0"/>
          <w:sz w:val="24"/>
        </w:rPr>
        <w:t>持有期混合型基金中基金（FOF）托管协议》</w:t>
      </w:r>
    </w:p>
    <w:p w14:paraId="733D5FB3">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14:paraId="4A9F82A4">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14:paraId="7DCF4105">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w:t>
      </w:r>
      <w:r>
        <w:rPr>
          <w:rFonts w:hint="eastAsia" w:ascii="宋体" w:hAnsi="宋体"/>
          <w:kern w:val="0"/>
          <w:sz w:val="24"/>
        </w:rPr>
        <w:t>惠享多资产六个月</w:t>
      </w:r>
      <w:r>
        <w:rPr>
          <w:rFonts w:ascii="宋体" w:hAnsi="宋体"/>
          <w:kern w:val="0"/>
          <w:sz w:val="24"/>
        </w:rPr>
        <w:t>持有期混合型基金中基金（FOF）</w:t>
      </w:r>
      <w:r>
        <w:rPr>
          <w:rFonts w:hint="eastAsia" w:ascii="宋体" w:hAnsi="宋体"/>
          <w:kern w:val="0"/>
          <w:sz w:val="24"/>
        </w:rPr>
        <w:t>的</w:t>
      </w:r>
      <w:r>
        <w:rPr>
          <w:rFonts w:ascii="宋体" w:hAnsi="宋体"/>
          <w:kern w:val="0"/>
          <w:sz w:val="24"/>
        </w:rPr>
        <w:t>法律意见书</w:t>
      </w:r>
    </w:p>
    <w:sectPr>
      <w:footerReference r:id="rId10" w:type="first"/>
      <w:footerReference r:id="rId9" w:type="default"/>
      <w:pgSz w:w="12240" w:h="15840"/>
      <w:pgMar w:top="1440" w:right="1800" w:bottom="1440" w:left="1800" w:header="720" w:footer="720" w:gutter="0"/>
      <w:pgNumType w:fmt="decimal"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750C">
    <w:pPr>
      <w:pStyle w:val="20"/>
      <w:jc w:val="center"/>
    </w:pPr>
    <w:r>
      <w:fldChar w:fldCharType="begin"/>
    </w:r>
    <w:r>
      <w:instrText xml:space="preserve"> PAGE   \* MERGEFORMAT </w:instrText>
    </w:r>
    <w:r>
      <w:fldChar w:fldCharType="separate"/>
    </w:r>
    <w:r>
      <w:t>2</w:t>
    </w:r>
    <w:r>
      <w:fldChar w:fldCharType="end"/>
    </w:r>
  </w:p>
  <w:p w14:paraId="2DBA82A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2B8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74346">
                          <w:pPr>
                            <w:pStyle w:val="20"/>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074346">
                    <w:pPr>
                      <w:pStyle w:val="20"/>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1FC9E0D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A09F">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7B98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67B98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0D7C">
    <w:pPr>
      <w:pStyle w:val="20"/>
      <w:jc w:val="center"/>
    </w:pPr>
  </w:p>
  <w:p w14:paraId="285F4579">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70AD">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4447">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D7B2D">
                          <w:pPr>
                            <w:pStyle w:val="20"/>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AD7B2D">
                    <w:pPr>
                      <w:pStyle w:val="20"/>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6C69342F">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C613">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CBB9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CBB9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CDED">
    <w:pPr>
      <w:pStyle w:val="21"/>
      <w:jc w:val="right"/>
    </w:pPr>
    <w:r>
      <w:rPr>
        <w:rFonts w:hint="eastAsia"/>
      </w:rPr>
      <w:t>交银施罗德惠享多资产六个月持有期混合型基金中基金（FOF）招募</w:t>
    </w:r>
    <w:r>
      <w:t>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001F6"/>
    <w:multiLevelType w:val="multilevel"/>
    <w:tmpl w:val="6B7001F6"/>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717B3F20"/>
    <w:multiLevelType w:val="multilevel"/>
    <w:tmpl w:val="717B3F2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DCB2A4A"/>
    <w:multiLevelType w:val="multilevel"/>
    <w:tmpl w:val="7DCB2A4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7FD"/>
    <w:rsid w:val="00000E8F"/>
    <w:rsid w:val="00000F69"/>
    <w:rsid w:val="00001A69"/>
    <w:rsid w:val="00002218"/>
    <w:rsid w:val="000023B4"/>
    <w:rsid w:val="00002D5D"/>
    <w:rsid w:val="000036ED"/>
    <w:rsid w:val="000049DF"/>
    <w:rsid w:val="00004BC7"/>
    <w:rsid w:val="00004F21"/>
    <w:rsid w:val="0000665B"/>
    <w:rsid w:val="0000674D"/>
    <w:rsid w:val="000077E2"/>
    <w:rsid w:val="00007B19"/>
    <w:rsid w:val="00007C4D"/>
    <w:rsid w:val="00012036"/>
    <w:rsid w:val="00012788"/>
    <w:rsid w:val="00013380"/>
    <w:rsid w:val="000141E9"/>
    <w:rsid w:val="000142FC"/>
    <w:rsid w:val="0001462E"/>
    <w:rsid w:val="00014A8B"/>
    <w:rsid w:val="00015379"/>
    <w:rsid w:val="00015550"/>
    <w:rsid w:val="00015DB8"/>
    <w:rsid w:val="00016BA8"/>
    <w:rsid w:val="00020026"/>
    <w:rsid w:val="00020FB6"/>
    <w:rsid w:val="00021295"/>
    <w:rsid w:val="0002132B"/>
    <w:rsid w:val="00021950"/>
    <w:rsid w:val="00022ED1"/>
    <w:rsid w:val="00023E32"/>
    <w:rsid w:val="00023E75"/>
    <w:rsid w:val="00024617"/>
    <w:rsid w:val="000248AB"/>
    <w:rsid w:val="00025D7E"/>
    <w:rsid w:val="00026016"/>
    <w:rsid w:val="00026566"/>
    <w:rsid w:val="00026C62"/>
    <w:rsid w:val="000273A7"/>
    <w:rsid w:val="0003244B"/>
    <w:rsid w:val="00032B65"/>
    <w:rsid w:val="00033D71"/>
    <w:rsid w:val="00034F61"/>
    <w:rsid w:val="00035769"/>
    <w:rsid w:val="00035A54"/>
    <w:rsid w:val="00035E99"/>
    <w:rsid w:val="0003639E"/>
    <w:rsid w:val="00037275"/>
    <w:rsid w:val="000375E0"/>
    <w:rsid w:val="000376EB"/>
    <w:rsid w:val="000411FD"/>
    <w:rsid w:val="000437B3"/>
    <w:rsid w:val="00043A36"/>
    <w:rsid w:val="0004506F"/>
    <w:rsid w:val="000461B1"/>
    <w:rsid w:val="000467E8"/>
    <w:rsid w:val="000469CF"/>
    <w:rsid w:val="00046AF9"/>
    <w:rsid w:val="00047E47"/>
    <w:rsid w:val="00050316"/>
    <w:rsid w:val="000507CD"/>
    <w:rsid w:val="000516AE"/>
    <w:rsid w:val="00051A7C"/>
    <w:rsid w:val="00051F45"/>
    <w:rsid w:val="000531A3"/>
    <w:rsid w:val="00053490"/>
    <w:rsid w:val="000534C3"/>
    <w:rsid w:val="000539EE"/>
    <w:rsid w:val="00054043"/>
    <w:rsid w:val="00055357"/>
    <w:rsid w:val="000563F7"/>
    <w:rsid w:val="00056533"/>
    <w:rsid w:val="0005668A"/>
    <w:rsid w:val="000569F4"/>
    <w:rsid w:val="00057796"/>
    <w:rsid w:val="00060EE8"/>
    <w:rsid w:val="00061974"/>
    <w:rsid w:val="000635F3"/>
    <w:rsid w:val="00064EBA"/>
    <w:rsid w:val="00065B95"/>
    <w:rsid w:val="0006727E"/>
    <w:rsid w:val="0006731B"/>
    <w:rsid w:val="00067AC9"/>
    <w:rsid w:val="00070905"/>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2325"/>
    <w:rsid w:val="000825D3"/>
    <w:rsid w:val="00082AB1"/>
    <w:rsid w:val="00084506"/>
    <w:rsid w:val="00084CED"/>
    <w:rsid w:val="00085045"/>
    <w:rsid w:val="000866EF"/>
    <w:rsid w:val="00087169"/>
    <w:rsid w:val="00090135"/>
    <w:rsid w:val="00091D59"/>
    <w:rsid w:val="000925B0"/>
    <w:rsid w:val="00092E94"/>
    <w:rsid w:val="00092EBF"/>
    <w:rsid w:val="00093020"/>
    <w:rsid w:val="00093165"/>
    <w:rsid w:val="00094D28"/>
    <w:rsid w:val="00095A8B"/>
    <w:rsid w:val="00096172"/>
    <w:rsid w:val="00096665"/>
    <w:rsid w:val="000967C1"/>
    <w:rsid w:val="0009775F"/>
    <w:rsid w:val="00097984"/>
    <w:rsid w:val="000A0565"/>
    <w:rsid w:val="000A1DC7"/>
    <w:rsid w:val="000A21D3"/>
    <w:rsid w:val="000A2FD3"/>
    <w:rsid w:val="000A3044"/>
    <w:rsid w:val="000A365C"/>
    <w:rsid w:val="000A36E6"/>
    <w:rsid w:val="000A3EF8"/>
    <w:rsid w:val="000A775B"/>
    <w:rsid w:val="000B07CA"/>
    <w:rsid w:val="000B2149"/>
    <w:rsid w:val="000B26A8"/>
    <w:rsid w:val="000B3528"/>
    <w:rsid w:val="000B3D39"/>
    <w:rsid w:val="000B4C2D"/>
    <w:rsid w:val="000B4FB6"/>
    <w:rsid w:val="000B6967"/>
    <w:rsid w:val="000B73D3"/>
    <w:rsid w:val="000B78FB"/>
    <w:rsid w:val="000C0148"/>
    <w:rsid w:val="000C1A8D"/>
    <w:rsid w:val="000C2295"/>
    <w:rsid w:val="000C2DD2"/>
    <w:rsid w:val="000C4549"/>
    <w:rsid w:val="000C4E01"/>
    <w:rsid w:val="000C650A"/>
    <w:rsid w:val="000C7711"/>
    <w:rsid w:val="000D0D52"/>
    <w:rsid w:val="000D0ED3"/>
    <w:rsid w:val="000D1375"/>
    <w:rsid w:val="000D37C6"/>
    <w:rsid w:val="000D3A89"/>
    <w:rsid w:val="000D4263"/>
    <w:rsid w:val="000D49D5"/>
    <w:rsid w:val="000D52A6"/>
    <w:rsid w:val="000D5329"/>
    <w:rsid w:val="000D5DBE"/>
    <w:rsid w:val="000D5EB3"/>
    <w:rsid w:val="000D6B73"/>
    <w:rsid w:val="000D70D6"/>
    <w:rsid w:val="000D76D1"/>
    <w:rsid w:val="000E013B"/>
    <w:rsid w:val="000E08D8"/>
    <w:rsid w:val="000E3675"/>
    <w:rsid w:val="000E3794"/>
    <w:rsid w:val="000E3A6B"/>
    <w:rsid w:val="000E4049"/>
    <w:rsid w:val="000E4073"/>
    <w:rsid w:val="000E410D"/>
    <w:rsid w:val="000E456C"/>
    <w:rsid w:val="000E518A"/>
    <w:rsid w:val="000E53EB"/>
    <w:rsid w:val="000E7A90"/>
    <w:rsid w:val="000F1899"/>
    <w:rsid w:val="000F2783"/>
    <w:rsid w:val="000F3F56"/>
    <w:rsid w:val="000F5072"/>
    <w:rsid w:val="000F50B4"/>
    <w:rsid w:val="000F525A"/>
    <w:rsid w:val="000F5310"/>
    <w:rsid w:val="000F5363"/>
    <w:rsid w:val="000F603F"/>
    <w:rsid w:val="000F6855"/>
    <w:rsid w:val="00100052"/>
    <w:rsid w:val="0010062F"/>
    <w:rsid w:val="00100DB6"/>
    <w:rsid w:val="00100FB6"/>
    <w:rsid w:val="00101DDD"/>
    <w:rsid w:val="00102993"/>
    <w:rsid w:val="00102B0F"/>
    <w:rsid w:val="00102F17"/>
    <w:rsid w:val="001032A4"/>
    <w:rsid w:val="0010389E"/>
    <w:rsid w:val="00103B2F"/>
    <w:rsid w:val="0010403C"/>
    <w:rsid w:val="00104092"/>
    <w:rsid w:val="001048B1"/>
    <w:rsid w:val="00105E2F"/>
    <w:rsid w:val="00106793"/>
    <w:rsid w:val="00106936"/>
    <w:rsid w:val="00106E70"/>
    <w:rsid w:val="00107C20"/>
    <w:rsid w:val="00107D4B"/>
    <w:rsid w:val="00107EED"/>
    <w:rsid w:val="00110F63"/>
    <w:rsid w:val="00111801"/>
    <w:rsid w:val="00112984"/>
    <w:rsid w:val="00114D7C"/>
    <w:rsid w:val="00114D9C"/>
    <w:rsid w:val="00115767"/>
    <w:rsid w:val="0011591F"/>
    <w:rsid w:val="0011593B"/>
    <w:rsid w:val="00115C4B"/>
    <w:rsid w:val="00115DD2"/>
    <w:rsid w:val="001166C2"/>
    <w:rsid w:val="00116B1B"/>
    <w:rsid w:val="00116E5F"/>
    <w:rsid w:val="00117D50"/>
    <w:rsid w:val="00120A92"/>
    <w:rsid w:val="001211C6"/>
    <w:rsid w:val="001214B9"/>
    <w:rsid w:val="00122CF1"/>
    <w:rsid w:val="00122E51"/>
    <w:rsid w:val="00122FD4"/>
    <w:rsid w:val="0012435E"/>
    <w:rsid w:val="00124732"/>
    <w:rsid w:val="0012504C"/>
    <w:rsid w:val="00125194"/>
    <w:rsid w:val="001266C3"/>
    <w:rsid w:val="0012671A"/>
    <w:rsid w:val="00126BA9"/>
    <w:rsid w:val="0012740E"/>
    <w:rsid w:val="00127FFA"/>
    <w:rsid w:val="00130A6E"/>
    <w:rsid w:val="00132328"/>
    <w:rsid w:val="001325E6"/>
    <w:rsid w:val="00132970"/>
    <w:rsid w:val="001336A1"/>
    <w:rsid w:val="0013427E"/>
    <w:rsid w:val="00134304"/>
    <w:rsid w:val="001347F3"/>
    <w:rsid w:val="00136501"/>
    <w:rsid w:val="00136C37"/>
    <w:rsid w:val="00137635"/>
    <w:rsid w:val="001401A8"/>
    <w:rsid w:val="00140C46"/>
    <w:rsid w:val="001411CF"/>
    <w:rsid w:val="00141A31"/>
    <w:rsid w:val="00141A52"/>
    <w:rsid w:val="00142329"/>
    <w:rsid w:val="00143E10"/>
    <w:rsid w:val="00144902"/>
    <w:rsid w:val="00146C8F"/>
    <w:rsid w:val="0014735A"/>
    <w:rsid w:val="001473F8"/>
    <w:rsid w:val="001479F5"/>
    <w:rsid w:val="00147B82"/>
    <w:rsid w:val="001504A3"/>
    <w:rsid w:val="0015091E"/>
    <w:rsid w:val="00150999"/>
    <w:rsid w:val="00150B74"/>
    <w:rsid w:val="00151D76"/>
    <w:rsid w:val="00151FEC"/>
    <w:rsid w:val="00152F4D"/>
    <w:rsid w:val="00153CA3"/>
    <w:rsid w:val="00154147"/>
    <w:rsid w:val="0015477B"/>
    <w:rsid w:val="001551F2"/>
    <w:rsid w:val="00155489"/>
    <w:rsid w:val="0015580D"/>
    <w:rsid w:val="0015580E"/>
    <w:rsid w:val="00155C9F"/>
    <w:rsid w:val="001562E0"/>
    <w:rsid w:val="00156624"/>
    <w:rsid w:val="00156CDE"/>
    <w:rsid w:val="00156E4E"/>
    <w:rsid w:val="001577C7"/>
    <w:rsid w:val="00157AAF"/>
    <w:rsid w:val="001623B0"/>
    <w:rsid w:val="00162915"/>
    <w:rsid w:val="001629C9"/>
    <w:rsid w:val="001629DE"/>
    <w:rsid w:val="001648AA"/>
    <w:rsid w:val="001651A4"/>
    <w:rsid w:val="00165F32"/>
    <w:rsid w:val="00166C0E"/>
    <w:rsid w:val="00166E4B"/>
    <w:rsid w:val="00167015"/>
    <w:rsid w:val="001670ED"/>
    <w:rsid w:val="00167C70"/>
    <w:rsid w:val="0017072D"/>
    <w:rsid w:val="001723A3"/>
    <w:rsid w:val="00172632"/>
    <w:rsid w:val="00172A27"/>
    <w:rsid w:val="00172E25"/>
    <w:rsid w:val="00172E34"/>
    <w:rsid w:val="00172FA0"/>
    <w:rsid w:val="00175439"/>
    <w:rsid w:val="00175E1A"/>
    <w:rsid w:val="001760E1"/>
    <w:rsid w:val="00176574"/>
    <w:rsid w:val="00176A90"/>
    <w:rsid w:val="00176E7D"/>
    <w:rsid w:val="0018056C"/>
    <w:rsid w:val="00181528"/>
    <w:rsid w:val="00181D6A"/>
    <w:rsid w:val="00182281"/>
    <w:rsid w:val="001829F1"/>
    <w:rsid w:val="00183A39"/>
    <w:rsid w:val="00184093"/>
    <w:rsid w:val="00184B24"/>
    <w:rsid w:val="00184DB7"/>
    <w:rsid w:val="001854DC"/>
    <w:rsid w:val="00185850"/>
    <w:rsid w:val="00185FFD"/>
    <w:rsid w:val="00186102"/>
    <w:rsid w:val="00186FD4"/>
    <w:rsid w:val="00190429"/>
    <w:rsid w:val="001907EB"/>
    <w:rsid w:val="0019090C"/>
    <w:rsid w:val="00190A7F"/>
    <w:rsid w:val="00190E90"/>
    <w:rsid w:val="0019213F"/>
    <w:rsid w:val="001923D6"/>
    <w:rsid w:val="00192A84"/>
    <w:rsid w:val="001939CE"/>
    <w:rsid w:val="001940CA"/>
    <w:rsid w:val="001942B2"/>
    <w:rsid w:val="0019505F"/>
    <w:rsid w:val="0019658D"/>
    <w:rsid w:val="001968CE"/>
    <w:rsid w:val="0019719A"/>
    <w:rsid w:val="00197746"/>
    <w:rsid w:val="001A1652"/>
    <w:rsid w:val="001A1D00"/>
    <w:rsid w:val="001A37F7"/>
    <w:rsid w:val="001A3878"/>
    <w:rsid w:val="001A39CE"/>
    <w:rsid w:val="001A401D"/>
    <w:rsid w:val="001A49AE"/>
    <w:rsid w:val="001A57CF"/>
    <w:rsid w:val="001A5BFF"/>
    <w:rsid w:val="001B026A"/>
    <w:rsid w:val="001B050A"/>
    <w:rsid w:val="001B1792"/>
    <w:rsid w:val="001B2567"/>
    <w:rsid w:val="001B3218"/>
    <w:rsid w:val="001B33A8"/>
    <w:rsid w:val="001B3D15"/>
    <w:rsid w:val="001B4357"/>
    <w:rsid w:val="001B46A1"/>
    <w:rsid w:val="001B480D"/>
    <w:rsid w:val="001B4BD5"/>
    <w:rsid w:val="001B5948"/>
    <w:rsid w:val="001B5B85"/>
    <w:rsid w:val="001B65BB"/>
    <w:rsid w:val="001B7CA2"/>
    <w:rsid w:val="001C2AE6"/>
    <w:rsid w:val="001C3484"/>
    <w:rsid w:val="001C5648"/>
    <w:rsid w:val="001C60AF"/>
    <w:rsid w:val="001C651B"/>
    <w:rsid w:val="001C7D5B"/>
    <w:rsid w:val="001D0792"/>
    <w:rsid w:val="001D0A65"/>
    <w:rsid w:val="001D125E"/>
    <w:rsid w:val="001D187F"/>
    <w:rsid w:val="001D1B07"/>
    <w:rsid w:val="001D1D96"/>
    <w:rsid w:val="001D23C8"/>
    <w:rsid w:val="001D3529"/>
    <w:rsid w:val="001D39C0"/>
    <w:rsid w:val="001D49D6"/>
    <w:rsid w:val="001D55B4"/>
    <w:rsid w:val="001D5947"/>
    <w:rsid w:val="001D5F76"/>
    <w:rsid w:val="001D6690"/>
    <w:rsid w:val="001D6A52"/>
    <w:rsid w:val="001D7D80"/>
    <w:rsid w:val="001D7E20"/>
    <w:rsid w:val="001E1159"/>
    <w:rsid w:val="001E31E7"/>
    <w:rsid w:val="001E3944"/>
    <w:rsid w:val="001E3FDB"/>
    <w:rsid w:val="001E4091"/>
    <w:rsid w:val="001E40FB"/>
    <w:rsid w:val="001E4801"/>
    <w:rsid w:val="001E6F16"/>
    <w:rsid w:val="001F0410"/>
    <w:rsid w:val="001F1BCF"/>
    <w:rsid w:val="001F267C"/>
    <w:rsid w:val="001F2812"/>
    <w:rsid w:val="001F3280"/>
    <w:rsid w:val="001F3354"/>
    <w:rsid w:val="001F3D5E"/>
    <w:rsid w:val="001F4DF7"/>
    <w:rsid w:val="001F52BC"/>
    <w:rsid w:val="001F534E"/>
    <w:rsid w:val="001F6522"/>
    <w:rsid w:val="001F6638"/>
    <w:rsid w:val="001F6E63"/>
    <w:rsid w:val="00200729"/>
    <w:rsid w:val="00200867"/>
    <w:rsid w:val="0020102F"/>
    <w:rsid w:val="00201A69"/>
    <w:rsid w:val="002022D7"/>
    <w:rsid w:val="00202A26"/>
    <w:rsid w:val="00203F5C"/>
    <w:rsid w:val="0020442C"/>
    <w:rsid w:val="00204B5D"/>
    <w:rsid w:val="002053F4"/>
    <w:rsid w:val="00205728"/>
    <w:rsid w:val="002065B3"/>
    <w:rsid w:val="00206F43"/>
    <w:rsid w:val="00207297"/>
    <w:rsid w:val="00207C0A"/>
    <w:rsid w:val="00210B5D"/>
    <w:rsid w:val="002112D0"/>
    <w:rsid w:val="00211327"/>
    <w:rsid w:val="002113E4"/>
    <w:rsid w:val="0021175A"/>
    <w:rsid w:val="00211DDD"/>
    <w:rsid w:val="00213CA7"/>
    <w:rsid w:val="002140CF"/>
    <w:rsid w:val="002148CD"/>
    <w:rsid w:val="002159EF"/>
    <w:rsid w:val="002164DD"/>
    <w:rsid w:val="002172D5"/>
    <w:rsid w:val="00217E1A"/>
    <w:rsid w:val="0022028D"/>
    <w:rsid w:val="002206AB"/>
    <w:rsid w:val="00221127"/>
    <w:rsid w:val="002213BF"/>
    <w:rsid w:val="002229B0"/>
    <w:rsid w:val="00222DC0"/>
    <w:rsid w:val="0022412E"/>
    <w:rsid w:val="00225114"/>
    <w:rsid w:val="00225526"/>
    <w:rsid w:val="0022586B"/>
    <w:rsid w:val="00225A26"/>
    <w:rsid w:val="0022646A"/>
    <w:rsid w:val="00227112"/>
    <w:rsid w:val="0023056E"/>
    <w:rsid w:val="00230AE2"/>
    <w:rsid w:val="002339A6"/>
    <w:rsid w:val="002342B4"/>
    <w:rsid w:val="002344C9"/>
    <w:rsid w:val="00234677"/>
    <w:rsid w:val="002349BB"/>
    <w:rsid w:val="0023502A"/>
    <w:rsid w:val="00236DFE"/>
    <w:rsid w:val="0023706F"/>
    <w:rsid w:val="0023763D"/>
    <w:rsid w:val="00237DF6"/>
    <w:rsid w:val="00237EF9"/>
    <w:rsid w:val="0024511C"/>
    <w:rsid w:val="00245383"/>
    <w:rsid w:val="002466BD"/>
    <w:rsid w:val="00246BFC"/>
    <w:rsid w:val="00246F1D"/>
    <w:rsid w:val="00247E3B"/>
    <w:rsid w:val="00250659"/>
    <w:rsid w:val="00250E84"/>
    <w:rsid w:val="00251677"/>
    <w:rsid w:val="00251890"/>
    <w:rsid w:val="0025234F"/>
    <w:rsid w:val="00253250"/>
    <w:rsid w:val="0025340B"/>
    <w:rsid w:val="002535F7"/>
    <w:rsid w:val="002541E3"/>
    <w:rsid w:val="002553F3"/>
    <w:rsid w:val="00256021"/>
    <w:rsid w:val="002564B8"/>
    <w:rsid w:val="00256ACE"/>
    <w:rsid w:val="00257615"/>
    <w:rsid w:val="0025788F"/>
    <w:rsid w:val="0025795A"/>
    <w:rsid w:val="00261D75"/>
    <w:rsid w:val="0026254E"/>
    <w:rsid w:val="002635EC"/>
    <w:rsid w:val="00264191"/>
    <w:rsid w:val="00264AD1"/>
    <w:rsid w:val="00264D5B"/>
    <w:rsid w:val="00265A1F"/>
    <w:rsid w:val="00265FD2"/>
    <w:rsid w:val="002661A3"/>
    <w:rsid w:val="00266ACE"/>
    <w:rsid w:val="00267315"/>
    <w:rsid w:val="00270E3A"/>
    <w:rsid w:val="00272220"/>
    <w:rsid w:val="00273181"/>
    <w:rsid w:val="00275382"/>
    <w:rsid w:val="00276576"/>
    <w:rsid w:val="00281F8E"/>
    <w:rsid w:val="002841F2"/>
    <w:rsid w:val="00284595"/>
    <w:rsid w:val="002860B5"/>
    <w:rsid w:val="002869FF"/>
    <w:rsid w:val="00287E74"/>
    <w:rsid w:val="00290576"/>
    <w:rsid w:val="00290B48"/>
    <w:rsid w:val="002920F3"/>
    <w:rsid w:val="00292156"/>
    <w:rsid w:val="0029355B"/>
    <w:rsid w:val="00293BC8"/>
    <w:rsid w:val="00295C6E"/>
    <w:rsid w:val="00296193"/>
    <w:rsid w:val="002962F6"/>
    <w:rsid w:val="0029691D"/>
    <w:rsid w:val="002979EB"/>
    <w:rsid w:val="002A16F7"/>
    <w:rsid w:val="002A1944"/>
    <w:rsid w:val="002A24E6"/>
    <w:rsid w:val="002A25B1"/>
    <w:rsid w:val="002A338E"/>
    <w:rsid w:val="002A4A10"/>
    <w:rsid w:val="002A4E3E"/>
    <w:rsid w:val="002A5387"/>
    <w:rsid w:val="002A6364"/>
    <w:rsid w:val="002B02A1"/>
    <w:rsid w:val="002B0DD7"/>
    <w:rsid w:val="002B0F37"/>
    <w:rsid w:val="002B12D9"/>
    <w:rsid w:val="002B13AB"/>
    <w:rsid w:val="002B14E0"/>
    <w:rsid w:val="002B180D"/>
    <w:rsid w:val="002B20BE"/>
    <w:rsid w:val="002B2676"/>
    <w:rsid w:val="002B2A1C"/>
    <w:rsid w:val="002B2AC2"/>
    <w:rsid w:val="002B2F63"/>
    <w:rsid w:val="002B3087"/>
    <w:rsid w:val="002B37CD"/>
    <w:rsid w:val="002B39B4"/>
    <w:rsid w:val="002B452E"/>
    <w:rsid w:val="002B537B"/>
    <w:rsid w:val="002B60E1"/>
    <w:rsid w:val="002B7181"/>
    <w:rsid w:val="002B78F9"/>
    <w:rsid w:val="002C05E2"/>
    <w:rsid w:val="002C08AA"/>
    <w:rsid w:val="002C0BB9"/>
    <w:rsid w:val="002C4278"/>
    <w:rsid w:val="002C579D"/>
    <w:rsid w:val="002C6411"/>
    <w:rsid w:val="002C6930"/>
    <w:rsid w:val="002C6D4F"/>
    <w:rsid w:val="002C7014"/>
    <w:rsid w:val="002C77BA"/>
    <w:rsid w:val="002C7A89"/>
    <w:rsid w:val="002D17E5"/>
    <w:rsid w:val="002D193A"/>
    <w:rsid w:val="002D19CB"/>
    <w:rsid w:val="002D1D28"/>
    <w:rsid w:val="002D3061"/>
    <w:rsid w:val="002D4CAA"/>
    <w:rsid w:val="002D541C"/>
    <w:rsid w:val="002D55B3"/>
    <w:rsid w:val="002D5E5D"/>
    <w:rsid w:val="002D66F8"/>
    <w:rsid w:val="002D6882"/>
    <w:rsid w:val="002D6D60"/>
    <w:rsid w:val="002D781E"/>
    <w:rsid w:val="002D7BAD"/>
    <w:rsid w:val="002E0AE6"/>
    <w:rsid w:val="002E1513"/>
    <w:rsid w:val="002E1A8B"/>
    <w:rsid w:val="002E1AC9"/>
    <w:rsid w:val="002E2738"/>
    <w:rsid w:val="002E4942"/>
    <w:rsid w:val="002E4A43"/>
    <w:rsid w:val="002E50C1"/>
    <w:rsid w:val="002E609E"/>
    <w:rsid w:val="002E72C3"/>
    <w:rsid w:val="002E7F7C"/>
    <w:rsid w:val="002F0904"/>
    <w:rsid w:val="002F0BA6"/>
    <w:rsid w:val="002F12C9"/>
    <w:rsid w:val="002F3CDD"/>
    <w:rsid w:val="002F3DC0"/>
    <w:rsid w:val="002F5679"/>
    <w:rsid w:val="002F579F"/>
    <w:rsid w:val="002F5C28"/>
    <w:rsid w:val="002F5CD3"/>
    <w:rsid w:val="002F60EF"/>
    <w:rsid w:val="0030037A"/>
    <w:rsid w:val="00301328"/>
    <w:rsid w:val="00302D39"/>
    <w:rsid w:val="00302EB3"/>
    <w:rsid w:val="00304168"/>
    <w:rsid w:val="00304AF3"/>
    <w:rsid w:val="003061C6"/>
    <w:rsid w:val="00306876"/>
    <w:rsid w:val="00310001"/>
    <w:rsid w:val="00310863"/>
    <w:rsid w:val="00310C7F"/>
    <w:rsid w:val="003111C0"/>
    <w:rsid w:val="003117F5"/>
    <w:rsid w:val="00311DBF"/>
    <w:rsid w:val="003122E8"/>
    <w:rsid w:val="003122FA"/>
    <w:rsid w:val="00312A59"/>
    <w:rsid w:val="00312D62"/>
    <w:rsid w:val="00312FE7"/>
    <w:rsid w:val="003136EB"/>
    <w:rsid w:val="003142AE"/>
    <w:rsid w:val="0031526E"/>
    <w:rsid w:val="00316510"/>
    <w:rsid w:val="00316FC1"/>
    <w:rsid w:val="003173DA"/>
    <w:rsid w:val="00320B50"/>
    <w:rsid w:val="00322B67"/>
    <w:rsid w:val="00322DA4"/>
    <w:rsid w:val="00323072"/>
    <w:rsid w:val="00323779"/>
    <w:rsid w:val="0032603A"/>
    <w:rsid w:val="003266A4"/>
    <w:rsid w:val="00327520"/>
    <w:rsid w:val="00327695"/>
    <w:rsid w:val="0033142F"/>
    <w:rsid w:val="003315C6"/>
    <w:rsid w:val="00331B4C"/>
    <w:rsid w:val="00332FA9"/>
    <w:rsid w:val="00333470"/>
    <w:rsid w:val="0033396F"/>
    <w:rsid w:val="0033398B"/>
    <w:rsid w:val="00333C94"/>
    <w:rsid w:val="003343B7"/>
    <w:rsid w:val="00334DC0"/>
    <w:rsid w:val="00335497"/>
    <w:rsid w:val="00337605"/>
    <w:rsid w:val="003403CE"/>
    <w:rsid w:val="00340B73"/>
    <w:rsid w:val="00341663"/>
    <w:rsid w:val="00341688"/>
    <w:rsid w:val="00342792"/>
    <w:rsid w:val="00343078"/>
    <w:rsid w:val="00343650"/>
    <w:rsid w:val="00344829"/>
    <w:rsid w:val="00344A3B"/>
    <w:rsid w:val="00345EBD"/>
    <w:rsid w:val="00346773"/>
    <w:rsid w:val="00347CC6"/>
    <w:rsid w:val="00347EA3"/>
    <w:rsid w:val="00347F70"/>
    <w:rsid w:val="00352C90"/>
    <w:rsid w:val="00354040"/>
    <w:rsid w:val="003540D3"/>
    <w:rsid w:val="00354142"/>
    <w:rsid w:val="00354164"/>
    <w:rsid w:val="00354B5F"/>
    <w:rsid w:val="003550FC"/>
    <w:rsid w:val="0035527F"/>
    <w:rsid w:val="00355952"/>
    <w:rsid w:val="00355C70"/>
    <w:rsid w:val="00355F44"/>
    <w:rsid w:val="003575F1"/>
    <w:rsid w:val="00357DC4"/>
    <w:rsid w:val="00357EBD"/>
    <w:rsid w:val="00360AFF"/>
    <w:rsid w:val="00362C07"/>
    <w:rsid w:val="00362F93"/>
    <w:rsid w:val="003634CE"/>
    <w:rsid w:val="00363BA1"/>
    <w:rsid w:val="00363DCA"/>
    <w:rsid w:val="00364553"/>
    <w:rsid w:val="00365D8B"/>
    <w:rsid w:val="00366575"/>
    <w:rsid w:val="003665B0"/>
    <w:rsid w:val="00367342"/>
    <w:rsid w:val="003709B2"/>
    <w:rsid w:val="00372916"/>
    <w:rsid w:val="00372E5D"/>
    <w:rsid w:val="00372E9D"/>
    <w:rsid w:val="003745A7"/>
    <w:rsid w:val="00374ABC"/>
    <w:rsid w:val="003750FA"/>
    <w:rsid w:val="00375104"/>
    <w:rsid w:val="00375A29"/>
    <w:rsid w:val="00375DCF"/>
    <w:rsid w:val="00375ECD"/>
    <w:rsid w:val="003775BF"/>
    <w:rsid w:val="00377A0D"/>
    <w:rsid w:val="00380AF9"/>
    <w:rsid w:val="00381452"/>
    <w:rsid w:val="003814C4"/>
    <w:rsid w:val="0038287E"/>
    <w:rsid w:val="003828A1"/>
    <w:rsid w:val="00383134"/>
    <w:rsid w:val="0038326A"/>
    <w:rsid w:val="00383909"/>
    <w:rsid w:val="003842EE"/>
    <w:rsid w:val="00384AEF"/>
    <w:rsid w:val="00384D22"/>
    <w:rsid w:val="003859EB"/>
    <w:rsid w:val="00385CDC"/>
    <w:rsid w:val="003868B0"/>
    <w:rsid w:val="00387671"/>
    <w:rsid w:val="00387C79"/>
    <w:rsid w:val="003902B5"/>
    <w:rsid w:val="00390549"/>
    <w:rsid w:val="003909E2"/>
    <w:rsid w:val="00391677"/>
    <w:rsid w:val="00392C6D"/>
    <w:rsid w:val="00392C8E"/>
    <w:rsid w:val="00393344"/>
    <w:rsid w:val="00393C66"/>
    <w:rsid w:val="003946F2"/>
    <w:rsid w:val="003949BA"/>
    <w:rsid w:val="003950D0"/>
    <w:rsid w:val="003956C4"/>
    <w:rsid w:val="003957F2"/>
    <w:rsid w:val="00395800"/>
    <w:rsid w:val="00395B30"/>
    <w:rsid w:val="00396296"/>
    <w:rsid w:val="00397050"/>
    <w:rsid w:val="00397CD6"/>
    <w:rsid w:val="003A0B2E"/>
    <w:rsid w:val="003A13EF"/>
    <w:rsid w:val="003A167C"/>
    <w:rsid w:val="003A1D49"/>
    <w:rsid w:val="003A2026"/>
    <w:rsid w:val="003A2955"/>
    <w:rsid w:val="003A2B26"/>
    <w:rsid w:val="003A333A"/>
    <w:rsid w:val="003A3437"/>
    <w:rsid w:val="003A36DB"/>
    <w:rsid w:val="003A5CAC"/>
    <w:rsid w:val="003A63FD"/>
    <w:rsid w:val="003A74EE"/>
    <w:rsid w:val="003B00CD"/>
    <w:rsid w:val="003B0B0C"/>
    <w:rsid w:val="003B2557"/>
    <w:rsid w:val="003B2884"/>
    <w:rsid w:val="003B3010"/>
    <w:rsid w:val="003B5EC9"/>
    <w:rsid w:val="003B66E3"/>
    <w:rsid w:val="003B7286"/>
    <w:rsid w:val="003C0901"/>
    <w:rsid w:val="003C0ED9"/>
    <w:rsid w:val="003C0F87"/>
    <w:rsid w:val="003C2444"/>
    <w:rsid w:val="003C2778"/>
    <w:rsid w:val="003C2DAE"/>
    <w:rsid w:val="003C3432"/>
    <w:rsid w:val="003C354F"/>
    <w:rsid w:val="003C4D79"/>
    <w:rsid w:val="003D0009"/>
    <w:rsid w:val="003D037C"/>
    <w:rsid w:val="003D08F8"/>
    <w:rsid w:val="003D0EF7"/>
    <w:rsid w:val="003D1A34"/>
    <w:rsid w:val="003D1D93"/>
    <w:rsid w:val="003D26AD"/>
    <w:rsid w:val="003D2FF0"/>
    <w:rsid w:val="003D369D"/>
    <w:rsid w:val="003D49F5"/>
    <w:rsid w:val="003D5261"/>
    <w:rsid w:val="003D5457"/>
    <w:rsid w:val="003D54ED"/>
    <w:rsid w:val="003D5728"/>
    <w:rsid w:val="003D5A80"/>
    <w:rsid w:val="003D655D"/>
    <w:rsid w:val="003D7221"/>
    <w:rsid w:val="003E0041"/>
    <w:rsid w:val="003E1676"/>
    <w:rsid w:val="003E17E1"/>
    <w:rsid w:val="003E1CAC"/>
    <w:rsid w:val="003E2863"/>
    <w:rsid w:val="003E31C3"/>
    <w:rsid w:val="003E44F3"/>
    <w:rsid w:val="003E47F7"/>
    <w:rsid w:val="003E5507"/>
    <w:rsid w:val="003E5FEA"/>
    <w:rsid w:val="003E63B2"/>
    <w:rsid w:val="003E6434"/>
    <w:rsid w:val="003E6C43"/>
    <w:rsid w:val="003E71BA"/>
    <w:rsid w:val="003F0BB2"/>
    <w:rsid w:val="003F0BCA"/>
    <w:rsid w:val="003F14E9"/>
    <w:rsid w:val="003F1604"/>
    <w:rsid w:val="003F4168"/>
    <w:rsid w:val="003F416E"/>
    <w:rsid w:val="003F5225"/>
    <w:rsid w:val="003F5A76"/>
    <w:rsid w:val="003F6DDA"/>
    <w:rsid w:val="003F6DDC"/>
    <w:rsid w:val="0040052B"/>
    <w:rsid w:val="0040058D"/>
    <w:rsid w:val="004007B8"/>
    <w:rsid w:val="0040380B"/>
    <w:rsid w:val="004046CF"/>
    <w:rsid w:val="00404DC5"/>
    <w:rsid w:val="004058F5"/>
    <w:rsid w:val="00406408"/>
    <w:rsid w:val="00407006"/>
    <w:rsid w:val="00407A35"/>
    <w:rsid w:val="004104E8"/>
    <w:rsid w:val="004104FD"/>
    <w:rsid w:val="004106AA"/>
    <w:rsid w:val="004106FE"/>
    <w:rsid w:val="004112DB"/>
    <w:rsid w:val="00413E5F"/>
    <w:rsid w:val="004151D7"/>
    <w:rsid w:val="004217AF"/>
    <w:rsid w:val="00421AA6"/>
    <w:rsid w:val="00423237"/>
    <w:rsid w:val="00424BE4"/>
    <w:rsid w:val="004250A5"/>
    <w:rsid w:val="0042524B"/>
    <w:rsid w:val="00425EA8"/>
    <w:rsid w:val="00426254"/>
    <w:rsid w:val="004276F1"/>
    <w:rsid w:val="00427CBF"/>
    <w:rsid w:val="0043062F"/>
    <w:rsid w:val="00430A2C"/>
    <w:rsid w:val="00431A31"/>
    <w:rsid w:val="00431D0B"/>
    <w:rsid w:val="00431FE5"/>
    <w:rsid w:val="0043218B"/>
    <w:rsid w:val="00432636"/>
    <w:rsid w:val="004326E3"/>
    <w:rsid w:val="00432883"/>
    <w:rsid w:val="00434113"/>
    <w:rsid w:val="00437030"/>
    <w:rsid w:val="004370A4"/>
    <w:rsid w:val="00437AD4"/>
    <w:rsid w:val="004403D5"/>
    <w:rsid w:val="0044052F"/>
    <w:rsid w:val="00440BB2"/>
    <w:rsid w:val="00440DEB"/>
    <w:rsid w:val="00440F8C"/>
    <w:rsid w:val="004414C4"/>
    <w:rsid w:val="0044187C"/>
    <w:rsid w:val="004419AE"/>
    <w:rsid w:val="0044364A"/>
    <w:rsid w:val="00443C68"/>
    <w:rsid w:val="0044452E"/>
    <w:rsid w:val="004457B1"/>
    <w:rsid w:val="00445D20"/>
    <w:rsid w:val="004461DC"/>
    <w:rsid w:val="004464BF"/>
    <w:rsid w:val="004465B3"/>
    <w:rsid w:val="004466A9"/>
    <w:rsid w:val="00446CD5"/>
    <w:rsid w:val="00447791"/>
    <w:rsid w:val="00447B3F"/>
    <w:rsid w:val="004509A7"/>
    <w:rsid w:val="0045195C"/>
    <w:rsid w:val="0045254B"/>
    <w:rsid w:val="0045443A"/>
    <w:rsid w:val="00454AED"/>
    <w:rsid w:val="00454D7C"/>
    <w:rsid w:val="004557AD"/>
    <w:rsid w:val="00456E6D"/>
    <w:rsid w:val="00456FD9"/>
    <w:rsid w:val="004570C4"/>
    <w:rsid w:val="00457F73"/>
    <w:rsid w:val="0046060E"/>
    <w:rsid w:val="0046107F"/>
    <w:rsid w:val="00461527"/>
    <w:rsid w:val="00463671"/>
    <w:rsid w:val="00463C82"/>
    <w:rsid w:val="00463CC8"/>
    <w:rsid w:val="00463D20"/>
    <w:rsid w:val="004645F7"/>
    <w:rsid w:val="004647A4"/>
    <w:rsid w:val="00464849"/>
    <w:rsid w:val="00464A24"/>
    <w:rsid w:val="00464E7F"/>
    <w:rsid w:val="00465F6F"/>
    <w:rsid w:val="00466384"/>
    <w:rsid w:val="00466A56"/>
    <w:rsid w:val="00467282"/>
    <w:rsid w:val="00470D6C"/>
    <w:rsid w:val="0047104C"/>
    <w:rsid w:val="0047277B"/>
    <w:rsid w:val="00472839"/>
    <w:rsid w:val="00473C4C"/>
    <w:rsid w:val="00473F40"/>
    <w:rsid w:val="004742B0"/>
    <w:rsid w:val="00476370"/>
    <w:rsid w:val="00482082"/>
    <w:rsid w:val="0048466D"/>
    <w:rsid w:val="004851A5"/>
    <w:rsid w:val="00485CB4"/>
    <w:rsid w:val="00486983"/>
    <w:rsid w:val="00486AEC"/>
    <w:rsid w:val="00487702"/>
    <w:rsid w:val="004877B9"/>
    <w:rsid w:val="00487B68"/>
    <w:rsid w:val="00490994"/>
    <w:rsid w:val="00490A0E"/>
    <w:rsid w:val="00491178"/>
    <w:rsid w:val="004915F3"/>
    <w:rsid w:val="00491993"/>
    <w:rsid w:val="00494F45"/>
    <w:rsid w:val="004955C1"/>
    <w:rsid w:val="00495EAB"/>
    <w:rsid w:val="0049607F"/>
    <w:rsid w:val="0049664E"/>
    <w:rsid w:val="0049680E"/>
    <w:rsid w:val="00496815"/>
    <w:rsid w:val="0049701D"/>
    <w:rsid w:val="004971B4"/>
    <w:rsid w:val="004974EB"/>
    <w:rsid w:val="004978F0"/>
    <w:rsid w:val="004979B6"/>
    <w:rsid w:val="004A07F8"/>
    <w:rsid w:val="004A1086"/>
    <w:rsid w:val="004A1CDD"/>
    <w:rsid w:val="004A1D8A"/>
    <w:rsid w:val="004A1DE3"/>
    <w:rsid w:val="004A32C4"/>
    <w:rsid w:val="004A3306"/>
    <w:rsid w:val="004A4FD3"/>
    <w:rsid w:val="004A5896"/>
    <w:rsid w:val="004A5A4F"/>
    <w:rsid w:val="004A633B"/>
    <w:rsid w:val="004A6F6A"/>
    <w:rsid w:val="004A70BC"/>
    <w:rsid w:val="004A7185"/>
    <w:rsid w:val="004B0611"/>
    <w:rsid w:val="004B0A0B"/>
    <w:rsid w:val="004B10BE"/>
    <w:rsid w:val="004B1B07"/>
    <w:rsid w:val="004B24AE"/>
    <w:rsid w:val="004B35FB"/>
    <w:rsid w:val="004B3EF9"/>
    <w:rsid w:val="004B3FBF"/>
    <w:rsid w:val="004B550D"/>
    <w:rsid w:val="004B5876"/>
    <w:rsid w:val="004B7068"/>
    <w:rsid w:val="004B711A"/>
    <w:rsid w:val="004B7D31"/>
    <w:rsid w:val="004B7DC4"/>
    <w:rsid w:val="004C243E"/>
    <w:rsid w:val="004C2F9D"/>
    <w:rsid w:val="004C36B3"/>
    <w:rsid w:val="004C36BB"/>
    <w:rsid w:val="004C3A7E"/>
    <w:rsid w:val="004C3BF1"/>
    <w:rsid w:val="004C3D0A"/>
    <w:rsid w:val="004C4D33"/>
    <w:rsid w:val="004C5241"/>
    <w:rsid w:val="004C5F6D"/>
    <w:rsid w:val="004C720E"/>
    <w:rsid w:val="004C7F8A"/>
    <w:rsid w:val="004D340D"/>
    <w:rsid w:val="004D34F3"/>
    <w:rsid w:val="004D4017"/>
    <w:rsid w:val="004D5C36"/>
    <w:rsid w:val="004E09A5"/>
    <w:rsid w:val="004E209D"/>
    <w:rsid w:val="004E279E"/>
    <w:rsid w:val="004E29FD"/>
    <w:rsid w:val="004E47B0"/>
    <w:rsid w:val="004E5302"/>
    <w:rsid w:val="004E592A"/>
    <w:rsid w:val="004E5AB1"/>
    <w:rsid w:val="004E6CFB"/>
    <w:rsid w:val="004E7004"/>
    <w:rsid w:val="004E708A"/>
    <w:rsid w:val="004E7380"/>
    <w:rsid w:val="004E758C"/>
    <w:rsid w:val="004E77AA"/>
    <w:rsid w:val="004E79BF"/>
    <w:rsid w:val="004E7A10"/>
    <w:rsid w:val="004E7FB4"/>
    <w:rsid w:val="004F0D4B"/>
    <w:rsid w:val="004F2125"/>
    <w:rsid w:val="004F2C9E"/>
    <w:rsid w:val="004F2F74"/>
    <w:rsid w:val="004F30F2"/>
    <w:rsid w:val="004F3CB8"/>
    <w:rsid w:val="004F4D77"/>
    <w:rsid w:val="004F5D44"/>
    <w:rsid w:val="004F72EB"/>
    <w:rsid w:val="004F79DC"/>
    <w:rsid w:val="004F7BFD"/>
    <w:rsid w:val="004F7DE8"/>
    <w:rsid w:val="004F7F45"/>
    <w:rsid w:val="005001A3"/>
    <w:rsid w:val="00501C88"/>
    <w:rsid w:val="00502251"/>
    <w:rsid w:val="00502B26"/>
    <w:rsid w:val="00502BFA"/>
    <w:rsid w:val="0050313F"/>
    <w:rsid w:val="005033DC"/>
    <w:rsid w:val="005036C2"/>
    <w:rsid w:val="005044AE"/>
    <w:rsid w:val="00504BDF"/>
    <w:rsid w:val="00505A18"/>
    <w:rsid w:val="00505AE1"/>
    <w:rsid w:val="00505F1A"/>
    <w:rsid w:val="0050666F"/>
    <w:rsid w:val="0050679A"/>
    <w:rsid w:val="00506A30"/>
    <w:rsid w:val="00506A86"/>
    <w:rsid w:val="005077C9"/>
    <w:rsid w:val="00507A31"/>
    <w:rsid w:val="005119F7"/>
    <w:rsid w:val="005120D4"/>
    <w:rsid w:val="005135AA"/>
    <w:rsid w:val="005145B4"/>
    <w:rsid w:val="00515D02"/>
    <w:rsid w:val="0051642F"/>
    <w:rsid w:val="005176CA"/>
    <w:rsid w:val="00517AF3"/>
    <w:rsid w:val="005210F7"/>
    <w:rsid w:val="00521F68"/>
    <w:rsid w:val="00522E7B"/>
    <w:rsid w:val="0052347F"/>
    <w:rsid w:val="00523C59"/>
    <w:rsid w:val="00526D70"/>
    <w:rsid w:val="00530A28"/>
    <w:rsid w:val="00531600"/>
    <w:rsid w:val="00531CA1"/>
    <w:rsid w:val="00533A67"/>
    <w:rsid w:val="00533B6B"/>
    <w:rsid w:val="00534271"/>
    <w:rsid w:val="00534293"/>
    <w:rsid w:val="00534733"/>
    <w:rsid w:val="005358B3"/>
    <w:rsid w:val="00536575"/>
    <w:rsid w:val="0053660E"/>
    <w:rsid w:val="005368C2"/>
    <w:rsid w:val="00540141"/>
    <w:rsid w:val="00540761"/>
    <w:rsid w:val="0054149C"/>
    <w:rsid w:val="00541ABE"/>
    <w:rsid w:val="00541B25"/>
    <w:rsid w:val="00542205"/>
    <w:rsid w:val="005435A1"/>
    <w:rsid w:val="00543A59"/>
    <w:rsid w:val="00543CBF"/>
    <w:rsid w:val="00543D3D"/>
    <w:rsid w:val="005444BD"/>
    <w:rsid w:val="00544A92"/>
    <w:rsid w:val="00544B5A"/>
    <w:rsid w:val="00544D2E"/>
    <w:rsid w:val="00544E5D"/>
    <w:rsid w:val="005452ED"/>
    <w:rsid w:val="0054537D"/>
    <w:rsid w:val="005470BE"/>
    <w:rsid w:val="0054788C"/>
    <w:rsid w:val="00547CBE"/>
    <w:rsid w:val="0055062D"/>
    <w:rsid w:val="00551870"/>
    <w:rsid w:val="00551977"/>
    <w:rsid w:val="00552A56"/>
    <w:rsid w:val="00552FC3"/>
    <w:rsid w:val="00554639"/>
    <w:rsid w:val="00554C85"/>
    <w:rsid w:val="00555064"/>
    <w:rsid w:val="005550E5"/>
    <w:rsid w:val="0055516B"/>
    <w:rsid w:val="005552C2"/>
    <w:rsid w:val="00555F2C"/>
    <w:rsid w:val="005561B1"/>
    <w:rsid w:val="005565C9"/>
    <w:rsid w:val="00556A03"/>
    <w:rsid w:val="00557E93"/>
    <w:rsid w:val="0056072A"/>
    <w:rsid w:val="00560B59"/>
    <w:rsid w:val="00560C9F"/>
    <w:rsid w:val="005616E3"/>
    <w:rsid w:val="00561BD1"/>
    <w:rsid w:val="005621CB"/>
    <w:rsid w:val="005643A7"/>
    <w:rsid w:val="0056490B"/>
    <w:rsid w:val="00564F8D"/>
    <w:rsid w:val="00565375"/>
    <w:rsid w:val="00566FCD"/>
    <w:rsid w:val="0056784C"/>
    <w:rsid w:val="005678F2"/>
    <w:rsid w:val="00567B83"/>
    <w:rsid w:val="00570788"/>
    <w:rsid w:val="00571009"/>
    <w:rsid w:val="00571556"/>
    <w:rsid w:val="00571B4E"/>
    <w:rsid w:val="005723FD"/>
    <w:rsid w:val="00572BF8"/>
    <w:rsid w:val="00572EF5"/>
    <w:rsid w:val="005732A2"/>
    <w:rsid w:val="005736BE"/>
    <w:rsid w:val="00573B9B"/>
    <w:rsid w:val="00574190"/>
    <w:rsid w:val="005743C2"/>
    <w:rsid w:val="00575FD9"/>
    <w:rsid w:val="005778A7"/>
    <w:rsid w:val="0058033F"/>
    <w:rsid w:val="00580B87"/>
    <w:rsid w:val="00582518"/>
    <w:rsid w:val="005829DC"/>
    <w:rsid w:val="00582B2F"/>
    <w:rsid w:val="00583F3A"/>
    <w:rsid w:val="0058406F"/>
    <w:rsid w:val="00585772"/>
    <w:rsid w:val="005857B3"/>
    <w:rsid w:val="0058672E"/>
    <w:rsid w:val="0058765F"/>
    <w:rsid w:val="00587EFB"/>
    <w:rsid w:val="005906B2"/>
    <w:rsid w:val="005907BE"/>
    <w:rsid w:val="0059094D"/>
    <w:rsid w:val="005914C2"/>
    <w:rsid w:val="00591FBA"/>
    <w:rsid w:val="00592D7E"/>
    <w:rsid w:val="00592EA6"/>
    <w:rsid w:val="005944F1"/>
    <w:rsid w:val="005945DE"/>
    <w:rsid w:val="00594A1B"/>
    <w:rsid w:val="00594CF0"/>
    <w:rsid w:val="00594CF4"/>
    <w:rsid w:val="0059512B"/>
    <w:rsid w:val="005955CB"/>
    <w:rsid w:val="0059588C"/>
    <w:rsid w:val="0059638A"/>
    <w:rsid w:val="0059639D"/>
    <w:rsid w:val="00596B5B"/>
    <w:rsid w:val="00597184"/>
    <w:rsid w:val="00597F66"/>
    <w:rsid w:val="005A1727"/>
    <w:rsid w:val="005A19FA"/>
    <w:rsid w:val="005A1C30"/>
    <w:rsid w:val="005A27A0"/>
    <w:rsid w:val="005A3655"/>
    <w:rsid w:val="005A392B"/>
    <w:rsid w:val="005A3F7F"/>
    <w:rsid w:val="005A45DB"/>
    <w:rsid w:val="005A5571"/>
    <w:rsid w:val="005A636B"/>
    <w:rsid w:val="005A647E"/>
    <w:rsid w:val="005A66B1"/>
    <w:rsid w:val="005B045A"/>
    <w:rsid w:val="005B0F5D"/>
    <w:rsid w:val="005B143C"/>
    <w:rsid w:val="005B1E60"/>
    <w:rsid w:val="005B20B8"/>
    <w:rsid w:val="005B2470"/>
    <w:rsid w:val="005B2D4B"/>
    <w:rsid w:val="005B31F6"/>
    <w:rsid w:val="005B4595"/>
    <w:rsid w:val="005B61D8"/>
    <w:rsid w:val="005B65AC"/>
    <w:rsid w:val="005B6A25"/>
    <w:rsid w:val="005B7856"/>
    <w:rsid w:val="005C1EA1"/>
    <w:rsid w:val="005C1FF8"/>
    <w:rsid w:val="005C298C"/>
    <w:rsid w:val="005C3188"/>
    <w:rsid w:val="005C32FF"/>
    <w:rsid w:val="005C5891"/>
    <w:rsid w:val="005C59EB"/>
    <w:rsid w:val="005C68CC"/>
    <w:rsid w:val="005C69D8"/>
    <w:rsid w:val="005C6C99"/>
    <w:rsid w:val="005C6EB8"/>
    <w:rsid w:val="005C79D9"/>
    <w:rsid w:val="005D03FE"/>
    <w:rsid w:val="005D04D6"/>
    <w:rsid w:val="005D0924"/>
    <w:rsid w:val="005D0A1C"/>
    <w:rsid w:val="005D0F5F"/>
    <w:rsid w:val="005D0FAA"/>
    <w:rsid w:val="005D1849"/>
    <w:rsid w:val="005D1914"/>
    <w:rsid w:val="005D1FA3"/>
    <w:rsid w:val="005D244A"/>
    <w:rsid w:val="005D3E58"/>
    <w:rsid w:val="005D47F2"/>
    <w:rsid w:val="005D50DE"/>
    <w:rsid w:val="005D5188"/>
    <w:rsid w:val="005D59EB"/>
    <w:rsid w:val="005D5D38"/>
    <w:rsid w:val="005D7F7E"/>
    <w:rsid w:val="005E0943"/>
    <w:rsid w:val="005E1110"/>
    <w:rsid w:val="005E114F"/>
    <w:rsid w:val="005E1707"/>
    <w:rsid w:val="005E23C6"/>
    <w:rsid w:val="005E274C"/>
    <w:rsid w:val="005E2ED3"/>
    <w:rsid w:val="005E4189"/>
    <w:rsid w:val="005E4237"/>
    <w:rsid w:val="005E42F3"/>
    <w:rsid w:val="005E4D0A"/>
    <w:rsid w:val="005E5BAA"/>
    <w:rsid w:val="005E6C6B"/>
    <w:rsid w:val="005F0530"/>
    <w:rsid w:val="005F1A0A"/>
    <w:rsid w:val="005F3A68"/>
    <w:rsid w:val="005F3BD1"/>
    <w:rsid w:val="005F4D9E"/>
    <w:rsid w:val="005F505B"/>
    <w:rsid w:val="005F7265"/>
    <w:rsid w:val="006005B5"/>
    <w:rsid w:val="0060083A"/>
    <w:rsid w:val="0060212D"/>
    <w:rsid w:val="00602EFA"/>
    <w:rsid w:val="0060402C"/>
    <w:rsid w:val="0060555B"/>
    <w:rsid w:val="00605792"/>
    <w:rsid w:val="00606059"/>
    <w:rsid w:val="00607BFE"/>
    <w:rsid w:val="0061036D"/>
    <w:rsid w:val="00611F66"/>
    <w:rsid w:val="00614214"/>
    <w:rsid w:val="00614256"/>
    <w:rsid w:val="00614933"/>
    <w:rsid w:val="00614FB2"/>
    <w:rsid w:val="00615406"/>
    <w:rsid w:val="006164ED"/>
    <w:rsid w:val="006175E7"/>
    <w:rsid w:val="00620F08"/>
    <w:rsid w:val="00621D49"/>
    <w:rsid w:val="0062244C"/>
    <w:rsid w:val="00623135"/>
    <w:rsid w:val="00623920"/>
    <w:rsid w:val="0062463B"/>
    <w:rsid w:val="00624A86"/>
    <w:rsid w:val="00626415"/>
    <w:rsid w:val="00626C74"/>
    <w:rsid w:val="00626E14"/>
    <w:rsid w:val="00627D7E"/>
    <w:rsid w:val="00630233"/>
    <w:rsid w:val="006336B5"/>
    <w:rsid w:val="00633A70"/>
    <w:rsid w:val="006342EB"/>
    <w:rsid w:val="0063466A"/>
    <w:rsid w:val="00634A6B"/>
    <w:rsid w:val="0063532E"/>
    <w:rsid w:val="00635BF4"/>
    <w:rsid w:val="0063638D"/>
    <w:rsid w:val="00636B31"/>
    <w:rsid w:val="00637E17"/>
    <w:rsid w:val="0064002B"/>
    <w:rsid w:val="0064179F"/>
    <w:rsid w:val="006423D5"/>
    <w:rsid w:val="00643AD4"/>
    <w:rsid w:val="00645542"/>
    <w:rsid w:val="006456EC"/>
    <w:rsid w:val="00645D5F"/>
    <w:rsid w:val="006475EF"/>
    <w:rsid w:val="0065008F"/>
    <w:rsid w:val="00650D60"/>
    <w:rsid w:val="00650E37"/>
    <w:rsid w:val="00650ECA"/>
    <w:rsid w:val="006511AE"/>
    <w:rsid w:val="006513E5"/>
    <w:rsid w:val="00652829"/>
    <w:rsid w:val="006529B8"/>
    <w:rsid w:val="00652EE1"/>
    <w:rsid w:val="00653058"/>
    <w:rsid w:val="00653919"/>
    <w:rsid w:val="00653AE2"/>
    <w:rsid w:val="006549A4"/>
    <w:rsid w:val="00654F6A"/>
    <w:rsid w:val="00654FC7"/>
    <w:rsid w:val="00655E5A"/>
    <w:rsid w:val="0066095E"/>
    <w:rsid w:val="0066106E"/>
    <w:rsid w:val="00661737"/>
    <w:rsid w:val="006621AB"/>
    <w:rsid w:val="0066474C"/>
    <w:rsid w:val="00664A1C"/>
    <w:rsid w:val="00665BB1"/>
    <w:rsid w:val="00666A5B"/>
    <w:rsid w:val="00666AB3"/>
    <w:rsid w:val="006674A2"/>
    <w:rsid w:val="00667F13"/>
    <w:rsid w:val="0067087C"/>
    <w:rsid w:val="00670F48"/>
    <w:rsid w:val="0067415B"/>
    <w:rsid w:val="006744F8"/>
    <w:rsid w:val="0067591A"/>
    <w:rsid w:val="00675DC1"/>
    <w:rsid w:val="00676584"/>
    <w:rsid w:val="00676D00"/>
    <w:rsid w:val="00676EB0"/>
    <w:rsid w:val="006811F4"/>
    <w:rsid w:val="00681610"/>
    <w:rsid w:val="00681FB1"/>
    <w:rsid w:val="00682FDA"/>
    <w:rsid w:val="0068511A"/>
    <w:rsid w:val="00685C64"/>
    <w:rsid w:val="0068614B"/>
    <w:rsid w:val="006861DF"/>
    <w:rsid w:val="00686C67"/>
    <w:rsid w:val="00687099"/>
    <w:rsid w:val="00687A3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0D7"/>
    <w:rsid w:val="00696172"/>
    <w:rsid w:val="006972ED"/>
    <w:rsid w:val="0069768D"/>
    <w:rsid w:val="00697E15"/>
    <w:rsid w:val="006A009A"/>
    <w:rsid w:val="006A16E1"/>
    <w:rsid w:val="006A2AFC"/>
    <w:rsid w:val="006A2C63"/>
    <w:rsid w:val="006A372D"/>
    <w:rsid w:val="006A38AF"/>
    <w:rsid w:val="006A3CDB"/>
    <w:rsid w:val="006A4FA6"/>
    <w:rsid w:val="006A5AC9"/>
    <w:rsid w:val="006A5B90"/>
    <w:rsid w:val="006B11B3"/>
    <w:rsid w:val="006B162C"/>
    <w:rsid w:val="006B1DEF"/>
    <w:rsid w:val="006B24A9"/>
    <w:rsid w:val="006B24DC"/>
    <w:rsid w:val="006B2B50"/>
    <w:rsid w:val="006B4139"/>
    <w:rsid w:val="006B458F"/>
    <w:rsid w:val="006B4FA1"/>
    <w:rsid w:val="006B5339"/>
    <w:rsid w:val="006B5DAD"/>
    <w:rsid w:val="006B7879"/>
    <w:rsid w:val="006C0116"/>
    <w:rsid w:val="006C0D67"/>
    <w:rsid w:val="006C0F9E"/>
    <w:rsid w:val="006C24B3"/>
    <w:rsid w:val="006C33D4"/>
    <w:rsid w:val="006C45F9"/>
    <w:rsid w:val="006D0BDE"/>
    <w:rsid w:val="006D0C91"/>
    <w:rsid w:val="006D1496"/>
    <w:rsid w:val="006D167E"/>
    <w:rsid w:val="006D18E5"/>
    <w:rsid w:val="006D1B93"/>
    <w:rsid w:val="006D1FDA"/>
    <w:rsid w:val="006D2436"/>
    <w:rsid w:val="006D30C2"/>
    <w:rsid w:val="006D362F"/>
    <w:rsid w:val="006D39E6"/>
    <w:rsid w:val="006D3C17"/>
    <w:rsid w:val="006D3EA1"/>
    <w:rsid w:val="006D5E6E"/>
    <w:rsid w:val="006D79B7"/>
    <w:rsid w:val="006E0C2C"/>
    <w:rsid w:val="006E0D4F"/>
    <w:rsid w:val="006E13E3"/>
    <w:rsid w:val="006E196F"/>
    <w:rsid w:val="006E1DD9"/>
    <w:rsid w:val="006E1EBA"/>
    <w:rsid w:val="006E24E1"/>
    <w:rsid w:val="006E3951"/>
    <w:rsid w:val="006E3D95"/>
    <w:rsid w:val="006E4796"/>
    <w:rsid w:val="006E4820"/>
    <w:rsid w:val="006E656E"/>
    <w:rsid w:val="006E65C1"/>
    <w:rsid w:val="006E6CE2"/>
    <w:rsid w:val="006E6E62"/>
    <w:rsid w:val="006E7E55"/>
    <w:rsid w:val="006F059B"/>
    <w:rsid w:val="006F2D10"/>
    <w:rsid w:val="006F2E19"/>
    <w:rsid w:val="006F3EB0"/>
    <w:rsid w:val="006F4975"/>
    <w:rsid w:val="006F4FF7"/>
    <w:rsid w:val="006F538A"/>
    <w:rsid w:val="006F576D"/>
    <w:rsid w:val="006F5EE1"/>
    <w:rsid w:val="006F6112"/>
    <w:rsid w:val="006F6C59"/>
    <w:rsid w:val="0070029F"/>
    <w:rsid w:val="00700955"/>
    <w:rsid w:val="00700E30"/>
    <w:rsid w:val="00700FE8"/>
    <w:rsid w:val="007012B3"/>
    <w:rsid w:val="007023A3"/>
    <w:rsid w:val="00702BB7"/>
    <w:rsid w:val="007034F7"/>
    <w:rsid w:val="00703C5F"/>
    <w:rsid w:val="00704868"/>
    <w:rsid w:val="007051FF"/>
    <w:rsid w:val="00705D59"/>
    <w:rsid w:val="00705E37"/>
    <w:rsid w:val="00705F08"/>
    <w:rsid w:val="00706531"/>
    <w:rsid w:val="0070663B"/>
    <w:rsid w:val="00706A44"/>
    <w:rsid w:val="00706AA1"/>
    <w:rsid w:val="00706E7C"/>
    <w:rsid w:val="00707209"/>
    <w:rsid w:val="00707BDA"/>
    <w:rsid w:val="00710549"/>
    <w:rsid w:val="00710D68"/>
    <w:rsid w:val="0071188A"/>
    <w:rsid w:val="00712399"/>
    <w:rsid w:val="00712521"/>
    <w:rsid w:val="0071254D"/>
    <w:rsid w:val="00713A3E"/>
    <w:rsid w:val="0071419B"/>
    <w:rsid w:val="0071437F"/>
    <w:rsid w:val="00714750"/>
    <w:rsid w:val="00714FE5"/>
    <w:rsid w:val="007153D6"/>
    <w:rsid w:val="00716394"/>
    <w:rsid w:val="007178B4"/>
    <w:rsid w:val="00717AA3"/>
    <w:rsid w:val="007206F2"/>
    <w:rsid w:val="007216BB"/>
    <w:rsid w:val="007222F5"/>
    <w:rsid w:val="007224C2"/>
    <w:rsid w:val="0072299B"/>
    <w:rsid w:val="0072353D"/>
    <w:rsid w:val="00723A1D"/>
    <w:rsid w:val="00723D26"/>
    <w:rsid w:val="007240FE"/>
    <w:rsid w:val="00724315"/>
    <w:rsid w:val="007248A7"/>
    <w:rsid w:val="007248B4"/>
    <w:rsid w:val="00725375"/>
    <w:rsid w:val="00726653"/>
    <w:rsid w:val="00726CD6"/>
    <w:rsid w:val="00727095"/>
    <w:rsid w:val="007304F6"/>
    <w:rsid w:val="0073053D"/>
    <w:rsid w:val="00731BD2"/>
    <w:rsid w:val="00732D99"/>
    <w:rsid w:val="007337DC"/>
    <w:rsid w:val="007347DE"/>
    <w:rsid w:val="007350D2"/>
    <w:rsid w:val="00735259"/>
    <w:rsid w:val="00735D1E"/>
    <w:rsid w:val="00735E71"/>
    <w:rsid w:val="00736156"/>
    <w:rsid w:val="00736301"/>
    <w:rsid w:val="007363D4"/>
    <w:rsid w:val="00736687"/>
    <w:rsid w:val="007366C5"/>
    <w:rsid w:val="00736743"/>
    <w:rsid w:val="007373B2"/>
    <w:rsid w:val="0073748E"/>
    <w:rsid w:val="007405DF"/>
    <w:rsid w:val="00741040"/>
    <w:rsid w:val="00741621"/>
    <w:rsid w:val="00741EF3"/>
    <w:rsid w:val="00743B8C"/>
    <w:rsid w:val="007441F1"/>
    <w:rsid w:val="00744C7A"/>
    <w:rsid w:val="0074594A"/>
    <w:rsid w:val="0074678C"/>
    <w:rsid w:val="00746952"/>
    <w:rsid w:val="0074704E"/>
    <w:rsid w:val="00747056"/>
    <w:rsid w:val="00747151"/>
    <w:rsid w:val="00750309"/>
    <w:rsid w:val="007505FB"/>
    <w:rsid w:val="007506BC"/>
    <w:rsid w:val="0075104B"/>
    <w:rsid w:val="0075164F"/>
    <w:rsid w:val="00751A15"/>
    <w:rsid w:val="007522E0"/>
    <w:rsid w:val="007527FC"/>
    <w:rsid w:val="007530F0"/>
    <w:rsid w:val="007538AE"/>
    <w:rsid w:val="00753CCB"/>
    <w:rsid w:val="00753F0A"/>
    <w:rsid w:val="00754872"/>
    <w:rsid w:val="00754957"/>
    <w:rsid w:val="0075522C"/>
    <w:rsid w:val="0075555E"/>
    <w:rsid w:val="00755DB0"/>
    <w:rsid w:val="00757019"/>
    <w:rsid w:val="0075754D"/>
    <w:rsid w:val="00757CF4"/>
    <w:rsid w:val="00757E1A"/>
    <w:rsid w:val="0076002B"/>
    <w:rsid w:val="00760526"/>
    <w:rsid w:val="00760815"/>
    <w:rsid w:val="00762287"/>
    <w:rsid w:val="00763B7C"/>
    <w:rsid w:val="00763E9F"/>
    <w:rsid w:val="0076403F"/>
    <w:rsid w:val="007643FD"/>
    <w:rsid w:val="00764CC6"/>
    <w:rsid w:val="0076584E"/>
    <w:rsid w:val="00765AF8"/>
    <w:rsid w:val="00766468"/>
    <w:rsid w:val="00766AE9"/>
    <w:rsid w:val="00766CCB"/>
    <w:rsid w:val="00766E93"/>
    <w:rsid w:val="007677D7"/>
    <w:rsid w:val="0077031C"/>
    <w:rsid w:val="00771068"/>
    <w:rsid w:val="0077192E"/>
    <w:rsid w:val="00771D8C"/>
    <w:rsid w:val="00772D3A"/>
    <w:rsid w:val="007741E2"/>
    <w:rsid w:val="0077427F"/>
    <w:rsid w:val="007745F5"/>
    <w:rsid w:val="00774C0D"/>
    <w:rsid w:val="00775D35"/>
    <w:rsid w:val="007766F4"/>
    <w:rsid w:val="00777A67"/>
    <w:rsid w:val="00777A77"/>
    <w:rsid w:val="0078022D"/>
    <w:rsid w:val="00780AEA"/>
    <w:rsid w:val="007820DE"/>
    <w:rsid w:val="007826AD"/>
    <w:rsid w:val="00783313"/>
    <w:rsid w:val="00785158"/>
    <w:rsid w:val="00786E0E"/>
    <w:rsid w:val="007875DD"/>
    <w:rsid w:val="00790DE4"/>
    <w:rsid w:val="00790E3F"/>
    <w:rsid w:val="00791592"/>
    <w:rsid w:val="00792185"/>
    <w:rsid w:val="00792D39"/>
    <w:rsid w:val="00793126"/>
    <w:rsid w:val="00793F2F"/>
    <w:rsid w:val="0079530C"/>
    <w:rsid w:val="00795E0C"/>
    <w:rsid w:val="00795EB8"/>
    <w:rsid w:val="00796216"/>
    <w:rsid w:val="00796D1C"/>
    <w:rsid w:val="007A15D7"/>
    <w:rsid w:val="007A188A"/>
    <w:rsid w:val="007A327C"/>
    <w:rsid w:val="007A32D9"/>
    <w:rsid w:val="007A3D6D"/>
    <w:rsid w:val="007A446D"/>
    <w:rsid w:val="007A4519"/>
    <w:rsid w:val="007A521C"/>
    <w:rsid w:val="007A583D"/>
    <w:rsid w:val="007A5B27"/>
    <w:rsid w:val="007A6203"/>
    <w:rsid w:val="007A6400"/>
    <w:rsid w:val="007A64EF"/>
    <w:rsid w:val="007A6585"/>
    <w:rsid w:val="007A6D9C"/>
    <w:rsid w:val="007A73AC"/>
    <w:rsid w:val="007A752D"/>
    <w:rsid w:val="007A75A4"/>
    <w:rsid w:val="007A7819"/>
    <w:rsid w:val="007B040E"/>
    <w:rsid w:val="007B0DD7"/>
    <w:rsid w:val="007B0E13"/>
    <w:rsid w:val="007B1EB1"/>
    <w:rsid w:val="007B23B6"/>
    <w:rsid w:val="007B2608"/>
    <w:rsid w:val="007B45A6"/>
    <w:rsid w:val="007B586C"/>
    <w:rsid w:val="007B61AB"/>
    <w:rsid w:val="007B709A"/>
    <w:rsid w:val="007B7594"/>
    <w:rsid w:val="007C0786"/>
    <w:rsid w:val="007C19C3"/>
    <w:rsid w:val="007C345B"/>
    <w:rsid w:val="007C38C9"/>
    <w:rsid w:val="007C39DF"/>
    <w:rsid w:val="007C3C47"/>
    <w:rsid w:val="007C3D3A"/>
    <w:rsid w:val="007C575B"/>
    <w:rsid w:val="007C5B7B"/>
    <w:rsid w:val="007C6F30"/>
    <w:rsid w:val="007D07A0"/>
    <w:rsid w:val="007D124E"/>
    <w:rsid w:val="007D12B8"/>
    <w:rsid w:val="007D34CA"/>
    <w:rsid w:val="007D44A5"/>
    <w:rsid w:val="007D4786"/>
    <w:rsid w:val="007D679D"/>
    <w:rsid w:val="007D6863"/>
    <w:rsid w:val="007D7095"/>
    <w:rsid w:val="007D78E3"/>
    <w:rsid w:val="007E053E"/>
    <w:rsid w:val="007E0C0D"/>
    <w:rsid w:val="007E0EC6"/>
    <w:rsid w:val="007E0ED1"/>
    <w:rsid w:val="007E20B7"/>
    <w:rsid w:val="007E28A0"/>
    <w:rsid w:val="007E2EB2"/>
    <w:rsid w:val="007E3058"/>
    <w:rsid w:val="007E3CBE"/>
    <w:rsid w:val="007E453F"/>
    <w:rsid w:val="007E4883"/>
    <w:rsid w:val="007E5806"/>
    <w:rsid w:val="007E6824"/>
    <w:rsid w:val="007E6DC4"/>
    <w:rsid w:val="007E74CF"/>
    <w:rsid w:val="007F096C"/>
    <w:rsid w:val="007F0E0D"/>
    <w:rsid w:val="007F2154"/>
    <w:rsid w:val="007F24E8"/>
    <w:rsid w:val="007F30AB"/>
    <w:rsid w:val="007F491D"/>
    <w:rsid w:val="007F50E0"/>
    <w:rsid w:val="007F56DD"/>
    <w:rsid w:val="007F6178"/>
    <w:rsid w:val="00800457"/>
    <w:rsid w:val="00800FEF"/>
    <w:rsid w:val="00801694"/>
    <w:rsid w:val="00802335"/>
    <w:rsid w:val="00802616"/>
    <w:rsid w:val="00802901"/>
    <w:rsid w:val="00802B1A"/>
    <w:rsid w:val="008034A0"/>
    <w:rsid w:val="00804079"/>
    <w:rsid w:val="0080472B"/>
    <w:rsid w:val="00804B8B"/>
    <w:rsid w:val="00806A8D"/>
    <w:rsid w:val="00810770"/>
    <w:rsid w:val="00810C57"/>
    <w:rsid w:val="00812327"/>
    <w:rsid w:val="00812530"/>
    <w:rsid w:val="00813E21"/>
    <w:rsid w:val="00814089"/>
    <w:rsid w:val="00814677"/>
    <w:rsid w:val="00814E15"/>
    <w:rsid w:val="00815D36"/>
    <w:rsid w:val="00816291"/>
    <w:rsid w:val="0081640C"/>
    <w:rsid w:val="008178D3"/>
    <w:rsid w:val="00821779"/>
    <w:rsid w:val="0082285D"/>
    <w:rsid w:val="0082331F"/>
    <w:rsid w:val="00823DAC"/>
    <w:rsid w:val="008245F5"/>
    <w:rsid w:val="00824ADE"/>
    <w:rsid w:val="00824C78"/>
    <w:rsid w:val="00825A8E"/>
    <w:rsid w:val="00826C9B"/>
    <w:rsid w:val="00827184"/>
    <w:rsid w:val="0082751E"/>
    <w:rsid w:val="00827B78"/>
    <w:rsid w:val="00827B96"/>
    <w:rsid w:val="008302D0"/>
    <w:rsid w:val="00831027"/>
    <w:rsid w:val="00834F62"/>
    <w:rsid w:val="00835298"/>
    <w:rsid w:val="008358AE"/>
    <w:rsid w:val="00836205"/>
    <w:rsid w:val="00836272"/>
    <w:rsid w:val="00836381"/>
    <w:rsid w:val="008363F4"/>
    <w:rsid w:val="00836C67"/>
    <w:rsid w:val="00837580"/>
    <w:rsid w:val="00840A02"/>
    <w:rsid w:val="00840CBE"/>
    <w:rsid w:val="00840FFD"/>
    <w:rsid w:val="00841356"/>
    <w:rsid w:val="0084140C"/>
    <w:rsid w:val="00842CAD"/>
    <w:rsid w:val="00842E10"/>
    <w:rsid w:val="00842F1A"/>
    <w:rsid w:val="00843216"/>
    <w:rsid w:val="008433DA"/>
    <w:rsid w:val="0084371B"/>
    <w:rsid w:val="00844263"/>
    <w:rsid w:val="00844595"/>
    <w:rsid w:val="008445DA"/>
    <w:rsid w:val="00844886"/>
    <w:rsid w:val="0084592E"/>
    <w:rsid w:val="00846FED"/>
    <w:rsid w:val="00847B3F"/>
    <w:rsid w:val="00850D31"/>
    <w:rsid w:val="0085161C"/>
    <w:rsid w:val="00851999"/>
    <w:rsid w:val="00851F67"/>
    <w:rsid w:val="00851FF5"/>
    <w:rsid w:val="00853D16"/>
    <w:rsid w:val="00854058"/>
    <w:rsid w:val="00854F1C"/>
    <w:rsid w:val="0085640C"/>
    <w:rsid w:val="00856DCD"/>
    <w:rsid w:val="008572AF"/>
    <w:rsid w:val="00857A8E"/>
    <w:rsid w:val="0086069E"/>
    <w:rsid w:val="00861213"/>
    <w:rsid w:val="00861580"/>
    <w:rsid w:val="00861C31"/>
    <w:rsid w:val="008641DB"/>
    <w:rsid w:val="0086421F"/>
    <w:rsid w:val="0086454A"/>
    <w:rsid w:val="008653A5"/>
    <w:rsid w:val="00870148"/>
    <w:rsid w:val="00870343"/>
    <w:rsid w:val="00870BF4"/>
    <w:rsid w:val="0087220A"/>
    <w:rsid w:val="00872620"/>
    <w:rsid w:val="00872ACE"/>
    <w:rsid w:val="00873F21"/>
    <w:rsid w:val="00873FAE"/>
    <w:rsid w:val="008765FE"/>
    <w:rsid w:val="00877EF5"/>
    <w:rsid w:val="0088033A"/>
    <w:rsid w:val="00880954"/>
    <w:rsid w:val="0088178D"/>
    <w:rsid w:val="00881894"/>
    <w:rsid w:val="00881B12"/>
    <w:rsid w:val="00881EEB"/>
    <w:rsid w:val="0088229F"/>
    <w:rsid w:val="008827EB"/>
    <w:rsid w:val="008837D8"/>
    <w:rsid w:val="008844BC"/>
    <w:rsid w:val="008845A0"/>
    <w:rsid w:val="00884821"/>
    <w:rsid w:val="008854F2"/>
    <w:rsid w:val="008859DA"/>
    <w:rsid w:val="00885AC5"/>
    <w:rsid w:val="008864F9"/>
    <w:rsid w:val="008865D6"/>
    <w:rsid w:val="00886A72"/>
    <w:rsid w:val="008874E8"/>
    <w:rsid w:val="00887827"/>
    <w:rsid w:val="00890820"/>
    <w:rsid w:val="008917A2"/>
    <w:rsid w:val="0089197B"/>
    <w:rsid w:val="00891EA3"/>
    <w:rsid w:val="00892ADA"/>
    <w:rsid w:val="00892E65"/>
    <w:rsid w:val="00893094"/>
    <w:rsid w:val="00893886"/>
    <w:rsid w:val="008945FB"/>
    <w:rsid w:val="008948E9"/>
    <w:rsid w:val="00894B3F"/>
    <w:rsid w:val="00895608"/>
    <w:rsid w:val="0089579F"/>
    <w:rsid w:val="00896629"/>
    <w:rsid w:val="0089666C"/>
    <w:rsid w:val="00896B03"/>
    <w:rsid w:val="00897661"/>
    <w:rsid w:val="008A0F16"/>
    <w:rsid w:val="008A162B"/>
    <w:rsid w:val="008A2ADB"/>
    <w:rsid w:val="008A2B9F"/>
    <w:rsid w:val="008A302A"/>
    <w:rsid w:val="008A3398"/>
    <w:rsid w:val="008A3C1E"/>
    <w:rsid w:val="008A5275"/>
    <w:rsid w:val="008A63FB"/>
    <w:rsid w:val="008A6943"/>
    <w:rsid w:val="008A7905"/>
    <w:rsid w:val="008A79C0"/>
    <w:rsid w:val="008B0B9D"/>
    <w:rsid w:val="008B4EF3"/>
    <w:rsid w:val="008B500B"/>
    <w:rsid w:val="008B54B5"/>
    <w:rsid w:val="008B5A57"/>
    <w:rsid w:val="008B6535"/>
    <w:rsid w:val="008B7A5D"/>
    <w:rsid w:val="008B7EBB"/>
    <w:rsid w:val="008C08C9"/>
    <w:rsid w:val="008C3274"/>
    <w:rsid w:val="008C3356"/>
    <w:rsid w:val="008C41CA"/>
    <w:rsid w:val="008C44A1"/>
    <w:rsid w:val="008C47AB"/>
    <w:rsid w:val="008C4BE2"/>
    <w:rsid w:val="008C4D03"/>
    <w:rsid w:val="008C4DFF"/>
    <w:rsid w:val="008C50FA"/>
    <w:rsid w:val="008C55B3"/>
    <w:rsid w:val="008C56D8"/>
    <w:rsid w:val="008C5CBA"/>
    <w:rsid w:val="008C5F2E"/>
    <w:rsid w:val="008C5FCD"/>
    <w:rsid w:val="008D02E0"/>
    <w:rsid w:val="008D060C"/>
    <w:rsid w:val="008D0B42"/>
    <w:rsid w:val="008D0F82"/>
    <w:rsid w:val="008D2C09"/>
    <w:rsid w:val="008D319B"/>
    <w:rsid w:val="008D39EE"/>
    <w:rsid w:val="008D3A2B"/>
    <w:rsid w:val="008D3BDC"/>
    <w:rsid w:val="008D4293"/>
    <w:rsid w:val="008D59D5"/>
    <w:rsid w:val="008D5FB4"/>
    <w:rsid w:val="008D7D2E"/>
    <w:rsid w:val="008E042D"/>
    <w:rsid w:val="008E0455"/>
    <w:rsid w:val="008E0605"/>
    <w:rsid w:val="008E1A59"/>
    <w:rsid w:val="008E2F48"/>
    <w:rsid w:val="008E3AE8"/>
    <w:rsid w:val="008E4285"/>
    <w:rsid w:val="008E5973"/>
    <w:rsid w:val="008E5AD7"/>
    <w:rsid w:val="008E5C7F"/>
    <w:rsid w:val="008E5CFF"/>
    <w:rsid w:val="008E7649"/>
    <w:rsid w:val="008F11E1"/>
    <w:rsid w:val="008F216B"/>
    <w:rsid w:val="008F2CA9"/>
    <w:rsid w:val="008F3116"/>
    <w:rsid w:val="008F3866"/>
    <w:rsid w:val="008F3EEF"/>
    <w:rsid w:val="008F41B8"/>
    <w:rsid w:val="008F494C"/>
    <w:rsid w:val="008F4DE2"/>
    <w:rsid w:val="008F5642"/>
    <w:rsid w:val="008F66A7"/>
    <w:rsid w:val="008F766D"/>
    <w:rsid w:val="00900079"/>
    <w:rsid w:val="00900E5D"/>
    <w:rsid w:val="009018CF"/>
    <w:rsid w:val="00902AA8"/>
    <w:rsid w:val="00905DDB"/>
    <w:rsid w:val="0090615F"/>
    <w:rsid w:val="00906945"/>
    <w:rsid w:val="00907F7D"/>
    <w:rsid w:val="00912550"/>
    <w:rsid w:val="00912872"/>
    <w:rsid w:val="00912A90"/>
    <w:rsid w:val="00912F7B"/>
    <w:rsid w:val="009135F5"/>
    <w:rsid w:val="00913A29"/>
    <w:rsid w:val="009145E2"/>
    <w:rsid w:val="00914B5C"/>
    <w:rsid w:val="00914FFD"/>
    <w:rsid w:val="00915E72"/>
    <w:rsid w:val="009166E5"/>
    <w:rsid w:val="0091672F"/>
    <w:rsid w:val="00917019"/>
    <w:rsid w:val="0091747B"/>
    <w:rsid w:val="00917AF0"/>
    <w:rsid w:val="00921510"/>
    <w:rsid w:val="00921659"/>
    <w:rsid w:val="00922324"/>
    <w:rsid w:val="009227B3"/>
    <w:rsid w:val="00923AE5"/>
    <w:rsid w:val="00925609"/>
    <w:rsid w:val="009267E3"/>
    <w:rsid w:val="00926E3E"/>
    <w:rsid w:val="00927194"/>
    <w:rsid w:val="009276CB"/>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392"/>
    <w:rsid w:val="0093773C"/>
    <w:rsid w:val="00941251"/>
    <w:rsid w:val="009417A9"/>
    <w:rsid w:val="0094186C"/>
    <w:rsid w:val="00942248"/>
    <w:rsid w:val="009423D8"/>
    <w:rsid w:val="00942424"/>
    <w:rsid w:val="0094265C"/>
    <w:rsid w:val="00943260"/>
    <w:rsid w:val="00943802"/>
    <w:rsid w:val="009444B1"/>
    <w:rsid w:val="00944C73"/>
    <w:rsid w:val="00946148"/>
    <w:rsid w:val="00947216"/>
    <w:rsid w:val="00947D16"/>
    <w:rsid w:val="00951235"/>
    <w:rsid w:val="009517E9"/>
    <w:rsid w:val="00951F20"/>
    <w:rsid w:val="009522EB"/>
    <w:rsid w:val="009525D1"/>
    <w:rsid w:val="00954085"/>
    <w:rsid w:val="0095444F"/>
    <w:rsid w:val="00954BCC"/>
    <w:rsid w:val="0095765D"/>
    <w:rsid w:val="009606FC"/>
    <w:rsid w:val="00960B05"/>
    <w:rsid w:val="0096192E"/>
    <w:rsid w:val="00962D31"/>
    <w:rsid w:val="0096420F"/>
    <w:rsid w:val="00964438"/>
    <w:rsid w:val="0096551A"/>
    <w:rsid w:val="00965FEE"/>
    <w:rsid w:val="00965FF5"/>
    <w:rsid w:val="009666A9"/>
    <w:rsid w:val="0096689D"/>
    <w:rsid w:val="0096764F"/>
    <w:rsid w:val="00970694"/>
    <w:rsid w:val="00972593"/>
    <w:rsid w:val="00972C56"/>
    <w:rsid w:val="00972C9A"/>
    <w:rsid w:val="009731BD"/>
    <w:rsid w:val="009732C0"/>
    <w:rsid w:val="009732D5"/>
    <w:rsid w:val="00973DE3"/>
    <w:rsid w:val="00974289"/>
    <w:rsid w:val="00974680"/>
    <w:rsid w:val="00974A38"/>
    <w:rsid w:val="00975E3D"/>
    <w:rsid w:val="00975F26"/>
    <w:rsid w:val="009769B8"/>
    <w:rsid w:val="00977365"/>
    <w:rsid w:val="0097778C"/>
    <w:rsid w:val="00977CCB"/>
    <w:rsid w:val="00980411"/>
    <w:rsid w:val="009809A0"/>
    <w:rsid w:val="0098193A"/>
    <w:rsid w:val="0098299E"/>
    <w:rsid w:val="00983575"/>
    <w:rsid w:val="009839E9"/>
    <w:rsid w:val="00984906"/>
    <w:rsid w:val="00985ADA"/>
    <w:rsid w:val="009863A5"/>
    <w:rsid w:val="0098750C"/>
    <w:rsid w:val="00987842"/>
    <w:rsid w:val="0099090C"/>
    <w:rsid w:val="00990A72"/>
    <w:rsid w:val="009934D6"/>
    <w:rsid w:val="0099382D"/>
    <w:rsid w:val="009956EE"/>
    <w:rsid w:val="009957D2"/>
    <w:rsid w:val="00995CBE"/>
    <w:rsid w:val="00995F0A"/>
    <w:rsid w:val="00996461"/>
    <w:rsid w:val="00996727"/>
    <w:rsid w:val="009969D8"/>
    <w:rsid w:val="00997DAE"/>
    <w:rsid w:val="009A10BE"/>
    <w:rsid w:val="009A1DF5"/>
    <w:rsid w:val="009A264F"/>
    <w:rsid w:val="009A286B"/>
    <w:rsid w:val="009A2AB7"/>
    <w:rsid w:val="009A31BD"/>
    <w:rsid w:val="009A4EF2"/>
    <w:rsid w:val="009A4FE5"/>
    <w:rsid w:val="009A5886"/>
    <w:rsid w:val="009A58B1"/>
    <w:rsid w:val="009A6A83"/>
    <w:rsid w:val="009A6DBB"/>
    <w:rsid w:val="009A6E55"/>
    <w:rsid w:val="009A7A2F"/>
    <w:rsid w:val="009A7D78"/>
    <w:rsid w:val="009A7F7D"/>
    <w:rsid w:val="009B0279"/>
    <w:rsid w:val="009B03F1"/>
    <w:rsid w:val="009B09D2"/>
    <w:rsid w:val="009B14CE"/>
    <w:rsid w:val="009B256E"/>
    <w:rsid w:val="009B25F7"/>
    <w:rsid w:val="009B29A7"/>
    <w:rsid w:val="009B3DC8"/>
    <w:rsid w:val="009B435D"/>
    <w:rsid w:val="009B4824"/>
    <w:rsid w:val="009B52EC"/>
    <w:rsid w:val="009B5743"/>
    <w:rsid w:val="009B69BB"/>
    <w:rsid w:val="009B7FCE"/>
    <w:rsid w:val="009C0CFD"/>
    <w:rsid w:val="009C1C4F"/>
    <w:rsid w:val="009C1D6F"/>
    <w:rsid w:val="009C27C2"/>
    <w:rsid w:val="009C3318"/>
    <w:rsid w:val="009C3468"/>
    <w:rsid w:val="009C43A7"/>
    <w:rsid w:val="009C4913"/>
    <w:rsid w:val="009C4A09"/>
    <w:rsid w:val="009C505E"/>
    <w:rsid w:val="009C5587"/>
    <w:rsid w:val="009C66A3"/>
    <w:rsid w:val="009D0289"/>
    <w:rsid w:val="009D1F6D"/>
    <w:rsid w:val="009D25A2"/>
    <w:rsid w:val="009D2718"/>
    <w:rsid w:val="009D3728"/>
    <w:rsid w:val="009D4988"/>
    <w:rsid w:val="009D4CF9"/>
    <w:rsid w:val="009D4E1B"/>
    <w:rsid w:val="009D5B81"/>
    <w:rsid w:val="009D5D26"/>
    <w:rsid w:val="009D68C2"/>
    <w:rsid w:val="009D72F4"/>
    <w:rsid w:val="009E0C8B"/>
    <w:rsid w:val="009E117C"/>
    <w:rsid w:val="009E3A70"/>
    <w:rsid w:val="009E4F2B"/>
    <w:rsid w:val="009E613A"/>
    <w:rsid w:val="009E74EE"/>
    <w:rsid w:val="009E7A88"/>
    <w:rsid w:val="009F057F"/>
    <w:rsid w:val="009F14E8"/>
    <w:rsid w:val="009F1F21"/>
    <w:rsid w:val="009F2F79"/>
    <w:rsid w:val="009F3094"/>
    <w:rsid w:val="009F40F3"/>
    <w:rsid w:val="009F494E"/>
    <w:rsid w:val="009F49EB"/>
    <w:rsid w:val="009F5613"/>
    <w:rsid w:val="009F67A1"/>
    <w:rsid w:val="009F6DF8"/>
    <w:rsid w:val="00A02D54"/>
    <w:rsid w:val="00A03254"/>
    <w:rsid w:val="00A03C52"/>
    <w:rsid w:val="00A04962"/>
    <w:rsid w:val="00A04AC9"/>
    <w:rsid w:val="00A05DCC"/>
    <w:rsid w:val="00A0619B"/>
    <w:rsid w:val="00A06743"/>
    <w:rsid w:val="00A06A7C"/>
    <w:rsid w:val="00A06FA7"/>
    <w:rsid w:val="00A07316"/>
    <w:rsid w:val="00A07BC4"/>
    <w:rsid w:val="00A07D16"/>
    <w:rsid w:val="00A105E9"/>
    <w:rsid w:val="00A109AD"/>
    <w:rsid w:val="00A10A7A"/>
    <w:rsid w:val="00A10BC1"/>
    <w:rsid w:val="00A12146"/>
    <w:rsid w:val="00A12A96"/>
    <w:rsid w:val="00A14E37"/>
    <w:rsid w:val="00A1557C"/>
    <w:rsid w:val="00A155FA"/>
    <w:rsid w:val="00A15C8B"/>
    <w:rsid w:val="00A161A0"/>
    <w:rsid w:val="00A16886"/>
    <w:rsid w:val="00A202D0"/>
    <w:rsid w:val="00A20831"/>
    <w:rsid w:val="00A20D85"/>
    <w:rsid w:val="00A2304C"/>
    <w:rsid w:val="00A23E52"/>
    <w:rsid w:val="00A23F8D"/>
    <w:rsid w:val="00A24EE9"/>
    <w:rsid w:val="00A25767"/>
    <w:rsid w:val="00A25775"/>
    <w:rsid w:val="00A25A37"/>
    <w:rsid w:val="00A266F4"/>
    <w:rsid w:val="00A26CD4"/>
    <w:rsid w:val="00A27360"/>
    <w:rsid w:val="00A301DE"/>
    <w:rsid w:val="00A30CE1"/>
    <w:rsid w:val="00A31184"/>
    <w:rsid w:val="00A31FEB"/>
    <w:rsid w:val="00A32067"/>
    <w:rsid w:val="00A32D93"/>
    <w:rsid w:val="00A3346B"/>
    <w:rsid w:val="00A33AFD"/>
    <w:rsid w:val="00A33FEC"/>
    <w:rsid w:val="00A35636"/>
    <w:rsid w:val="00A35F30"/>
    <w:rsid w:val="00A36DDD"/>
    <w:rsid w:val="00A379AC"/>
    <w:rsid w:val="00A40665"/>
    <w:rsid w:val="00A40B1F"/>
    <w:rsid w:val="00A40E09"/>
    <w:rsid w:val="00A40FA5"/>
    <w:rsid w:val="00A44223"/>
    <w:rsid w:val="00A44A3C"/>
    <w:rsid w:val="00A44DE5"/>
    <w:rsid w:val="00A450C8"/>
    <w:rsid w:val="00A45346"/>
    <w:rsid w:val="00A457AE"/>
    <w:rsid w:val="00A45D3B"/>
    <w:rsid w:val="00A45EFB"/>
    <w:rsid w:val="00A46684"/>
    <w:rsid w:val="00A47447"/>
    <w:rsid w:val="00A50977"/>
    <w:rsid w:val="00A50DE0"/>
    <w:rsid w:val="00A50FA4"/>
    <w:rsid w:val="00A5152F"/>
    <w:rsid w:val="00A51D39"/>
    <w:rsid w:val="00A524DA"/>
    <w:rsid w:val="00A52CA1"/>
    <w:rsid w:val="00A5341D"/>
    <w:rsid w:val="00A53987"/>
    <w:rsid w:val="00A54FDF"/>
    <w:rsid w:val="00A55C2F"/>
    <w:rsid w:val="00A55F60"/>
    <w:rsid w:val="00A5611C"/>
    <w:rsid w:val="00A56274"/>
    <w:rsid w:val="00A56467"/>
    <w:rsid w:val="00A568AB"/>
    <w:rsid w:val="00A578C7"/>
    <w:rsid w:val="00A60149"/>
    <w:rsid w:val="00A6071A"/>
    <w:rsid w:val="00A60AF2"/>
    <w:rsid w:val="00A60F46"/>
    <w:rsid w:val="00A616D5"/>
    <w:rsid w:val="00A617BF"/>
    <w:rsid w:val="00A6254C"/>
    <w:rsid w:val="00A62782"/>
    <w:rsid w:val="00A632CC"/>
    <w:rsid w:val="00A63A48"/>
    <w:rsid w:val="00A64CB6"/>
    <w:rsid w:val="00A65065"/>
    <w:rsid w:val="00A65278"/>
    <w:rsid w:val="00A6533B"/>
    <w:rsid w:val="00A65D79"/>
    <w:rsid w:val="00A660F0"/>
    <w:rsid w:val="00A66338"/>
    <w:rsid w:val="00A6697E"/>
    <w:rsid w:val="00A677E6"/>
    <w:rsid w:val="00A7010E"/>
    <w:rsid w:val="00A725EC"/>
    <w:rsid w:val="00A726A0"/>
    <w:rsid w:val="00A72B47"/>
    <w:rsid w:val="00A73524"/>
    <w:rsid w:val="00A73D44"/>
    <w:rsid w:val="00A7451C"/>
    <w:rsid w:val="00A74910"/>
    <w:rsid w:val="00A759A6"/>
    <w:rsid w:val="00A76054"/>
    <w:rsid w:val="00A768E3"/>
    <w:rsid w:val="00A76CC4"/>
    <w:rsid w:val="00A76E28"/>
    <w:rsid w:val="00A773A8"/>
    <w:rsid w:val="00A77974"/>
    <w:rsid w:val="00A80573"/>
    <w:rsid w:val="00A80CD9"/>
    <w:rsid w:val="00A81C7A"/>
    <w:rsid w:val="00A821D1"/>
    <w:rsid w:val="00A832CE"/>
    <w:rsid w:val="00A83F38"/>
    <w:rsid w:val="00A84008"/>
    <w:rsid w:val="00A84348"/>
    <w:rsid w:val="00A851E7"/>
    <w:rsid w:val="00A8673B"/>
    <w:rsid w:val="00A872BA"/>
    <w:rsid w:val="00A87547"/>
    <w:rsid w:val="00A878EB"/>
    <w:rsid w:val="00A904D5"/>
    <w:rsid w:val="00A9104C"/>
    <w:rsid w:val="00A91AB3"/>
    <w:rsid w:val="00A927B4"/>
    <w:rsid w:val="00A94E3A"/>
    <w:rsid w:val="00A954D4"/>
    <w:rsid w:val="00A95639"/>
    <w:rsid w:val="00A95A2D"/>
    <w:rsid w:val="00A9663B"/>
    <w:rsid w:val="00A968B3"/>
    <w:rsid w:val="00A96EDA"/>
    <w:rsid w:val="00A96FA3"/>
    <w:rsid w:val="00AA0571"/>
    <w:rsid w:val="00AA077C"/>
    <w:rsid w:val="00AA08FD"/>
    <w:rsid w:val="00AA0C8B"/>
    <w:rsid w:val="00AA0F51"/>
    <w:rsid w:val="00AA11C2"/>
    <w:rsid w:val="00AA163A"/>
    <w:rsid w:val="00AA1C1F"/>
    <w:rsid w:val="00AA5F7C"/>
    <w:rsid w:val="00AA7076"/>
    <w:rsid w:val="00AA7C3C"/>
    <w:rsid w:val="00AA7FA1"/>
    <w:rsid w:val="00AB16A3"/>
    <w:rsid w:val="00AB1C08"/>
    <w:rsid w:val="00AB246F"/>
    <w:rsid w:val="00AB2E54"/>
    <w:rsid w:val="00AB2F59"/>
    <w:rsid w:val="00AB3D38"/>
    <w:rsid w:val="00AB4D3A"/>
    <w:rsid w:val="00AB4E46"/>
    <w:rsid w:val="00AB5210"/>
    <w:rsid w:val="00AB5262"/>
    <w:rsid w:val="00AB5375"/>
    <w:rsid w:val="00AB6A82"/>
    <w:rsid w:val="00AB6CF0"/>
    <w:rsid w:val="00AB6E44"/>
    <w:rsid w:val="00AB7168"/>
    <w:rsid w:val="00AC12A2"/>
    <w:rsid w:val="00AC1440"/>
    <w:rsid w:val="00AC15C3"/>
    <w:rsid w:val="00AC26EA"/>
    <w:rsid w:val="00AC2A2A"/>
    <w:rsid w:val="00AC2D76"/>
    <w:rsid w:val="00AC3B8E"/>
    <w:rsid w:val="00AC3E40"/>
    <w:rsid w:val="00AC4232"/>
    <w:rsid w:val="00AC4D64"/>
    <w:rsid w:val="00AC4FC4"/>
    <w:rsid w:val="00AC5000"/>
    <w:rsid w:val="00AC59B5"/>
    <w:rsid w:val="00AC6E43"/>
    <w:rsid w:val="00AC7D3F"/>
    <w:rsid w:val="00AD00CA"/>
    <w:rsid w:val="00AD0AE7"/>
    <w:rsid w:val="00AD105A"/>
    <w:rsid w:val="00AD1621"/>
    <w:rsid w:val="00AD2FC6"/>
    <w:rsid w:val="00AD4EA7"/>
    <w:rsid w:val="00AD5C9E"/>
    <w:rsid w:val="00AD6C74"/>
    <w:rsid w:val="00AD6D74"/>
    <w:rsid w:val="00AE06AA"/>
    <w:rsid w:val="00AE16FA"/>
    <w:rsid w:val="00AE1CC8"/>
    <w:rsid w:val="00AE3BD8"/>
    <w:rsid w:val="00AE499C"/>
    <w:rsid w:val="00AE57CD"/>
    <w:rsid w:val="00AE66BF"/>
    <w:rsid w:val="00AE675E"/>
    <w:rsid w:val="00AE6D55"/>
    <w:rsid w:val="00AE7AB0"/>
    <w:rsid w:val="00AE7B92"/>
    <w:rsid w:val="00AF1B7B"/>
    <w:rsid w:val="00AF1EB7"/>
    <w:rsid w:val="00AF30A5"/>
    <w:rsid w:val="00AF30E0"/>
    <w:rsid w:val="00AF40E4"/>
    <w:rsid w:val="00AF4996"/>
    <w:rsid w:val="00AF6A69"/>
    <w:rsid w:val="00AF6BAA"/>
    <w:rsid w:val="00AF78D8"/>
    <w:rsid w:val="00B00077"/>
    <w:rsid w:val="00B00CF7"/>
    <w:rsid w:val="00B01D05"/>
    <w:rsid w:val="00B02A41"/>
    <w:rsid w:val="00B03B02"/>
    <w:rsid w:val="00B0460F"/>
    <w:rsid w:val="00B0494F"/>
    <w:rsid w:val="00B04B3E"/>
    <w:rsid w:val="00B0504C"/>
    <w:rsid w:val="00B052B3"/>
    <w:rsid w:val="00B053EF"/>
    <w:rsid w:val="00B054DF"/>
    <w:rsid w:val="00B0551E"/>
    <w:rsid w:val="00B055CE"/>
    <w:rsid w:val="00B055FA"/>
    <w:rsid w:val="00B059A9"/>
    <w:rsid w:val="00B06260"/>
    <w:rsid w:val="00B06633"/>
    <w:rsid w:val="00B07069"/>
    <w:rsid w:val="00B073D5"/>
    <w:rsid w:val="00B07C62"/>
    <w:rsid w:val="00B07FBB"/>
    <w:rsid w:val="00B128E2"/>
    <w:rsid w:val="00B1303D"/>
    <w:rsid w:val="00B14E7B"/>
    <w:rsid w:val="00B16313"/>
    <w:rsid w:val="00B16C63"/>
    <w:rsid w:val="00B2078E"/>
    <w:rsid w:val="00B20E02"/>
    <w:rsid w:val="00B21A7B"/>
    <w:rsid w:val="00B2294C"/>
    <w:rsid w:val="00B22951"/>
    <w:rsid w:val="00B22E33"/>
    <w:rsid w:val="00B2384B"/>
    <w:rsid w:val="00B26448"/>
    <w:rsid w:val="00B27A66"/>
    <w:rsid w:val="00B30E41"/>
    <w:rsid w:val="00B322DF"/>
    <w:rsid w:val="00B325D4"/>
    <w:rsid w:val="00B32D0B"/>
    <w:rsid w:val="00B36727"/>
    <w:rsid w:val="00B3700E"/>
    <w:rsid w:val="00B4085C"/>
    <w:rsid w:val="00B40BA9"/>
    <w:rsid w:val="00B40D6A"/>
    <w:rsid w:val="00B4108B"/>
    <w:rsid w:val="00B41367"/>
    <w:rsid w:val="00B41DA8"/>
    <w:rsid w:val="00B42A78"/>
    <w:rsid w:val="00B430E7"/>
    <w:rsid w:val="00B43360"/>
    <w:rsid w:val="00B44032"/>
    <w:rsid w:val="00B44DEE"/>
    <w:rsid w:val="00B45283"/>
    <w:rsid w:val="00B453D4"/>
    <w:rsid w:val="00B45981"/>
    <w:rsid w:val="00B465BD"/>
    <w:rsid w:val="00B47E88"/>
    <w:rsid w:val="00B50C50"/>
    <w:rsid w:val="00B513A5"/>
    <w:rsid w:val="00B52F38"/>
    <w:rsid w:val="00B53D61"/>
    <w:rsid w:val="00B54EEE"/>
    <w:rsid w:val="00B54FC8"/>
    <w:rsid w:val="00B55077"/>
    <w:rsid w:val="00B553C3"/>
    <w:rsid w:val="00B55824"/>
    <w:rsid w:val="00B56A7E"/>
    <w:rsid w:val="00B57DCF"/>
    <w:rsid w:val="00B62A25"/>
    <w:rsid w:val="00B64860"/>
    <w:rsid w:val="00B64865"/>
    <w:rsid w:val="00B65E77"/>
    <w:rsid w:val="00B66AF0"/>
    <w:rsid w:val="00B674E1"/>
    <w:rsid w:val="00B67BE8"/>
    <w:rsid w:val="00B67EF2"/>
    <w:rsid w:val="00B70FCC"/>
    <w:rsid w:val="00B7113B"/>
    <w:rsid w:val="00B71C8B"/>
    <w:rsid w:val="00B72629"/>
    <w:rsid w:val="00B736A3"/>
    <w:rsid w:val="00B7397A"/>
    <w:rsid w:val="00B73E12"/>
    <w:rsid w:val="00B74AA3"/>
    <w:rsid w:val="00B74F98"/>
    <w:rsid w:val="00B75331"/>
    <w:rsid w:val="00B761E5"/>
    <w:rsid w:val="00B76F56"/>
    <w:rsid w:val="00B77495"/>
    <w:rsid w:val="00B809ED"/>
    <w:rsid w:val="00B81433"/>
    <w:rsid w:val="00B8196F"/>
    <w:rsid w:val="00B8225E"/>
    <w:rsid w:val="00B82710"/>
    <w:rsid w:val="00B82766"/>
    <w:rsid w:val="00B82D23"/>
    <w:rsid w:val="00B84E21"/>
    <w:rsid w:val="00B8669F"/>
    <w:rsid w:val="00B866CD"/>
    <w:rsid w:val="00B869D0"/>
    <w:rsid w:val="00B87008"/>
    <w:rsid w:val="00B876B5"/>
    <w:rsid w:val="00B876B6"/>
    <w:rsid w:val="00B877AC"/>
    <w:rsid w:val="00B877F7"/>
    <w:rsid w:val="00B91625"/>
    <w:rsid w:val="00B919E6"/>
    <w:rsid w:val="00B92CDA"/>
    <w:rsid w:val="00B9445E"/>
    <w:rsid w:val="00B94AC8"/>
    <w:rsid w:val="00B951C7"/>
    <w:rsid w:val="00B9566F"/>
    <w:rsid w:val="00B95BBA"/>
    <w:rsid w:val="00B966E8"/>
    <w:rsid w:val="00B970AD"/>
    <w:rsid w:val="00B97ACC"/>
    <w:rsid w:val="00BA09B9"/>
    <w:rsid w:val="00BA0B4C"/>
    <w:rsid w:val="00BA1B67"/>
    <w:rsid w:val="00BA250C"/>
    <w:rsid w:val="00BA2F6C"/>
    <w:rsid w:val="00BA2F9E"/>
    <w:rsid w:val="00BA31CC"/>
    <w:rsid w:val="00BA34C9"/>
    <w:rsid w:val="00BA3636"/>
    <w:rsid w:val="00BA414E"/>
    <w:rsid w:val="00BA47F8"/>
    <w:rsid w:val="00BA4DAC"/>
    <w:rsid w:val="00BA51EC"/>
    <w:rsid w:val="00BA67A5"/>
    <w:rsid w:val="00BA7EF2"/>
    <w:rsid w:val="00BB0619"/>
    <w:rsid w:val="00BB09F8"/>
    <w:rsid w:val="00BB0B91"/>
    <w:rsid w:val="00BB23E5"/>
    <w:rsid w:val="00BB2D18"/>
    <w:rsid w:val="00BB33E5"/>
    <w:rsid w:val="00BB4AE7"/>
    <w:rsid w:val="00BB4F39"/>
    <w:rsid w:val="00BB5179"/>
    <w:rsid w:val="00BB6676"/>
    <w:rsid w:val="00BB71FF"/>
    <w:rsid w:val="00BC047B"/>
    <w:rsid w:val="00BC04F6"/>
    <w:rsid w:val="00BC10BF"/>
    <w:rsid w:val="00BC4DBC"/>
    <w:rsid w:val="00BC53AE"/>
    <w:rsid w:val="00BC7181"/>
    <w:rsid w:val="00BC7ECA"/>
    <w:rsid w:val="00BD05EF"/>
    <w:rsid w:val="00BD07B0"/>
    <w:rsid w:val="00BD0D9C"/>
    <w:rsid w:val="00BD0FC2"/>
    <w:rsid w:val="00BD1E92"/>
    <w:rsid w:val="00BD3F02"/>
    <w:rsid w:val="00BD3FC8"/>
    <w:rsid w:val="00BD4638"/>
    <w:rsid w:val="00BD486A"/>
    <w:rsid w:val="00BD4DE7"/>
    <w:rsid w:val="00BD5A9C"/>
    <w:rsid w:val="00BD772E"/>
    <w:rsid w:val="00BE08F4"/>
    <w:rsid w:val="00BE1337"/>
    <w:rsid w:val="00BE2175"/>
    <w:rsid w:val="00BE2601"/>
    <w:rsid w:val="00BE304E"/>
    <w:rsid w:val="00BE3C37"/>
    <w:rsid w:val="00BE3C45"/>
    <w:rsid w:val="00BE3C5B"/>
    <w:rsid w:val="00BE41F4"/>
    <w:rsid w:val="00BE4278"/>
    <w:rsid w:val="00BE47E9"/>
    <w:rsid w:val="00BE71CB"/>
    <w:rsid w:val="00BE7375"/>
    <w:rsid w:val="00BE7C20"/>
    <w:rsid w:val="00BE7FBE"/>
    <w:rsid w:val="00BF03A0"/>
    <w:rsid w:val="00BF088A"/>
    <w:rsid w:val="00BF0F73"/>
    <w:rsid w:val="00BF1332"/>
    <w:rsid w:val="00BF14FB"/>
    <w:rsid w:val="00BF15A6"/>
    <w:rsid w:val="00BF1CB7"/>
    <w:rsid w:val="00BF2456"/>
    <w:rsid w:val="00BF2D81"/>
    <w:rsid w:val="00BF34BC"/>
    <w:rsid w:val="00BF49E1"/>
    <w:rsid w:val="00BF4A7B"/>
    <w:rsid w:val="00BF4B10"/>
    <w:rsid w:val="00BF515F"/>
    <w:rsid w:val="00BF5C04"/>
    <w:rsid w:val="00BF7176"/>
    <w:rsid w:val="00BF74E5"/>
    <w:rsid w:val="00BF751D"/>
    <w:rsid w:val="00BF7BF3"/>
    <w:rsid w:val="00C00C23"/>
    <w:rsid w:val="00C01382"/>
    <w:rsid w:val="00C02B30"/>
    <w:rsid w:val="00C032E3"/>
    <w:rsid w:val="00C04C75"/>
    <w:rsid w:val="00C04F12"/>
    <w:rsid w:val="00C04F9E"/>
    <w:rsid w:val="00C05C7B"/>
    <w:rsid w:val="00C06468"/>
    <w:rsid w:val="00C076ED"/>
    <w:rsid w:val="00C0792E"/>
    <w:rsid w:val="00C07B6B"/>
    <w:rsid w:val="00C07D9F"/>
    <w:rsid w:val="00C105BF"/>
    <w:rsid w:val="00C109B2"/>
    <w:rsid w:val="00C11005"/>
    <w:rsid w:val="00C118C8"/>
    <w:rsid w:val="00C1224E"/>
    <w:rsid w:val="00C1263B"/>
    <w:rsid w:val="00C13671"/>
    <w:rsid w:val="00C139D5"/>
    <w:rsid w:val="00C13C02"/>
    <w:rsid w:val="00C144FC"/>
    <w:rsid w:val="00C1553E"/>
    <w:rsid w:val="00C16291"/>
    <w:rsid w:val="00C171B2"/>
    <w:rsid w:val="00C17411"/>
    <w:rsid w:val="00C1765E"/>
    <w:rsid w:val="00C177F5"/>
    <w:rsid w:val="00C17C22"/>
    <w:rsid w:val="00C20625"/>
    <w:rsid w:val="00C20931"/>
    <w:rsid w:val="00C2097C"/>
    <w:rsid w:val="00C21A8A"/>
    <w:rsid w:val="00C21BAF"/>
    <w:rsid w:val="00C2267F"/>
    <w:rsid w:val="00C22689"/>
    <w:rsid w:val="00C22B1A"/>
    <w:rsid w:val="00C22F12"/>
    <w:rsid w:val="00C23DEB"/>
    <w:rsid w:val="00C24137"/>
    <w:rsid w:val="00C244B1"/>
    <w:rsid w:val="00C244C8"/>
    <w:rsid w:val="00C25CCC"/>
    <w:rsid w:val="00C260B4"/>
    <w:rsid w:val="00C26389"/>
    <w:rsid w:val="00C2682D"/>
    <w:rsid w:val="00C26B83"/>
    <w:rsid w:val="00C309F3"/>
    <w:rsid w:val="00C33DD7"/>
    <w:rsid w:val="00C34263"/>
    <w:rsid w:val="00C343C3"/>
    <w:rsid w:val="00C3459A"/>
    <w:rsid w:val="00C3588D"/>
    <w:rsid w:val="00C36293"/>
    <w:rsid w:val="00C372DC"/>
    <w:rsid w:val="00C37CB0"/>
    <w:rsid w:val="00C414B5"/>
    <w:rsid w:val="00C416A7"/>
    <w:rsid w:val="00C41C0A"/>
    <w:rsid w:val="00C4277E"/>
    <w:rsid w:val="00C43FD1"/>
    <w:rsid w:val="00C450B8"/>
    <w:rsid w:val="00C455EB"/>
    <w:rsid w:val="00C46539"/>
    <w:rsid w:val="00C46685"/>
    <w:rsid w:val="00C46D9E"/>
    <w:rsid w:val="00C507DD"/>
    <w:rsid w:val="00C50C84"/>
    <w:rsid w:val="00C50D4E"/>
    <w:rsid w:val="00C51BC3"/>
    <w:rsid w:val="00C52B09"/>
    <w:rsid w:val="00C52BA4"/>
    <w:rsid w:val="00C52F56"/>
    <w:rsid w:val="00C53244"/>
    <w:rsid w:val="00C53500"/>
    <w:rsid w:val="00C53A0A"/>
    <w:rsid w:val="00C5476B"/>
    <w:rsid w:val="00C54819"/>
    <w:rsid w:val="00C548E5"/>
    <w:rsid w:val="00C54BC1"/>
    <w:rsid w:val="00C5518B"/>
    <w:rsid w:val="00C564BB"/>
    <w:rsid w:val="00C56A4F"/>
    <w:rsid w:val="00C57261"/>
    <w:rsid w:val="00C5796F"/>
    <w:rsid w:val="00C579A8"/>
    <w:rsid w:val="00C57E4F"/>
    <w:rsid w:val="00C600C9"/>
    <w:rsid w:val="00C60503"/>
    <w:rsid w:val="00C60715"/>
    <w:rsid w:val="00C60C8C"/>
    <w:rsid w:val="00C61E34"/>
    <w:rsid w:val="00C621FA"/>
    <w:rsid w:val="00C636AF"/>
    <w:rsid w:val="00C63FF5"/>
    <w:rsid w:val="00C6413A"/>
    <w:rsid w:val="00C643E7"/>
    <w:rsid w:val="00C64AE2"/>
    <w:rsid w:val="00C64C16"/>
    <w:rsid w:val="00C65558"/>
    <w:rsid w:val="00C65D0B"/>
    <w:rsid w:val="00C6670C"/>
    <w:rsid w:val="00C66A76"/>
    <w:rsid w:val="00C67CB5"/>
    <w:rsid w:val="00C70182"/>
    <w:rsid w:val="00C70E50"/>
    <w:rsid w:val="00C729E5"/>
    <w:rsid w:val="00C7451C"/>
    <w:rsid w:val="00C74CAB"/>
    <w:rsid w:val="00C75204"/>
    <w:rsid w:val="00C765DA"/>
    <w:rsid w:val="00C8105A"/>
    <w:rsid w:val="00C82979"/>
    <w:rsid w:val="00C82DAF"/>
    <w:rsid w:val="00C82FB2"/>
    <w:rsid w:val="00C8380E"/>
    <w:rsid w:val="00C83EB0"/>
    <w:rsid w:val="00C8431F"/>
    <w:rsid w:val="00C84995"/>
    <w:rsid w:val="00C8570D"/>
    <w:rsid w:val="00C86F83"/>
    <w:rsid w:val="00C8718C"/>
    <w:rsid w:val="00C877C6"/>
    <w:rsid w:val="00C87C3C"/>
    <w:rsid w:val="00C90067"/>
    <w:rsid w:val="00C90AD6"/>
    <w:rsid w:val="00C90BEB"/>
    <w:rsid w:val="00C90DEF"/>
    <w:rsid w:val="00C911A5"/>
    <w:rsid w:val="00C91356"/>
    <w:rsid w:val="00C91E4B"/>
    <w:rsid w:val="00C920FE"/>
    <w:rsid w:val="00C92A46"/>
    <w:rsid w:val="00C92FC0"/>
    <w:rsid w:val="00C93526"/>
    <w:rsid w:val="00C93E00"/>
    <w:rsid w:val="00C94836"/>
    <w:rsid w:val="00C95CD3"/>
    <w:rsid w:val="00C9609D"/>
    <w:rsid w:val="00C9637C"/>
    <w:rsid w:val="00C965C3"/>
    <w:rsid w:val="00C96692"/>
    <w:rsid w:val="00C97393"/>
    <w:rsid w:val="00C97BE9"/>
    <w:rsid w:val="00CA2552"/>
    <w:rsid w:val="00CA2A0D"/>
    <w:rsid w:val="00CA3FE2"/>
    <w:rsid w:val="00CA4C6D"/>
    <w:rsid w:val="00CA5C8B"/>
    <w:rsid w:val="00CA5EED"/>
    <w:rsid w:val="00CA6660"/>
    <w:rsid w:val="00CA69FE"/>
    <w:rsid w:val="00CA6EBA"/>
    <w:rsid w:val="00CA77CA"/>
    <w:rsid w:val="00CB0978"/>
    <w:rsid w:val="00CB1DBD"/>
    <w:rsid w:val="00CB30CF"/>
    <w:rsid w:val="00CB316F"/>
    <w:rsid w:val="00CB3DB8"/>
    <w:rsid w:val="00CB44D3"/>
    <w:rsid w:val="00CB5DB2"/>
    <w:rsid w:val="00CB61FE"/>
    <w:rsid w:val="00CB6411"/>
    <w:rsid w:val="00CB6E24"/>
    <w:rsid w:val="00CB7433"/>
    <w:rsid w:val="00CB7459"/>
    <w:rsid w:val="00CB78EE"/>
    <w:rsid w:val="00CB7A3D"/>
    <w:rsid w:val="00CC0C35"/>
    <w:rsid w:val="00CC0F22"/>
    <w:rsid w:val="00CC26A9"/>
    <w:rsid w:val="00CC2A38"/>
    <w:rsid w:val="00CC2C4E"/>
    <w:rsid w:val="00CC3F1F"/>
    <w:rsid w:val="00CC3F34"/>
    <w:rsid w:val="00CC426E"/>
    <w:rsid w:val="00CC5DA3"/>
    <w:rsid w:val="00CC6206"/>
    <w:rsid w:val="00CC6B9F"/>
    <w:rsid w:val="00CC6BE9"/>
    <w:rsid w:val="00CC6E15"/>
    <w:rsid w:val="00CC7753"/>
    <w:rsid w:val="00CD152D"/>
    <w:rsid w:val="00CD19E2"/>
    <w:rsid w:val="00CD1E5A"/>
    <w:rsid w:val="00CD23CE"/>
    <w:rsid w:val="00CD3215"/>
    <w:rsid w:val="00CD3561"/>
    <w:rsid w:val="00CD3E8A"/>
    <w:rsid w:val="00CD3FF3"/>
    <w:rsid w:val="00CD4026"/>
    <w:rsid w:val="00CD4571"/>
    <w:rsid w:val="00CD4FE0"/>
    <w:rsid w:val="00CD5ACE"/>
    <w:rsid w:val="00CD6316"/>
    <w:rsid w:val="00CD63A1"/>
    <w:rsid w:val="00CD6A81"/>
    <w:rsid w:val="00CD75E6"/>
    <w:rsid w:val="00CD77B5"/>
    <w:rsid w:val="00CD7B9A"/>
    <w:rsid w:val="00CE0310"/>
    <w:rsid w:val="00CE12BE"/>
    <w:rsid w:val="00CE2315"/>
    <w:rsid w:val="00CE2C57"/>
    <w:rsid w:val="00CE33A0"/>
    <w:rsid w:val="00CE3484"/>
    <w:rsid w:val="00CE3E5C"/>
    <w:rsid w:val="00CE42D0"/>
    <w:rsid w:val="00CE5BBF"/>
    <w:rsid w:val="00CE6A0A"/>
    <w:rsid w:val="00CF0594"/>
    <w:rsid w:val="00CF1C61"/>
    <w:rsid w:val="00CF1E73"/>
    <w:rsid w:val="00CF2735"/>
    <w:rsid w:val="00CF28B5"/>
    <w:rsid w:val="00CF2924"/>
    <w:rsid w:val="00CF2ABA"/>
    <w:rsid w:val="00CF3309"/>
    <w:rsid w:val="00CF3784"/>
    <w:rsid w:val="00CF3B76"/>
    <w:rsid w:val="00CF5041"/>
    <w:rsid w:val="00CF55CC"/>
    <w:rsid w:val="00CF6B92"/>
    <w:rsid w:val="00CF7BE3"/>
    <w:rsid w:val="00D00740"/>
    <w:rsid w:val="00D00B45"/>
    <w:rsid w:val="00D01726"/>
    <w:rsid w:val="00D02C8B"/>
    <w:rsid w:val="00D02E65"/>
    <w:rsid w:val="00D0355B"/>
    <w:rsid w:val="00D04279"/>
    <w:rsid w:val="00D042E4"/>
    <w:rsid w:val="00D046F9"/>
    <w:rsid w:val="00D04B59"/>
    <w:rsid w:val="00D04C9F"/>
    <w:rsid w:val="00D04F8E"/>
    <w:rsid w:val="00D0515E"/>
    <w:rsid w:val="00D05419"/>
    <w:rsid w:val="00D05889"/>
    <w:rsid w:val="00D058E6"/>
    <w:rsid w:val="00D05FAA"/>
    <w:rsid w:val="00D0654A"/>
    <w:rsid w:val="00D06A69"/>
    <w:rsid w:val="00D071CA"/>
    <w:rsid w:val="00D076DB"/>
    <w:rsid w:val="00D07F30"/>
    <w:rsid w:val="00D10810"/>
    <w:rsid w:val="00D10F9C"/>
    <w:rsid w:val="00D1170B"/>
    <w:rsid w:val="00D12542"/>
    <w:rsid w:val="00D13089"/>
    <w:rsid w:val="00D142B7"/>
    <w:rsid w:val="00D14393"/>
    <w:rsid w:val="00D148FB"/>
    <w:rsid w:val="00D14E23"/>
    <w:rsid w:val="00D15A96"/>
    <w:rsid w:val="00D15B43"/>
    <w:rsid w:val="00D2155A"/>
    <w:rsid w:val="00D22043"/>
    <w:rsid w:val="00D22AB4"/>
    <w:rsid w:val="00D22C34"/>
    <w:rsid w:val="00D233F1"/>
    <w:rsid w:val="00D23C32"/>
    <w:rsid w:val="00D23D35"/>
    <w:rsid w:val="00D24499"/>
    <w:rsid w:val="00D24796"/>
    <w:rsid w:val="00D24A5E"/>
    <w:rsid w:val="00D24C6A"/>
    <w:rsid w:val="00D26E6B"/>
    <w:rsid w:val="00D27021"/>
    <w:rsid w:val="00D273F2"/>
    <w:rsid w:val="00D278F5"/>
    <w:rsid w:val="00D300CF"/>
    <w:rsid w:val="00D305A8"/>
    <w:rsid w:val="00D30B76"/>
    <w:rsid w:val="00D30FE8"/>
    <w:rsid w:val="00D31076"/>
    <w:rsid w:val="00D31412"/>
    <w:rsid w:val="00D31414"/>
    <w:rsid w:val="00D3199E"/>
    <w:rsid w:val="00D319F9"/>
    <w:rsid w:val="00D33790"/>
    <w:rsid w:val="00D33948"/>
    <w:rsid w:val="00D33CFE"/>
    <w:rsid w:val="00D346C8"/>
    <w:rsid w:val="00D353E5"/>
    <w:rsid w:val="00D3601A"/>
    <w:rsid w:val="00D3608D"/>
    <w:rsid w:val="00D36954"/>
    <w:rsid w:val="00D36C25"/>
    <w:rsid w:val="00D3771F"/>
    <w:rsid w:val="00D379EF"/>
    <w:rsid w:val="00D37FAB"/>
    <w:rsid w:val="00D40709"/>
    <w:rsid w:val="00D409D9"/>
    <w:rsid w:val="00D40F60"/>
    <w:rsid w:val="00D41FCE"/>
    <w:rsid w:val="00D422C4"/>
    <w:rsid w:val="00D43DF9"/>
    <w:rsid w:val="00D45A65"/>
    <w:rsid w:val="00D46FC3"/>
    <w:rsid w:val="00D47749"/>
    <w:rsid w:val="00D47AFA"/>
    <w:rsid w:val="00D51887"/>
    <w:rsid w:val="00D5262B"/>
    <w:rsid w:val="00D53368"/>
    <w:rsid w:val="00D535B9"/>
    <w:rsid w:val="00D53D55"/>
    <w:rsid w:val="00D551BB"/>
    <w:rsid w:val="00D55B36"/>
    <w:rsid w:val="00D566F5"/>
    <w:rsid w:val="00D603E0"/>
    <w:rsid w:val="00D60AED"/>
    <w:rsid w:val="00D611E2"/>
    <w:rsid w:val="00D63782"/>
    <w:rsid w:val="00D6489B"/>
    <w:rsid w:val="00D65737"/>
    <w:rsid w:val="00D658C0"/>
    <w:rsid w:val="00D65CE3"/>
    <w:rsid w:val="00D65EC3"/>
    <w:rsid w:val="00D66349"/>
    <w:rsid w:val="00D66466"/>
    <w:rsid w:val="00D66571"/>
    <w:rsid w:val="00D676EC"/>
    <w:rsid w:val="00D67922"/>
    <w:rsid w:val="00D7177C"/>
    <w:rsid w:val="00D71D79"/>
    <w:rsid w:val="00D734A7"/>
    <w:rsid w:val="00D7503A"/>
    <w:rsid w:val="00D75222"/>
    <w:rsid w:val="00D752E7"/>
    <w:rsid w:val="00D75552"/>
    <w:rsid w:val="00D75FAC"/>
    <w:rsid w:val="00D76DF0"/>
    <w:rsid w:val="00D76F31"/>
    <w:rsid w:val="00D77766"/>
    <w:rsid w:val="00D80B85"/>
    <w:rsid w:val="00D80D2D"/>
    <w:rsid w:val="00D815BB"/>
    <w:rsid w:val="00D81C4E"/>
    <w:rsid w:val="00D82888"/>
    <w:rsid w:val="00D82EC0"/>
    <w:rsid w:val="00D8338C"/>
    <w:rsid w:val="00D83BC9"/>
    <w:rsid w:val="00D84459"/>
    <w:rsid w:val="00D84C0F"/>
    <w:rsid w:val="00D85872"/>
    <w:rsid w:val="00D8603E"/>
    <w:rsid w:val="00D868B1"/>
    <w:rsid w:val="00D87B02"/>
    <w:rsid w:val="00D90F8C"/>
    <w:rsid w:val="00D910C9"/>
    <w:rsid w:val="00D9175D"/>
    <w:rsid w:val="00D9179B"/>
    <w:rsid w:val="00D92DEB"/>
    <w:rsid w:val="00D953D0"/>
    <w:rsid w:val="00D96050"/>
    <w:rsid w:val="00D963A1"/>
    <w:rsid w:val="00D968FC"/>
    <w:rsid w:val="00D97B43"/>
    <w:rsid w:val="00D97EB0"/>
    <w:rsid w:val="00DA01B3"/>
    <w:rsid w:val="00DA0E28"/>
    <w:rsid w:val="00DA16B2"/>
    <w:rsid w:val="00DA1B3B"/>
    <w:rsid w:val="00DA1E29"/>
    <w:rsid w:val="00DA1E8E"/>
    <w:rsid w:val="00DA2F32"/>
    <w:rsid w:val="00DA3DAC"/>
    <w:rsid w:val="00DA57FC"/>
    <w:rsid w:val="00DA59CC"/>
    <w:rsid w:val="00DA5F54"/>
    <w:rsid w:val="00DA7EA2"/>
    <w:rsid w:val="00DB050C"/>
    <w:rsid w:val="00DB1F56"/>
    <w:rsid w:val="00DB2204"/>
    <w:rsid w:val="00DB22EE"/>
    <w:rsid w:val="00DB2330"/>
    <w:rsid w:val="00DB270D"/>
    <w:rsid w:val="00DB27A3"/>
    <w:rsid w:val="00DB3F2E"/>
    <w:rsid w:val="00DB3FC0"/>
    <w:rsid w:val="00DB429A"/>
    <w:rsid w:val="00DB51F0"/>
    <w:rsid w:val="00DB5713"/>
    <w:rsid w:val="00DC121B"/>
    <w:rsid w:val="00DC2BAE"/>
    <w:rsid w:val="00DC2BD4"/>
    <w:rsid w:val="00DC2E5F"/>
    <w:rsid w:val="00DC3323"/>
    <w:rsid w:val="00DC34F0"/>
    <w:rsid w:val="00DC459F"/>
    <w:rsid w:val="00DC47C9"/>
    <w:rsid w:val="00DC4D9A"/>
    <w:rsid w:val="00DC516A"/>
    <w:rsid w:val="00DC5A19"/>
    <w:rsid w:val="00DC6D93"/>
    <w:rsid w:val="00DC7C4C"/>
    <w:rsid w:val="00DD04EC"/>
    <w:rsid w:val="00DD0508"/>
    <w:rsid w:val="00DD1444"/>
    <w:rsid w:val="00DD2240"/>
    <w:rsid w:val="00DD2774"/>
    <w:rsid w:val="00DD31ED"/>
    <w:rsid w:val="00DD3AAC"/>
    <w:rsid w:val="00DD3F26"/>
    <w:rsid w:val="00DD446A"/>
    <w:rsid w:val="00DD45C1"/>
    <w:rsid w:val="00DD48A7"/>
    <w:rsid w:val="00DD4C5F"/>
    <w:rsid w:val="00DD69CB"/>
    <w:rsid w:val="00DD6F66"/>
    <w:rsid w:val="00DE0279"/>
    <w:rsid w:val="00DE02D6"/>
    <w:rsid w:val="00DE2175"/>
    <w:rsid w:val="00DE2517"/>
    <w:rsid w:val="00DE330F"/>
    <w:rsid w:val="00DE3F2F"/>
    <w:rsid w:val="00DE44FD"/>
    <w:rsid w:val="00DE4720"/>
    <w:rsid w:val="00DE5090"/>
    <w:rsid w:val="00DE57B7"/>
    <w:rsid w:val="00DE5A6D"/>
    <w:rsid w:val="00DE628B"/>
    <w:rsid w:val="00DE6322"/>
    <w:rsid w:val="00DE6B70"/>
    <w:rsid w:val="00DE7250"/>
    <w:rsid w:val="00DE7FBB"/>
    <w:rsid w:val="00DF013D"/>
    <w:rsid w:val="00DF0356"/>
    <w:rsid w:val="00DF1093"/>
    <w:rsid w:val="00DF1252"/>
    <w:rsid w:val="00DF2346"/>
    <w:rsid w:val="00DF3540"/>
    <w:rsid w:val="00DF3A1D"/>
    <w:rsid w:val="00DF3EDE"/>
    <w:rsid w:val="00DF4684"/>
    <w:rsid w:val="00DF580A"/>
    <w:rsid w:val="00DF59BE"/>
    <w:rsid w:val="00DF5E16"/>
    <w:rsid w:val="00DF5E88"/>
    <w:rsid w:val="00DF63B6"/>
    <w:rsid w:val="00DF6733"/>
    <w:rsid w:val="00DF7254"/>
    <w:rsid w:val="00DF76E0"/>
    <w:rsid w:val="00DF7A86"/>
    <w:rsid w:val="00E00770"/>
    <w:rsid w:val="00E00DB6"/>
    <w:rsid w:val="00E011C1"/>
    <w:rsid w:val="00E03677"/>
    <w:rsid w:val="00E03A2F"/>
    <w:rsid w:val="00E03F2E"/>
    <w:rsid w:val="00E0452A"/>
    <w:rsid w:val="00E0470C"/>
    <w:rsid w:val="00E04C10"/>
    <w:rsid w:val="00E0621C"/>
    <w:rsid w:val="00E07AA6"/>
    <w:rsid w:val="00E10B82"/>
    <w:rsid w:val="00E11B56"/>
    <w:rsid w:val="00E123CE"/>
    <w:rsid w:val="00E13A80"/>
    <w:rsid w:val="00E13C75"/>
    <w:rsid w:val="00E14893"/>
    <w:rsid w:val="00E14C9F"/>
    <w:rsid w:val="00E15546"/>
    <w:rsid w:val="00E15940"/>
    <w:rsid w:val="00E15D46"/>
    <w:rsid w:val="00E17246"/>
    <w:rsid w:val="00E17BC0"/>
    <w:rsid w:val="00E20112"/>
    <w:rsid w:val="00E2030D"/>
    <w:rsid w:val="00E204C5"/>
    <w:rsid w:val="00E20C4D"/>
    <w:rsid w:val="00E20FEE"/>
    <w:rsid w:val="00E21692"/>
    <w:rsid w:val="00E22450"/>
    <w:rsid w:val="00E22F1B"/>
    <w:rsid w:val="00E23493"/>
    <w:rsid w:val="00E2356B"/>
    <w:rsid w:val="00E23843"/>
    <w:rsid w:val="00E239FF"/>
    <w:rsid w:val="00E23B66"/>
    <w:rsid w:val="00E23B69"/>
    <w:rsid w:val="00E243DC"/>
    <w:rsid w:val="00E24A75"/>
    <w:rsid w:val="00E24E76"/>
    <w:rsid w:val="00E24FAE"/>
    <w:rsid w:val="00E25016"/>
    <w:rsid w:val="00E25DE4"/>
    <w:rsid w:val="00E27C0A"/>
    <w:rsid w:val="00E312C1"/>
    <w:rsid w:val="00E315D4"/>
    <w:rsid w:val="00E322C5"/>
    <w:rsid w:val="00E32852"/>
    <w:rsid w:val="00E33381"/>
    <w:rsid w:val="00E33EBC"/>
    <w:rsid w:val="00E33ECD"/>
    <w:rsid w:val="00E34760"/>
    <w:rsid w:val="00E34B39"/>
    <w:rsid w:val="00E358E9"/>
    <w:rsid w:val="00E368A8"/>
    <w:rsid w:val="00E3727D"/>
    <w:rsid w:val="00E37EB6"/>
    <w:rsid w:val="00E40213"/>
    <w:rsid w:val="00E408B5"/>
    <w:rsid w:val="00E40B49"/>
    <w:rsid w:val="00E40DF9"/>
    <w:rsid w:val="00E4185B"/>
    <w:rsid w:val="00E41934"/>
    <w:rsid w:val="00E41DE7"/>
    <w:rsid w:val="00E422F6"/>
    <w:rsid w:val="00E423AA"/>
    <w:rsid w:val="00E42755"/>
    <w:rsid w:val="00E43CF8"/>
    <w:rsid w:val="00E43EED"/>
    <w:rsid w:val="00E45BBE"/>
    <w:rsid w:val="00E46472"/>
    <w:rsid w:val="00E466A2"/>
    <w:rsid w:val="00E46C9E"/>
    <w:rsid w:val="00E47EA0"/>
    <w:rsid w:val="00E50008"/>
    <w:rsid w:val="00E51AB2"/>
    <w:rsid w:val="00E53724"/>
    <w:rsid w:val="00E53C8F"/>
    <w:rsid w:val="00E5429B"/>
    <w:rsid w:val="00E5438D"/>
    <w:rsid w:val="00E54521"/>
    <w:rsid w:val="00E56110"/>
    <w:rsid w:val="00E568B5"/>
    <w:rsid w:val="00E56D1B"/>
    <w:rsid w:val="00E5779D"/>
    <w:rsid w:val="00E6010F"/>
    <w:rsid w:val="00E60A51"/>
    <w:rsid w:val="00E61863"/>
    <w:rsid w:val="00E61E1A"/>
    <w:rsid w:val="00E621A3"/>
    <w:rsid w:val="00E62FA8"/>
    <w:rsid w:val="00E6377B"/>
    <w:rsid w:val="00E654C0"/>
    <w:rsid w:val="00E659DC"/>
    <w:rsid w:val="00E66087"/>
    <w:rsid w:val="00E67F75"/>
    <w:rsid w:val="00E7078C"/>
    <w:rsid w:val="00E70A78"/>
    <w:rsid w:val="00E70CD4"/>
    <w:rsid w:val="00E71171"/>
    <w:rsid w:val="00E71EE2"/>
    <w:rsid w:val="00E72992"/>
    <w:rsid w:val="00E72A24"/>
    <w:rsid w:val="00E72A8C"/>
    <w:rsid w:val="00E72EF2"/>
    <w:rsid w:val="00E73428"/>
    <w:rsid w:val="00E735AC"/>
    <w:rsid w:val="00E74ACA"/>
    <w:rsid w:val="00E74F7E"/>
    <w:rsid w:val="00E75E83"/>
    <w:rsid w:val="00E765D0"/>
    <w:rsid w:val="00E76A23"/>
    <w:rsid w:val="00E8065F"/>
    <w:rsid w:val="00E808C3"/>
    <w:rsid w:val="00E81A9C"/>
    <w:rsid w:val="00E82420"/>
    <w:rsid w:val="00E82761"/>
    <w:rsid w:val="00E8302D"/>
    <w:rsid w:val="00E83620"/>
    <w:rsid w:val="00E83ED5"/>
    <w:rsid w:val="00E84ACE"/>
    <w:rsid w:val="00E85277"/>
    <w:rsid w:val="00E8661C"/>
    <w:rsid w:val="00E86632"/>
    <w:rsid w:val="00E8691A"/>
    <w:rsid w:val="00E87D9E"/>
    <w:rsid w:val="00E901D5"/>
    <w:rsid w:val="00E918D1"/>
    <w:rsid w:val="00E921AB"/>
    <w:rsid w:val="00E92447"/>
    <w:rsid w:val="00E9339D"/>
    <w:rsid w:val="00E936AA"/>
    <w:rsid w:val="00E9395F"/>
    <w:rsid w:val="00E93C6A"/>
    <w:rsid w:val="00E93F0B"/>
    <w:rsid w:val="00E94E84"/>
    <w:rsid w:val="00E9502F"/>
    <w:rsid w:val="00E95439"/>
    <w:rsid w:val="00E956CD"/>
    <w:rsid w:val="00E96582"/>
    <w:rsid w:val="00EA1077"/>
    <w:rsid w:val="00EA1F27"/>
    <w:rsid w:val="00EA2470"/>
    <w:rsid w:val="00EA2D6F"/>
    <w:rsid w:val="00EA3AF3"/>
    <w:rsid w:val="00EA3CE8"/>
    <w:rsid w:val="00EA4118"/>
    <w:rsid w:val="00EA5F2C"/>
    <w:rsid w:val="00EA6586"/>
    <w:rsid w:val="00EB0137"/>
    <w:rsid w:val="00EB130D"/>
    <w:rsid w:val="00EB15F3"/>
    <w:rsid w:val="00EB16AE"/>
    <w:rsid w:val="00EB1F36"/>
    <w:rsid w:val="00EB1FDF"/>
    <w:rsid w:val="00EB37A7"/>
    <w:rsid w:val="00EB3900"/>
    <w:rsid w:val="00EB4C37"/>
    <w:rsid w:val="00EB4D22"/>
    <w:rsid w:val="00EB5A67"/>
    <w:rsid w:val="00EB6B22"/>
    <w:rsid w:val="00EB744A"/>
    <w:rsid w:val="00EB7D34"/>
    <w:rsid w:val="00EC1F35"/>
    <w:rsid w:val="00EC3F68"/>
    <w:rsid w:val="00EC447E"/>
    <w:rsid w:val="00EC52C7"/>
    <w:rsid w:val="00EC52CA"/>
    <w:rsid w:val="00EC5324"/>
    <w:rsid w:val="00EC5CDC"/>
    <w:rsid w:val="00EC5E09"/>
    <w:rsid w:val="00EC62FA"/>
    <w:rsid w:val="00ED0181"/>
    <w:rsid w:val="00ED099E"/>
    <w:rsid w:val="00ED0A7C"/>
    <w:rsid w:val="00ED2F51"/>
    <w:rsid w:val="00ED3825"/>
    <w:rsid w:val="00ED3B38"/>
    <w:rsid w:val="00ED4537"/>
    <w:rsid w:val="00ED528B"/>
    <w:rsid w:val="00ED5322"/>
    <w:rsid w:val="00ED5679"/>
    <w:rsid w:val="00ED5F98"/>
    <w:rsid w:val="00ED62BD"/>
    <w:rsid w:val="00ED749D"/>
    <w:rsid w:val="00ED7C85"/>
    <w:rsid w:val="00EE03A2"/>
    <w:rsid w:val="00EE131B"/>
    <w:rsid w:val="00EE2057"/>
    <w:rsid w:val="00EE2804"/>
    <w:rsid w:val="00EE37C0"/>
    <w:rsid w:val="00EE3835"/>
    <w:rsid w:val="00EE40DF"/>
    <w:rsid w:val="00EE4676"/>
    <w:rsid w:val="00EE51BC"/>
    <w:rsid w:val="00EE57FA"/>
    <w:rsid w:val="00EE6366"/>
    <w:rsid w:val="00EE6CA8"/>
    <w:rsid w:val="00EE7251"/>
    <w:rsid w:val="00EE77C4"/>
    <w:rsid w:val="00EE790C"/>
    <w:rsid w:val="00EF0042"/>
    <w:rsid w:val="00EF0A71"/>
    <w:rsid w:val="00EF1570"/>
    <w:rsid w:val="00EF26F8"/>
    <w:rsid w:val="00EF2A6B"/>
    <w:rsid w:val="00EF34AA"/>
    <w:rsid w:val="00EF3873"/>
    <w:rsid w:val="00EF4DF4"/>
    <w:rsid w:val="00EF5A20"/>
    <w:rsid w:val="00EF5FD9"/>
    <w:rsid w:val="00EF66F8"/>
    <w:rsid w:val="00EF797C"/>
    <w:rsid w:val="00F00549"/>
    <w:rsid w:val="00F00C24"/>
    <w:rsid w:val="00F013AE"/>
    <w:rsid w:val="00F01998"/>
    <w:rsid w:val="00F0236E"/>
    <w:rsid w:val="00F0245B"/>
    <w:rsid w:val="00F03026"/>
    <w:rsid w:val="00F04591"/>
    <w:rsid w:val="00F05AB1"/>
    <w:rsid w:val="00F05E6C"/>
    <w:rsid w:val="00F05FCB"/>
    <w:rsid w:val="00F06388"/>
    <w:rsid w:val="00F0680F"/>
    <w:rsid w:val="00F075A2"/>
    <w:rsid w:val="00F10872"/>
    <w:rsid w:val="00F11244"/>
    <w:rsid w:val="00F11E2C"/>
    <w:rsid w:val="00F12245"/>
    <w:rsid w:val="00F127FB"/>
    <w:rsid w:val="00F129D2"/>
    <w:rsid w:val="00F129E8"/>
    <w:rsid w:val="00F12A2F"/>
    <w:rsid w:val="00F12EF3"/>
    <w:rsid w:val="00F1349E"/>
    <w:rsid w:val="00F13B2B"/>
    <w:rsid w:val="00F1448B"/>
    <w:rsid w:val="00F1590C"/>
    <w:rsid w:val="00F15FF9"/>
    <w:rsid w:val="00F165E3"/>
    <w:rsid w:val="00F17D61"/>
    <w:rsid w:val="00F212AD"/>
    <w:rsid w:val="00F21712"/>
    <w:rsid w:val="00F2184C"/>
    <w:rsid w:val="00F2389D"/>
    <w:rsid w:val="00F23BE7"/>
    <w:rsid w:val="00F23F5C"/>
    <w:rsid w:val="00F24B9B"/>
    <w:rsid w:val="00F2596F"/>
    <w:rsid w:val="00F26579"/>
    <w:rsid w:val="00F27B59"/>
    <w:rsid w:val="00F318CF"/>
    <w:rsid w:val="00F31D01"/>
    <w:rsid w:val="00F32C3F"/>
    <w:rsid w:val="00F32D89"/>
    <w:rsid w:val="00F32EE9"/>
    <w:rsid w:val="00F33CA5"/>
    <w:rsid w:val="00F33DDC"/>
    <w:rsid w:val="00F34FEF"/>
    <w:rsid w:val="00F3544D"/>
    <w:rsid w:val="00F3561D"/>
    <w:rsid w:val="00F365D8"/>
    <w:rsid w:val="00F36763"/>
    <w:rsid w:val="00F36D68"/>
    <w:rsid w:val="00F400C8"/>
    <w:rsid w:val="00F405F5"/>
    <w:rsid w:val="00F4154F"/>
    <w:rsid w:val="00F41935"/>
    <w:rsid w:val="00F42D9E"/>
    <w:rsid w:val="00F4315F"/>
    <w:rsid w:val="00F440E7"/>
    <w:rsid w:val="00F44817"/>
    <w:rsid w:val="00F45166"/>
    <w:rsid w:val="00F45626"/>
    <w:rsid w:val="00F45D42"/>
    <w:rsid w:val="00F46411"/>
    <w:rsid w:val="00F46D01"/>
    <w:rsid w:val="00F46EC7"/>
    <w:rsid w:val="00F474AA"/>
    <w:rsid w:val="00F4770C"/>
    <w:rsid w:val="00F51877"/>
    <w:rsid w:val="00F51D4A"/>
    <w:rsid w:val="00F51EBD"/>
    <w:rsid w:val="00F53F5F"/>
    <w:rsid w:val="00F541B7"/>
    <w:rsid w:val="00F54582"/>
    <w:rsid w:val="00F56F2E"/>
    <w:rsid w:val="00F56F63"/>
    <w:rsid w:val="00F5781A"/>
    <w:rsid w:val="00F57AD3"/>
    <w:rsid w:val="00F61699"/>
    <w:rsid w:val="00F61CD0"/>
    <w:rsid w:val="00F6204D"/>
    <w:rsid w:val="00F62810"/>
    <w:rsid w:val="00F62A9C"/>
    <w:rsid w:val="00F63591"/>
    <w:rsid w:val="00F63EEB"/>
    <w:rsid w:val="00F65362"/>
    <w:rsid w:val="00F66A6C"/>
    <w:rsid w:val="00F66C02"/>
    <w:rsid w:val="00F6708C"/>
    <w:rsid w:val="00F67B7E"/>
    <w:rsid w:val="00F7049A"/>
    <w:rsid w:val="00F706BE"/>
    <w:rsid w:val="00F7097A"/>
    <w:rsid w:val="00F71409"/>
    <w:rsid w:val="00F71526"/>
    <w:rsid w:val="00F72477"/>
    <w:rsid w:val="00F73403"/>
    <w:rsid w:val="00F75937"/>
    <w:rsid w:val="00F761F5"/>
    <w:rsid w:val="00F773B5"/>
    <w:rsid w:val="00F77B96"/>
    <w:rsid w:val="00F77E9D"/>
    <w:rsid w:val="00F80BCA"/>
    <w:rsid w:val="00F80DEF"/>
    <w:rsid w:val="00F81B74"/>
    <w:rsid w:val="00F81C70"/>
    <w:rsid w:val="00F8224F"/>
    <w:rsid w:val="00F82600"/>
    <w:rsid w:val="00F831B2"/>
    <w:rsid w:val="00F838F9"/>
    <w:rsid w:val="00F83D72"/>
    <w:rsid w:val="00F84B69"/>
    <w:rsid w:val="00F84EF1"/>
    <w:rsid w:val="00F85C10"/>
    <w:rsid w:val="00F86646"/>
    <w:rsid w:val="00F86FBB"/>
    <w:rsid w:val="00F87930"/>
    <w:rsid w:val="00F9038C"/>
    <w:rsid w:val="00F90835"/>
    <w:rsid w:val="00F9087F"/>
    <w:rsid w:val="00F90A73"/>
    <w:rsid w:val="00F91184"/>
    <w:rsid w:val="00F916DB"/>
    <w:rsid w:val="00F91843"/>
    <w:rsid w:val="00F92B5B"/>
    <w:rsid w:val="00F9417B"/>
    <w:rsid w:val="00F942D1"/>
    <w:rsid w:val="00F9488B"/>
    <w:rsid w:val="00F94A2E"/>
    <w:rsid w:val="00F94A47"/>
    <w:rsid w:val="00F94D75"/>
    <w:rsid w:val="00F953C6"/>
    <w:rsid w:val="00F95796"/>
    <w:rsid w:val="00F9644C"/>
    <w:rsid w:val="00F96638"/>
    <w:rsid w:val="00F96D60"/>
    <w:rsid w:val="00F97D33"/>
    <w:rsid w:val="00FA02B5"/>
    <w:rsid w:val="00FA0F29"/>
    <w:rsid w:val="00FA1253"/>
    <w:rsid w:val="00FA174A"/>
    <w:rsid w:val="00FA181D"/>
    <w:rsid w:val="00FA18B1"/>
    <w:rsid w:val="00FA1CDB"/>
    <w:rsid w:val="00FA2C7C"/>
    <w:rsid w:val="00FA2C95"/>
    <w:rsid w:val="00FA2D8D"/>
    <w:rsid w:val="00FA4AD5"/>
    <w:rsid w:val="00FA5C30"/>
    <w:rsid w:val="00FA6485"/>
    <w:rsid w:val="00FA6A90"/>
    <w:rsid w:val="00FA7F5E"/>
    <w:rsid w:val="00FB01F3"/>
    <w:rsid w:val="00FB0AB4"/>
    <w:rsid w:val="00FB179C"/>
    <w:rsid w:val="00FB26CB"/>
    <w:rsid w:val="00FB2901"/>
    <w:rsid w:val="00FB2D63"/>
    <w:rsid w:val="00FB3D8D"/>
    <w:rsid w:val="00FB5898"/>
    <w:rsid w:val="00FB5A2E"/>
    <w:rsid w:val="00FB6633"/>
    <w:rsid w:val="00FB702A"/>
    <w:rsid w:val="00FB732E"/>
    <w:rsid w:val="00FB7412"/>
    <w:rsid w:val="00FC0092"/>
    <w:rsid w:val="00FC0874"/>
    <w:rsid w:val="00FC0DC2"/>
    <w:rsid w:val="00FC2DAD"/>
    <w:rsid w:val="00FC3303"/>
    <w:rsid w:val="00FC3966"/>
    <w:rsid w:val="00FC3D1D"/>
    <w:rsid w:val="00FC3E5D"/>
    <w:rsid w:val="00FC49AB"/>
    <w:rsid w:val="00FC4F53"/>
    <w:rsid w:val="00FC5781"/>
    <w:rsid w:val="00FC59D9"/>
    <w:rsid w:val="00FC6EE3"/>
    <w:rsid w:val="00FC7025"/>
    <w:rsid w:val="00FC7B08"/>
    <w:rsid w:val="00FD3FAA"/>
    <w:rsid w:val="00FD430F"/>
    <w:rsid w:val="00FD5CEE"/>
    <w:rsid w:val="00FD62A1"/>
    <w:rsid w:val="00FE01F5"/>
    <w:rsid w:val="00FE051B"/>
    <w:rsid w:val="00FE167C"/>
    <w:rsid w:val="00FE17F4"/>
    <w:rsid w:val="00FE2904"/>
    <w:rsid w:val="00FE2C11"/>
    <w:rsid w:val="00FE31FC"/>
    <w:rsid w:val="00FE4074"/>
    <w:rsid w:val="00FE5338"/>
    <w:rsid w:val="00FE5605"/>
    <w:rsid w:val="00FE59E6"/>
    <w:rsid w:val="00FE5B92"/>
    <w:rsid w:val="00FE6072"/>
    <w:rsid w:val="00FE6711"/>
    <w:rsid w:val="00FE6D0F"/>
    <w:rsid w:val="00FE7267"/>
    <w:rsid w:val="00FE79F2"/>
    <w:rsid w:val="00FE7C56"/>
    <w:rsid w:val="00FF0949"/>
    <w:rsid w:val="00FF0E6F"/>
    <w:rsid w:val="00FF13DE"/>
    <w:rsid w:val="00FF1437"/>
    <w:rsid w:val="00FF16AB"/>
    <w:rsid w:val="00FF1749"/>
    <w:rsid w:val="00FF4695"/>
    <w:rsid w:val="00FF48B5"/>
    <w:rsid w:val="00FF51A0"/>
    <w:rsid w:val="00FF5310"/>
    <w:rsid w:val="00FF5EC7"/>
    <w:rsid w:val="00FF66B6"/>
    <w:rsid w:val="00FF6E8F"/>
    <w:rsid w:val="00FF7BDB"/>
    <w:rsid w:val="01866AEB"/>
    <w:rsid w:val="019922D0"/>
    <w:rsid w:val="022842FA"/>
    <w:rsid w:val="03D21D75"/>
    <w:rsid w:val="04DB63E0"/>
    <w:rsid w:val="05320BC8"/>
    <w:rsid w:val="056471E1"/>
    <w:rsid w:val="059E7224"/>
    <w:rsid w:val="06495C11"/>
    <w:rsid w:val="065F374A"/>
    <w:rsid w:val="076A3B38"/>
    <w:rsid w:val="07B2645C"/>
    <w:rsid w:val="089019A1"/>
    <w:rsid w:val="08971B80"/>
    <w:rsid w:val="09343938"/>
    <w:rsid w:val="09BC774F"/>
    <w:rsid w:val="0A530480"/>
    <w:rsid w:val="0CA1752B"/>
    <w:rsid w:val="0CC24C7C"/>
    <w:rsid w:val="0DEA2D84"/>
    <w:rsid w:val="0EAC3980"/>
    <w:rsid w:val="0F7E0E0A"/>
    <w:rsid w:val="0F8E74DB"/>
    <w:rsid w:val="0FC6075F"/>
    <w:rsid w:val="104C6D51"/>
    <w:rsid w:val="106613B0"/>
    <w:rsid w:val="10756081"/>
    <w:rsid w:val="12370BF2"/>
    <w:rsid w:val="123907BE"/>
    <w:rsid w:val="125F179F"/>
    <w:rsid w:val="127B6ACA"/>
    <w:rsid w:val="12EE500C"/>
    <w:rsid w:val="130C7FFB"/>
    <w:rsid w:val="133A07F8"/>
    <w:rsid w:val="13C077F6"/>
    <w:rsid w:val="14370C99"/>
    <w:rsid w:val="144E2B05"/>
    <w:rsid w:val="156A4B00"/>
    <w:rsid w:val="15CD3213"/>
    <w:rsid w:val="1718305E"/>
    <w:rsid w:val="18E538C7"/>
    <w:rsid w:val="191510AD"/>
    <w:rsid w:val="1A7362D7"/>
    <w:rsid w:val="1A8134D9"/>
    <w:rsid w:val="1C0A03C1"/>
    <w:rsid w:val="1D0E4138"/>
    <w:rsid w:val="1D2D6BAB"/>
    <w:rsid w:val="1E510135"/>
    <w:rsid w:val="1E8E43EE"/>
    <w:rsid w:val="1F5374AC"/>
    <w:rsid w:val="206E2009"/>
    <w:rsid w:val="20C3338C"/>
    <w:rsid w:val="20D17A9E"/>
    <w:rsid w:val="222E7BF1"/>
    <w:rsid w:val="237239DA"/>
    <w:rsid w:val="23B81A5A"/>
    <w:rsid w:val="23B915B9"/>
    <w:rsid w:val="25562A58"/>
    <w:rsid w:val="272B1B51"/>
    <w:rsid w:val="28C711F4"/>
    <w:rsid w:val="294368F2"/>
    <w:rsid w:val="29D92371"/>
    <w:rsid w:val="29EE1BD8"/>
    <w:rsid w:val="2CA70BA3"/>
    <w:rsid w:val="2CA82BD9"/>
    <w:rsid w:val="2D5E0428"/>
    <w:rsid w:val="2E043203"/>
    <w:rsid w:val="2E594525"/>
    <w:rsid w:val="30AE400D"/>
    <w:rsid w:val="30B71048"/>
    <w:rsid w:val="31BA40EC"/>
    <w:rsid w:val="32315802"/>
    <w:rsid w:val="32CC3B7C"/>
    <w:rsid w:val="33591010"/>
    <w:rsid w:val="33793B75"/>
    <w:rsid w:val="33B22EB5"/>
    <w:rsid w:val="34745B39"/>
    <w:rsid w:val="354F14AA"/>
    <w:rsid w:val="3612090B"/>
    <w:rsid w:val="389E75D3"/>
    <w:rsid w:val="390A58B2"/>
    <w:rsid w:val="3A2B6B71"/>
    <w:rsid w:val="3AF94FD8"/>
    <w:rsid w:val="3B3F4845"/>
    <w:rsid w:val="3BB50D48"/>
    <w:rsid w:val="3CC422C6"/>
    <w:rsid w:val="3DF23380"/>
    <w:rsid w:val="41914D97"/>
    <w:rsid w:val="422E4466"/>
    <w:rsid w:val="434456CD"/>
    <w:rsid w:val="44290BD8"/>
    <w:rsid w:val="442964D0"/>
    <w:rsid w:val="44850F1E"/>
    <w:rsid w:val="48187833"/>
    <w:rsid w:val="482D64B5"/>
    <w:rsid w:val="48AB2B47"/>
    <w:rsid w:val="4A212B7A"/>
    <w:rsid w:val="4B3278BD"/>
    <w:rsid w:val="4B580A59"/>
    <w:rsid w:val="4B9F4F77"/>
    <w:rsid w:val="4CA6583C"/>
    <w:rsid w:val="4E4A00D8"/>
    <w:rsid w:val="4E764CAE"/>
    <w:rsid w:val="4FF47968"/>
    <w:rsid w:val="504130DA"/>
    <w:rsid w:val="51047479"/>
    <w:rsid w:val="51305FBF"/>
    <w:rsid w:val="5167171C"/>
    <w:rsid w:val="51E70C0C"/>
    <w:rsid w:val="521915B1"/>
    <w:rsid w:val="53AB26F0"/>
    <w:rsid w:val="546C2B4A"/>
    <w:rsid w:val="54DE1C3E"/>
    <w:rsid w:val="552A71F6"/>
    <w:rsid w:val="55DD32FD"/>
    <w:rsid w:val="55E43B8D"/>
    <w:rsid w:val="56F250AE"/>
    <w:rsid w:val="56FA43E6"/>
    <w:rsid w:val="581A2550"/>
    <w:rsid w:val="586D796E"/>
    <w:rsid w:val="59F546F6"/>
    <w:rsid w:val="5B5D2696"/>
    <w:rsid w:val="5D434ECD"/>
    <w:rsid w:val="5E623AB9"/>
    <w:rsid w:val="5F093DA4"/>
    <w:rsid w:val="5FE54766"/>
    <w:rsid w:val="6015178B"/>
    <w:rsid w:val="60EB1DFE"/>
    <w:rsid w:val="61403124"/>
    <w:rsid w:val="61FD693B"/>
    <w:rsid w:val="62605C6E"/>
    <w:rsid w:val="6271640A"/>
    <w:rsid w:val="62A0421A"/>
    <w:rsid w:val="62A87276"/>
    <w:rsid w:val="62EB51F1"/>
    <w:rsid w:val="62FA6EA0"/>
    <w:rsid w:val="63A03925"/>
    <w:rsid w:val="64326DF9"/>
    <w:rsid w:val="65F51611"/>
    <w:rsid w:val="6846061C"/>
    <w:rsid w:val="68D06532"/>
    <w:rsid w:val="68D42287"/>
    <w:rsid w:val="690D597D"/>
    <w:rsid w:val="69AA3B99"/>
    <w:rsid w:val="69F20F4D"/>
    <w:rsid w:val="6B3A7AAA"/>
    <w:rsid w:val="6D4902D1"/>
    <w:rsid w:val="6D515357"/>
    <w:rsid w:val="6E0D6DA2"/>
    <w:rsid w:val="6E157606"/>
    <w:rsid w:val="6F2156C9"/>
    <w:rsid w:val="70720341"/>
    <w:rsid w:val="70920EF5"/>
    <w:rsid w:val="70D27FEE"/>
    <w:rsid w:val="70D30ED5"/>
    <w:rsid w:val="723E601F"/>
    <w:rsid w:val="731C2CB6"/>
    <w:rsid w:val="74722547"/>
    <w:rsid w:val="765E4EE1"/>
    <w:rsid w:val="7691329D"/>
    <w:rsid w:val="76951DF5"/>
    <w:rsid w:val="7A3F42C7"/>
    <w:rsid w:val="7A504FE1"/>
    <w:rsid w:val="7C45593A"/>
    <w:rsid w:val="7D1D2986"/>
    <w:rsid w:val="7DE927AF"/>
    <w:rsid w:val="7E0D0EDC"/>
    <w:rsid w:val="7E4140ED"/>
    <w:rsid w:val="7E42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51"/>
    <w:qFormat/>
    <w:uiPriority w:val="0"/>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99"/>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字符"/>
    <w:link w:val="13"/>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页眉 字符"/>
    <w:link w:val="21"/>
    <w:qFormat/>
    <w:uiPriority w:val="0"/>
    <w:rPr>
      <w:kern w:val="2"/>
      <w:sz w:val="18"/>
    </w:rPr>
  </w:style>
  <w:style w:type="paragraph" w:customStyle="1" w:styleId="65">
    <w:name w:val="修订2"/>
    <w:hidden/>
    <w:semiHidden/>
    <w:qFormat/>
    <w:uiPriority w:val="99"/>
    <w:rPr>
      <w:rFonts w:ascii="Times New Roman" w:hAnsi="Times New Roman" w:eastAsia="宋体" w:cs="Times New Roman"/>
      <w:kern w:val="2"/>
      <w:sz w:val="21"/>
      <w:lang w:val="en-US" w:eastAsia="zh-CN" w:bidi="ar-SA"/>
    </w:rPr>
  </w:style>
  <w:style w:type="paragraph" w:customStyle="1" w:styleId="66">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67">
    <w:name w:val="修订4"/>
    <w:hidden/>
    <w:semiHidden/>
    <w:qFormat/>
    <w:uiPriority w:val="99"/>
    <w:rPr>
      <w:rFonts w:ascii="Times New Roman" w:hAnsi="Times New Roman" w:eastAsia="宋体" w:cs="Times New Roman"/>
      <w:kern w:val="2"/>
      <w:sz w:val="21"/>
      <w:lang w:val="en-US" w:eastAsia="zh-CN" w:bidi="ar-SA"/>
    </w:rPr>
  </w:style>
  <w:style w:type="paragraph" w:customStyle="1" w:styleId="6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8CD2A-B129-4EEC-A8C4-D150BCADB4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147</Pages>
  <Words>100694</Words>
  <Characters>103270</Characters>
  <Lines>1993</Lines>
  <Paragraphs>1776</Paragraphs>
  <TotalTime>0</TotalTime>
  <ScaleCrop>false</ScaleCrop>
  <LinksUpToDate>false</LinksUpToDate>
  <CharactersWithSpaces>103349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2026-04-13T14:41:00Z</dcterms:created>
  <dc:creator>刘晨晨</dc:creator>
  <cp:lastModifiedBy>刘晨晨</cp:lastModifiedBy>
  <cp:lastPrinted>2025-07-23T10:12:00Z</cp:lastPrinted>
  <dcterms:modified xsi:type="dcterms:W3CDTF">2026-07-15T03:02:16Z</dcterms:modified>
  <dc:title>招募说明书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8B47E520413A4A2B897929B98E177049</vt:lpwstr>
  </property>
</Properties>
</file>