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BE32F6">
      <w:pPr>
        <w:rPr>
          <w:sz w:val="32"/>
        </w:rPr>
      </w:pPr>
    </w:p>
    <w:p w:rsidR="00C92FC0" w:rsidRPr="00EB07BC" w:rsidRDefault="00BE32F6">
      <w:pPr>
        <w:rPr>
          <w:sz w:val="32"/>
        </w:rPr>
      </w:pPr>
    </w:p>
    <w:p w:rsidR="00C92FC0" w:rsidRPr="00EB07BC" w:rsidRDefault="00BE32F6">
      <w:pPr>
        <w:rPr>
          <w:sz w:val="32"/>
        </w:rPr>
      </w:pPr>
    </w:p>
    <w:p w:rsidR="00A73DFF" w:rsidRDefault="00A73DF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73DFF" w:rsidRDefault="00A73DF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73DFF" w:rsidRDefault="00A73DF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73DFF" w:rsidRDefault="00A2033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交银施罗德启道混合型证券投资基金</w:t>
      </w:r>
    </w:p>
    <w:p w:rsidR="00A73DFF" w:rsidRDefault="00A2033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73DFF" w:rsidRDefault="00A73DFF">
      <w:pPr>
        <w:snapToGrid w:val="0"/>
        <w:spacing w:line="360" w:lineRule="auto"/>
        <w:jc w:val="center"/>
        <w:rPr>
          <w:rFonts w:ascii="宋体" w:hAnsi="宋体"/>
          <w:b/>
          <w:sz w:val="30"/>
          <w:szCs w:val="30"/>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2033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73DFF" w:rsidRDefault="00A2033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73DF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73DFF" w:rsidRDefault="00A2033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二〇二六年七月</w:t>
      </w:r>
    </w:p>
    <w:p w:rsidR="00A73DFF" w:rsidRDefault="00A73DFF">
      <w:pPr>
        <w:autoSpaceDE w:val="0"/>
        <w:autoSpaceDN w:val="0"/>
        <w:adjustRightInd w:val="0"/>
        <w:snapToGrid w:val="0"/>
        <w:spacing w:line="360" w:lineRule="auto"/>
        <w:ind w:left="1347" w:rightChars="6" w:right="13"/>
        <w:rPr>
          <w:rFonts w:ascii="宋体" w:hAnsi="宋体"/>
          <w:kern w:val="0"/>
          <w:sz w:val="32"/>
          <w:szCs w:val="32"/>
        </w:rPr>
        <w:sectPr w:rsidR="00A73DF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A73DFF" w:rsidRDefault="00A20330">
      <w:pPr>
        <w:pStyle w:val="1"/>
        <w:snapToGrid w:val="0"/>
        <w:spacing w:beforeLines="0" w:before="240" w:after="240"/>
        <w:rPr>
          <w:rFonts w:ascii="宋体" w:hAnsi="宋体"/>
          <w:kern w:val="0"/>
        </w:rPr>
      </w:pPr>
      <w:bookmarkStart w:id="0" w:name="_Toc324920538"/>
      <w:bookmarkStart w:id="1" w:name="_Toc496884613"/>
      <w:bookmarkStart w:id="2" w:name="_Toc234933043"/>
      <w:r>
        <w:rPr>
          <w:rFonts w:ascii="Times New Roman" w:hAnsi="Times New Roman"/>
          <w:kern w:val="0"/>
        </w:rPr>
        <w:lastRenderedPageBreak/>
        <w:t>重要提示</w:t>
      </w:r>
      <w:bookmarkEnd w:id="0"/>
      <w:bookmarkEnd w:id="1"/>
      <w:bookmarkEnd w:id="2"/>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交银施罗德启道混合型证券投资基金（以下简称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2533</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日正式生效。</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万元情形时基金管理人可依基金合同约定提前终止基金合同的风险；投资本基金的其他风险等等。</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w:t>
      </w:r>
      <w:r>
        <w:rPr>
          <w:rFonts w:ascii="Times New Roman" w:hAnsi="Times New Roman"/>
          <w:kern w:val="0"/>
          <w:sz w:val="24"/>
        </w:rPr>
        <w:lastRenderedPageBreak/>
        <w:t>净值变化引致的投资风险，由投资者自行负责。</w:t>
      </w:r>
    </w:p>
    <w:p w:rsidR="00A73DFF" w:rsidRDefault="00A203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07</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A73DFF" w:rsidRDefault="00A73DFF">
      <w:pPr>
        <w:autoSpaceDE w:val="0"/>
        <w:autoSpaceDN w:val="0"/>
        <w:adjustRightInd w:val="0"/>
        <w:snapToGrid w:val="0"/>
        <w:spacing w:before="51" w:line="360" w:lineRule="auto"/>
        <w:ind w:left="120" w:rightChars="6" w:right="13" w:firstLine="480"/>
        <w:rPr>
          <w:rFonts w:ascii="宋体" w:hAnsi="宋体"/>
          <w:kern w:val="0"/>
          <w:szCs w:val="24"/>
        </w:rPr>
        <w:sectPr w:rsidR="00A73DFF">
          <w:headerReference w:type="default" r:id="rId14"/>
          <w:pgSz w:w="11920" w:h="16840"/>
          <w:pgMar w:top="1440" w:right="1680" w:bottom="280" w:left="1680" w:header="0" w:footer="1073" w:gutter="0"/>
          <w:pgNumType w:start="1"/>
          <w:cols w:space="720"/>
        </w:sectPr>
      </w:pPr>
    </w:p>
    <w:p w:rsidR="00BE32F6" w:rsidRPr="00BE32F6" w:rsidRDefault="00A20330" w:rsidP="00BE32F6">
      <w:pPr>
        <w:pStyle w:val="ad"/>
        <w:snapToGrid w:val="0"/>
        <w:spacing w:after="240" w:line="360" w:lineRule="auto"/>
        <w:jc w:val="center"/>
        <w:rPr>
          <w:rFonts w:ascii="宋体" w:hAnsi="宋体"/>
          <w:noProof/>
          <w:sz w:val="24"/>
        </w:rPr>
      </w:pPr>
      <w:r w:rsidRPr="00BE32F6">
        <w:rPr>
          <w:rFonts w:ascii="宋体" w:hAnsi="宋体"/>
          <w:color w:val="000000"/>
          <w:position w:val="-4"/>
          <w:sz w:val="24"/>
          <w:szCs w:val="30"/>
        </w:rPr>
        <w:lastRenderedPageBreak/>
        <w:t>目</w:t>
      </w:r>
      <w:r w:rsidRPr="00BE32F6">
        <w:rPr>
          <w:rFonts w:ascii="宋体" w:hAnsi="宋体"/>
          <w:color w:val="000000"/>
          <w:position w:val="-4"/>
          <w:sz w:val="24"/>
          <w:szCs w:val="30"/>
        </w:rPr>
        <w:tab/>
        <w:t>录</w:t>
      </w:r>
      <w:r w:rsidR="00BE32F6" w:rsidRPr="00BE32F6">
        <w:rPr>
          <w:rFonts w:ascii="宋体" w:hAnsi="宋体"/>
          <w:color w:val="000000"/>
          <w:position w:val="-4"/>
          <w:sz w:val="24"/>
          <w:szCs w:val="30"/>
        </w:rPr>
        <w:fldChar w:fldCharType="begin"/>
      </w:r>
      <w:r w:rsidR="00BE32F6" w:rsidRPr="00BE32F6">
        <w:rPr>
          <w:rFonts w:ascii="宋体" w:hAnsi="宋体"/>
          <w:color w:val="000000"/>
          <w:position w:val="-4"/>
          <w:sz w:val="24"/>
          <w:szCs w:val="30"/>
        </w:rPr>
        <w:instrText xml:space="preserve"> TOC \o "1-3" \f - \h \t "-1" </w:instrText>
      </w:r>
      <w:r w:rsidR="00BE32F6" w:rsidRPr="00BE32F6">
        <w:rPr>
          <w:rFonts w:ascii="宋体" w:hAnsi="宋体"/>
          <w:color w:val="000000"/>
          <w:position w:val="-4"/>
          <w:sz w:val="24"/>
          <w:szCs w:val="30"/>
        </w:rPr>
        <w:fldChar w:fldCharType="separate"/>
      </w:r>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3" w:history="1">
        <w:r w:rsidRPr="00BE32F6">
          <w:rPr>
            <w:rStyle w:val="aa"/>
            <w:rFonts w:ascii="宋体" w:hAnsi="宋体" w:hint="eastAsia"/>
            <w:noProof/>
            <w:kern w:val="0"/>
            <w:sz w:val="24"/>
          </w:rPr>
          <w:t>重要提示</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_Toc234933043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4" w:history="1">
        <w:r w:rsidRPr="00BE32F6">
          <w:rPr>
            <w:rStyle w:val="aa"/>
            <w:rFonts w:ascii="宋体" w:hAnsi="宋体" w:hint="eastAsia"/>
            <w:noProof/>
            <w:sz w:val="24"/>
          </w:rPr>
          <w:t>一、绪言</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_Toc234933044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5</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5" w:history="1">
        <w:r w:rsidRPr="00BE32F6">
          <w:rPr>
            <w:rStyle w:val="aa"/>
            <w:rFonts w:ascii="宋体" w:hAnsi="宋体" w:hint="eastAsia"/>
            <w:noProof/>
            <w:sz w:val="24"/>
          </w:rPr>
          <w:t>二、释义</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_Toc234933045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6</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6" w:history="1">
        <w:r w:rsidRPr="00BE32F6">
          <w:rPr>
            <w:rStyle w:val="aa"/>
            <w:rFonts w:ascii="宋体" w:hAnsi="宋体" w:hint="eastAsia"/>
            <w:noProof/>
            <w:sz w:val="24"/>
          </w:rPr>
          <w:t>三、基金管理人</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_Toc234933046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11</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7" w:history="1">
        <w:r w:rsidRPr="00BE32F6">
          <w:rPr>
            <w:rStyle w:val="aa"/>
            <w:rFonts w:ascii="宋体" w:hAnsi="宋体" w:hint="eastAsia"/>
            <w:noProof/>
            <w:sz w:val="24"/>
          </w:rPr>
          <w:t>四、基金托管人</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_Toc234933047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18</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8" w:history="1">
        <w:r w:rsidRPr="00BE32F6">
          <w:rPr>
            <w:rStyle w:val="aa"/>
            <w:rFonts w:ascii="宋体" w:hAnsi="宋体" w:hint="eastAsia"/>
            <w:noProof/>
            <w:sz w:val="24"/>
          </w:rPr>
          <w:t>五、相关服务机构</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_Toc234933048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21</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49" w:history="1">
        <w:r w:rsidRPr="00BE32F6">
          <w:rPr>
            <w:rStyle w:val="aa"/>
            <w:rFonts w:ascii="宋体" w:hAnsi="宋体" w:hint="eastAsia"/>
            <w:noProof/>
            <w:sz w:val="24"/>
          </w:rPr>
          <w:t>六、基金的募集</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_Toc234933049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51</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0" w:history="1">
        <w:r w:rsidRPr="00BE32F6">
          <w:rPr>
            <w:rStyle w:val="aa"/>
            <w:rFonts w:ascii="宋体" w:hAnsi="宋体" w:hint="eastAsia"/>
            <w:noProof/>
            <w:sz w:val="24"/>
          </w:rPr>
          <w:t>七、基金合同的生效</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_Toc234933050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52</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1" w:history="1">
        <w:r w:rsidRPr="00BE32F6">
          <w:rPr>
            <w:rStyle w:val="aa"/>
            <w:rFonts w:ascii="宋体" w:hAnsi="宋体" w:hint="eastAsia"/>
            <w:noProof/>
            <w:sz w:val="24"/>
          </w:rPr>
          <w:t>八、基金份额的申购与赎回</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_Toc234933051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53</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2" w:history="1">
        <w:r w:rsidRPr="00BE32F6">
          <w:rPr>
            <w:rStyle w:val="aa"/>
            <w:rFonts w:ascii="宋体" w:hAnsi="宋体" w:hint="eastAsia"/>
            <w:noProof/>
            <w:sz w:val="24"/>
          </w:rPr>
          <w:t>九、基金的转换</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_Toc234933052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65</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3" w:history="1">
        <w:r w:rsidRPr="00BE32F6">
          <w:rPr>
            <w:rStyle w:val="aa"/>
            <w:rFonts w:ascii="宋体" w:hAnsi="宋体" w:hint="eastAsia"/>
            <w:noProof/>
            <w:sz w:val="24"/>
          </w:rPr>
          <w:t>十、基金的投资</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_Toc234933053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72</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4" w:history="1">
        <w:r w:rsidRPr="00BE32F6">
          <w:rPr>
            <w:rStyle w:val="aa"/>
            <w:rFonts w:ascii="宋体" w:hAnsi="宋体" w:hint="eastAsia"/>
            <w:noProof/>
            <w:sz w:val="24"/>
          </w:rPr>
          <w:t>十一、基金的业绩</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_Toc234933054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83</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5" w:history="1">
        <w:r w:rsidRPr="00BE32F6">
          <w:rPr>
            <w:rStyle w:val="aa"/>
            <w:rFonts w:ascii="宋体" w:hAnsi="宋体" w:hint="eastAsia"/>
            <w:noProof/>
            <w:sz w:val="24"/>
          </w:rPr>
          <w:t>十二、基金的财产</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_Toc234933055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85</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6" w:history="1">
        <w:r w:rsidRPr="00BE32F6">
          <w:rPr>
            <w:rStyle w:val="aa"/>
            <w:rFonts w:ascii="宋体" w:hAnsi="宋体" w:hint="eastAsia"/>
            <w:noProof/>
            <w:sz w:val="24"/>
          </w:rPr>
          <w:t>十三、基金资产的估值</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_Toc234933056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86</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7" w:history="1">
        <w:r w:rsidRPr="00BE32F6">
          <w:rPr>
            <w:rStyle w:val="aa"/>
            <w:rFonts w:ascii="宋体" w:hAnsi="宋体" w:hint="eastAsia"/>
            <w:noProof/>
            <w:sz w:val="24"/>
          </w:rPr>
          <w:t>十四、基金收益与分配</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_Toc234933057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93</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8" w:history="1">
        <w:r w:rsidRPr="00BE32F6">
          <w:rPr>
            <w:rStyle w:val="aa"/>
            <w:rFonts w:ascii="宋体" w:hAnsi="宋体" w:hint="eastAsia"/>
            <w:noProof/>
            <w:sz w:val="24"/>
          </w:rPr>
          <w:t>十五、基金的费用与税收</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_Toc234933058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95</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59" w:history="1">
        <w:r w:rsidRPr="00BE32F6">
          <w:rPr>
            <w:rStyle w:val="aa"/>
            <w:rFonts w:ascii="宋体" w:hAnsi="宋体" w:hint="eastAsia"/>
            <w:noProof/>
            <w:sz w:val="24"/>
          </w:rPr>
          <w:t>十六、基金的会计与审计</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_Toc234933059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98</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0" w:history="1">
        <w:r w:rsidRPr="00BE32F6">
          <w:rPr>
            <w:rStyle w:val="aa"/>
            <w:rFonts w:ascii="宋体" w:hAnsi="宋体" w:hint="eastAsia"/>
            <w:noProof/>
            <w:sz w:val="24"/>
          </w:rPr>
          <w:t>十七、基金的信息披露</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_Toc234933060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99</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1" w:history="1">
        <w:r w:rsidRPr="00BE32F6">
          <w:rPr>
            <w:rStyle w:val="aa"/>
            <w:rFonts w:ascii="宋体" w:hAnsi="宋体" w:hint="eastAsia"/>
            <w:noProof/>
            <w:sz w:val="24"/>
          </w:rPr>
          <w:t>十八、侧袋机制</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_Toc234933061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106</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2" w:history="1">
        <w:r w:rsidRPr="00BE32F6">
          <w:rPr>
            <w:rStyle w:val="aa"/>
            <w:rFonts w:ascii="宋体" w:hAnsi="宋体" w:hint="eastAsia"/>
            <w:noProof/>
            <w:sz w:val="24"/>
          </w:rPr>
          <w:t>十九、风险揭示</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_Toc234933062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109</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3" w:history="1">
        <w:r w:rsidRPr="00BE32F6">
          <w:rPr>
            <w:rStyle w:val="aa"/>
            <w:rFonts w:ascii="宋体" w:hAnsi="宋体" w:hint="eastAsia"/>
            <w:noProof/>
            <w:sz w:val="24"/>
          </w:rPr>
          <w:t>二十、基金合同的变更、终止与基金财产的清算</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_Toc234933063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119</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4" w:history="1">
        <w:r w:rsidRPr="00BE32F6">
          <w:rPr>
            <w:rStyle w:val="aa"/>
            <w:rFonts w:ascii="宋体" w:hAnsi="宋体" w:hint="eastAsia"/>
            <w:noProof/>
            <w:sz w:val="24"/>
          </w:rPr>
          <w:t>二十一、基金合同内容摘要</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_Toc234933064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121</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5" w:history="1">
        <w:r w:rsidRPr="00BE32F6">
          <w:rPr>
            <w:rStyle w:val="aa"/>
            <w:rFonts w:ascii="宋体" w:hAnsi="宋体" w:hint="eastAsia"/>
            <w:noProof/>
            <w:sz w:val="24"/>
          </w:rPr>
          <w:t>二十二、托管协议的内容摘要</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_Toc234933065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138</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6" w:history="1">
        <w:r w:rsidRPr="00BE32F6">
          <w:rPr>
            <w:rStyle w:val="aa"/>
            <w:rFonts w:ascii="宋体" w:hAnsi="宋体" w:hint="eastAsia"/>
            <w:noProof/>
            <w:sz w:val="24"/>
          </w:rPr>
          <w:t>二十三、对基金份额持有人的服务</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_Toc234933066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153</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7" w:history="1">
        <w:r w:rsidRPr="00BE32F6">
          <w:rPr>
            <w:rStyle w:val="aa"/>
            <w:rFonts w:ascii="宋体" w:hAnsi="宋体" w:hint="eastAsia"/>
            <w:noProof/>
            <w:sz w:val="24"/>
          </w:rPr>
          <w:t>二十四、其他应披露事项</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_Toc234933067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155</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8" w:history="1">
        <w:r w:rsidRPr="00BE32F6">
          <w:rPr>
            <w:rStyle w:val="aa"/>
            <w:rFonts w:ascii="宋体" w:hAnsi="宋体" w:hint="eastAsia"/>
            <w:noProof/>
            <w:sz w:val="24"/>
          </w:rPr>
          <w:t>二十五、招募说明书的存放及查阅方式</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_Toc234933068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157</w:t>
        </w:r>
        <w:r w:rsidRPr="00BE32F6">
          <w:rPr>
            <w:rFonts w:ascii="宋体" w:hAnsi="宋体"/>
            <w:noProof/>
            <w:sz w:val="24"/>
          </w:rPr>
          <w:fldChar w:fldCharType="end"/>
        </w:r>
      </w:hyperlink>
    </w:p>
    <w:p w:rsidR="00BE32F6" w:rsidRPr="00BE32F6" w:rsidRDefault="00BE32F6" w:rsidP="00BE32F6">
      <w:pPr>
        <w:pStyle w:val="10"/>
        <w:tabs>
          <w:tab w:val="right" w:leader="dot" w:pos="8550"/>
        </w:tabs>
        <w:spacing w:line="360" w:lineRule="auto"/>
        <w:rPr>
          <w:rFonts w:ascii="宋体" w:hAnsi="宋体" w:cstheme="minorBidi"/>
          <w:noProof/>
          <w:sz w:val="24"/>
        </w:rPr>
      </w:pPr>
      <w:hyperlink w:anchor="_Toc234933069" w:history="1">
        <w:r w:rsidRPr="00BE32F6">
          <w:rPr>
            <w:rStyle w:val="aa"/>
            <w:rFonts w:ascii="宋体" w:hAnsi="宋体" w:hint="eastAsia"/>
            <w:noProof/>
            <w:sz w:val="24"/>
          </w:rPr>
          <w:t>二十六、备查文件</w:t>
        </w:r>
        <w:r w:rsidRPr="00BE32F6">
          <w:rPr>
            <w:rFonts w:ascii="宋体" w:hAnsi="宋体"/>
            <w:noProof/>
            <w:sz w:val="24"/>
          </w:rPr>
          <w:tab/>
        </w:r>
        <w:r w:rsidRPr="00BE32F6">
          <w:rPr>
            <w:rFonts w:ascii="宋体" w:hAnsi="宋体"/>
            <w:noProof/>
            <w:sz w:val="24"/>
          </w:rPr>
          <w:fldChar w:fldCharType="begin"/>
        </w:r>
        <w:r w:rsidRPr="00BE32F6">
          <w:rPr>
            <w:rFonts w:ascii="宋体" w:hAnsi="宋体"/>
            <w:noProof/>
            <w:sz w:val="24"/>
          </w:rPr>
          <w:instrText xml:space="preserve"> PAGEREF _Toc234933069 \h </w:instrText>
        </w:r>
        <w:r w:rsidRPr="00BE32F6">
          <w:rPr>
            <w:rFonts w:ascii="宋体" w:hAnsi="宋体"/>
            <w:noProof/>
            <w:sz w:val="24"/>
          </w:rPr>
        </w:r>
        <w:r w:rsidRPr="00BE32F6">
          <w:rPr>
            <w:rFonts w:ascii="宋体" w:hAnsi="宋体"/>
            <w:noProof/>
            <w:sz w:val="24"/>
          </w:rPr>
          <w:fldChar w:fldCharType="separate"/>
        </w:r>
        <w:r w:rsidRPr="00BE32F6">
          <w:rPr>
            <w:rFonts w:ascii="宋体" w:hAnsi="宋体"/>
            <w:noProof/>
            <w:sz w:val="24"/>
          </w:rPr>
          <w:t>158</w:t>
        </w:r>
        <w:r w:rsidRPr="00BE32F6">
          <w:rPr>
            <w:rFonts w:ascii="宋体" w:hAnsi="宋体"/>
            <w:noProof/>
            <w:sz w:val="24"/>
          </w:rPr>
          <w:fldChar w:fldCharType="end"/>
        </w:r>
      </w:hyperlink>
    </w:p>
    <w:p w:rsidR="00A73DFF" w:rsidRPr="00BE32F6" w:rsidRDefault="00BE32F6" w:rsidP="00BE32F6">
      <w:pPr>
        <w:pStyle w:val="ad"/>
        <w:snapToGrid w:val="0"/>
        <w:spacing w:after="240" w:line="360" w:lineRule="auto"/>
        <w:jc w:val="center"/>
        <w:rPr>
          <w:rFonts w:ascii="宋体" w:hAnsi="宋体"/>
          <w:color w:val="000000"/>
          <w:sz w:val="24"/>
        </w:rPr>
      </w:pPr>
      <w:r w:rsidRPr="00BE32F6">
        <w:rPr>
          <w:rFonts w:ascii="宋体" w:hAnsi="宋体"/>
          <w:color w:val="000000"/>
          <w:position w:val="-4"/>
          <w:sz w:val="24"/>
          <w:szCs w:val="30"/>
        </w:rPr>
        <w:fldChar w:fldCharType="end"/>
      </w:r>
      <w:bookmarkStart w:id="3" w:name="_GoBack"/>
      <w:bookmarkEnd w:id="3"/>
    </w:p>
    <w:p w:rsidR="00A73DFF" w:rsidRDefault="00A73DFF">
      <w:pPr>
        <w:autoSpaceDE w:val="0"/>
        <w:autoSpaceDN w:val="0"/>
        <w:adjustRightInd w:val="0"/>
        <w:snapToGrid w:val="0"/>
        <w:spacing w:line="360" w:lineRule="auto"/>
        <w:ind w:left="120" w:rightChars="6" w:right="13"/>
        <w:rPr>
          <w:rFonts w:ascii="宋体" w:hAnsi="宋体"/>
          <w:kern w:val="0"/>
          <w:szCs w:val="24"/>
        </w:rPr>
        <w:sectPr w:rsidR="00A73DFF">
          <w:pgSz w:w="11920" w:h="16840"/>
          <w:pgMar w:top="1480" w:right="1680" w:bottom="280" w:left="1680" w:header="0" w:footer="1073" w:gutter="0"/>
          <w:cols w:space="720"/>
        </w:sectPr>
      </w:pPr>
    </w:p>
    <w:p w:rsidR="00A73DFF" w:rsidRDefault="00A20330">
      <w:pPr>
        <w:pStyle w:val="1"/>
        <w:snapToGrid w:val="0"/>
        <w:spacing w:beforeLines="0" w:before="240" w:after="240"/>
        <w:rPr>
          <w:rFonts w:ascii="宋体" w:hAnsi="宋体"/>
          <w:szCs w:val="30"/>
        </w:rPr>
      </w:pPr>
      <w:bookmarkStart w:id="4" w:name="_Toc234933044"/>
      <w:r>
        <w:rPr>
          <w:rFonts w:ascii="Times New Roman" w:hAnsi="Times New Roman"/>
          <w:sz w:val="30"/>
        </w:rPr>
        <w:lastRenderedPageBreak/>
        <w:t>一、绪言</w:t>
      </w:r>
      <w:bookmarkEnd w:id="4"/>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启道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道混合型证券投资基金基金合同》（以下简称“基金合同”）编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5" w:name="_Toc234933045"/>
      <w:r>
        <w:rPr>
          <w:rFonts w:ascii="Times New Roman" w:hAnsi="Times New Roman"/>
          <w:sz w:val="30"/>
        </w:rPr>
        <w:lastRenderedPageBreak/>
        <w:t>二、释义</w:t>
      </w:r>
      <w:bookmarkEnd w:id="5"/>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1、基金或本基金：指交银施罗德启道混合型证券投资基金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3、基金托管人：指中国建设银行股份有限公司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4、基金合同：指《交银施罗德启道混合型证券投资基金基金合同》及对基金合同的任何有效修订和补充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5、托管协议：指基金管理人与基金托管人就本基金签订之《交银施罗德启道混合型证券投资基金托管协议》及对该托管协议的任何有效修订和补充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6、招募说明书或本招募说明书：指《交银施罗德启道混合型证券投资基金招募说明书》及其更新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7、基金产品资料概要：指《交银施罗德启道混合型证券投资基金基金产品资料概要》及其更新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8、基金份额发售公告：指《交银施罗德启道混合型证券投资基金基金份额发售公告》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53、港股通：指内地投资者委托内地证券公司，经由内地证券交易所在香港设立的证券交易服务公司，向香港联合交易所进行申报，买卖规定范围内的香港联合交易所上市的股票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6" w:name="_Toc234933046"/>
      <w:r>
        <w:rPr>
          <w:rFonts w:ascii="Times New Roman" w:hAnsi="Times New Roman"/>
          <w:sz w:val="30"/>
        </w:rPr>
        <w:lastRenderedPageBreak/>
        <w:t>三、基金管理人</w:t>
      </w:r>
      <w:bookmarkEnd w:id="6"/>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中先生:基金经理。复旦大学金融学硕士、南京大学工学学士，17年证券投资行业从业经验。2009年至2010年任野村证券亚太区股票研究部研究助理，2010年至2013年任中银国际证券研究部研究员、高级经理，2013年至2015年任瑞银证券研究部行业分析师、董事。2015年加入交银施罗德基金管理有限公司，现任跨境投资部基金经理。曾任交银施罗德全球自然资源证券投资基金(2015年12月12日至2019年09月19日)、交银施罗德环球精选价值证券投资基金(2015年12月12日至2024年06月06日)的基金经理。现任交银施罗德创新成长混合型证券投资基金(2018年09月27日至今)、交银施罗德启欣混合型证券投资基金(2020年10月28日至今)、交银施罗德启道混合型证券投资基金(2021年01月28日至今)、交银施罗德成长动力一年持有期混合型证券投资基金(2021年06月11日至今)的基金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帅先生:硕士研究生基金经理。华南理工大学管理学硕士、学士，16年证券投资行业从业经验。2008年至2010年任中国农业发展银行广东省分行资金计划处资金运营经理；2010年至2013年任华泰联合证券有限责任公司销售交易部高级销售经理；2013年至2020年任海通证券股份有限公司研究所电力设备与新能源行业首席研究员、权益投资交易部研究员、投资经理。2020年加入交银施罗德基金管理有限公司，曾任专户投资部投资经理助理、投资经理，现任混合权益部基金经理。现任交银施罗德启道混合型证券投资基金(2026年07月11日至今)的基金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w:t>
      </w:r>
      <w:r>
        <w:rPr>
          <w:rFonts w:ascii="宋体" w:hAnsi="宋体"/>
          <w:sz w:val="24"/>
        </w:rPr>
        <w:lastRenderedPageBreak/>
        <w:t>的发售、申购、赎回和登记事宜；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5、基金管理人承诺不从事其他法规规定禁止从事的行为。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负责制定公司风险偏好（含风险容忍度）、风险管理和内部控制政策，审议并通过与公司内部风险管理和合规有关的重大事项。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w:t>
      </w:r>
      <w:r>
        <w:rPr>
          <w:rFonts w:ascii="宋体" w:hAnsi="宋体"/>
          <w:sz w:val="24"/>
        </w:rPr>
        <w:lastRenderedPageBreak/>
        <w:t>任，负责履行公司的风险管理程序，负责本部门的风险管理系统的开发、执行和维护，用于识别、监控和降低风险。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7" w:name="_Toc234933047"/>
      <w:r>
        <w:rPr>
          <w:rFonts w:ascii="Times New Roman" w:hAnsi="Times New Roman"/>
          <w:sz w:val="30"/>
        </w:rPr>
        <w:lastRenderedPageBreak/>
        <w:t>四、基金托管人</w:t>
      </w:r>
      <w:bookmarkEnd w:id="7"/>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w:t>
      </w:r>
      <w:r>
        <w:rPr>
          <w:rFonts w:ascii="宋体" w:hAnsi="宋体"/>
          <w:sz w:val="24"/>
        </w:rPr>
        <w:lastRenderedPageBreak/>
        <w:t>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8" w:name="_Toc234933048"/>
      <w:r>
        <w:rPr>
          <w:rFonts w:ascii="Times New Roman" w:hAnsi="Times New Roman"/>
          <w:sz w:val="30"/>
        </w:rPr>
        <w:lastRenderedPageBreak/>
        <w:t>五、相关服务机构</w:t>
      </w:r>
      <w:bookmarkEnd w:id="8"/>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个人投资者可以通过基金管理人网上直销交易平台办理开户、本基金的申购、赎回、转换和定期定额投资等业务，具体交易细则请参阅基金管理人网站。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办公地址：上海市中山东一路12 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（3）名称：东吴证券股份有限公司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（4）名称：厦门银行股份有限公司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（6）名称：交通银行股份有限公司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办公地址：上海市浦东新区银城中路188号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传真：（0769）22866282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（11）名称：宁波银行股份有限公司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（12）名称：中国邮政储蓄银行股份有限公司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（13）名称：中国银河证券股份有限公司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法定代表人：陈共炎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（15）名称：中国中金财富证券有限公司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（16）名称：山西证券股份有限公司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（17）名称：德邦证券股份有限公司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住所：上海市普陀区曹杨路510号南半幢9楼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（18）名称：国投证券股份有限公司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（19）名称：五矿证券有限公司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（20）名称：财通证券股份有限公司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网址：www.ctsec.com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（21）名称：中信建投证券股份有限公司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（22）名称：民生证券股份有限公司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（23）名称：中原证券股份有限公司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（24）名称：东方财富证券股份有限公司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（25）名称：申万宏源证券有限公司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（26）名称：平安证券股份有限公司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（27）名称：中信证券（山东）有限责任公司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网址：sd.citics.com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（28）名称：申万宏源西部证券有限公司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（30）名称：江海证券有限公司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（31）名称：长城证券有限责任公司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电话：（0755）83516289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（32）名称：国金证券股份有限公司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（33）名称：国新证券股份有限公司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（34）名称：华西证券股份有限公司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（35）名称：第一创业证券股份有限公司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（36）名称：中信证券华南股份有限公司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（37）名称：国泰海通证券股份有限公司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（38）名称：招商证券股份有限公司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住所：深圳市福田区福田街道福华一路111号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（39）名称：大同证券有限责任公司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（40）名称：长城国瑞证券有限公司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（41）名称：华宝证券股份有限公司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电话：（021）68777222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（42）名称：华龙证券股份有限公司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（43）名称：海通证券股份有限公司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（44）名称：广发证券股份有限公司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客户服务电话：95575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（45）名称：兴业证券股份有限公司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（46）名称：湘财证券股份有限公司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（47）名称：华泰证券股份有限公司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（48）名称：金融街证券股份有限公司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w:t>
      </w:r>
      <w:r>
        <w:rPr>
          <w:rFonts w:ascii="宋体" w:hAnsi="宋体"/>
          <w:sz w:val="24"/>
        </w:rPr>
        <w:lastRenderedPageBreak/>
        <w:t>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（49）名称：国信证券股份有限公司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（50）名称：东莞证券股份有限公司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（51）名称：方正证券股份有限公司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传真：（010）68546792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（52）名称：深圳市新兰德证券投资咨询有限公司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（53）名称：大连网金基金销售有限公司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（54）名称：阳光人寿保险股份有限公司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网址：http://fund.sinosig.com/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（55）名称：玄元保险代理有限公司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（56）名称：京东肯特瑞基金销售有限公司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（57）名称：上海大智慧基金销售有限公司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（58）名称：珠海盈米基金销售有限公司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办公地址：广州市海珠区琶洲大道东1号保利国际广场南塔12楼B1201-1203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（59）名称：北京度小满基金销售有限公司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（60）名称：南京苏宁基金销售有限公司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（61）名称：嘉实财富管理有限公司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（62）名称：北京汇成基金销售有限公司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（63）名称：上海利得基金销售有限公司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（64）名称：北京虹点基金销售有限公司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网址：www.hongdianfund.com/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（65）名称：上海陆金所基金销售有限公司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（66）名称：上海挖财基金销售有限公司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（67）名称：万家财富基金销售（天津）有限公司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（68）名称：上海万得基金销售有限公司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住所：中国（上海）自由贸易试验区福山路33号11楼B座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（69）名称：格上富信投资顾问有限公司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（70）名称：深圳市金斧子基金销售有限公司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（71）名称：北京雪球基金销售有限公司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电话：（010）61840688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（72）名称：北京新浪仓石基金销售有限公司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（73）名称：中证金牛（北京）基金销售有限公司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（74）名称：上海证达通基金销售有限公司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（75）名称：奕丰基金销售有限公司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（76）名称：上海天天基金销售有限公司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（77）名称：诺亚正行基金销售有限公司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网址：www.noah-fund.com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（78）名称：上海好买基金销售有限公司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（79）名称：上海长量基金销售有限公司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（80）名称：深圳众禄基金销售股份有限公司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（81）名称：中信期货有限公司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办公地址：深圳市福田区中心三路8号卓越时代广场（二期）北座13层1301-1305室、14层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（82）名称：上海基煜基金销售有限公司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（83）名称：浙江同花顺基金销售有限公司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（84）名称：宜信普泽（北京）基金销售有限公司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法定代表人：汤蕾</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（85）名称：上海联泰基金销售有限公司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（86）名称：泛华普益基金销售有限公司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（87）名称：北京展恒基金销售股份有限公司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（88）名称：蚂蚁（杭州）基金销售有限公司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（89）名称：和耕传承基金销售有限公司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（90）名称：腾安基金销售（深圳）有限公司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（91）名称：北京创金启富基金销售有限公司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（92）名称：济安财富（北京）基金销售有限公司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（93）名称：博时财富基金销售有限公司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（94）名称：上海中欧财富基金销售有限公司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办公地址：上海市虹口区公平路18号嘉昱大厦6楼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（95）名称：深圳前海微众银行股份有限公司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（96）名称：中国人寿保险股份有限公司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电话：（010）50938782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9" w:name="_Toc234933049"/>
      <w:r>
        <w:rPr>
          <w:rFonts w:ascii="Times New Roman" w:hAnsi="Times New Roman"/>
          <w:sz w:val="30"/>
        </w:rPr>
        <w:lastRenderedPageBreak/>
        <w:t>六、基金的募集</w:t>
      </w:r>
      <w:bookmarkEnd w:id="9"/>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本基金由基金管理人依照《基金法》、《运作办法》、《销售办法》、基金合同及其他有关规定，并经中国证监会2020年10月10日证监许可【2020】2533号文准予募集注册。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本基金于2021年1月25日进行发售，本基金设立募集期共募集5,935,154,336.42份基金份额，有效认购户数为98,090户。</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0" w:name="_Toc234933050"/>
      <w:r>
        <w:rPr>
          <w:rFonts w:ascii="Times New Roman" w:hAnsi="Times New Roman"/>
          <w:sz w:val="30"/>
        </w:rPr>
        <w:lastRenderedPageBreak/>
        <w:t>七、基金合同的生效</w:t>
      </w:r>
      <w:bookmarkEnd w:id="10"/>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根据有关规定，本基金满足基金合同生效条件，基金合同已于2021年1月28日正式生效。自基金合同生效之日起，本基金管理人正式开始管理本基金。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1" w:name="_Toc234933051"/>
      <w:r>
        <w:rPr>
          <w:rFonts w:ascii="Times New Roman" w:hAnsi="Times New Roman"/>
          <w:sz w:val="30"/>
        </w:rPr>
        <w:lastRenderedPageBreak/>
        <w:t>八、基金份额的申购与赎回</w:t>
      </w:r>
      <w:bookmarkEnd w:id="11"/>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本基金已于2021年4月26日起开放申购、赎回业务。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73DF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A73DF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w:t>
      </w:r>
      <w:r>
        <w:rPr>
          <w:rFonts w:ascii="宋体" w:hAnsi="宋体"/>
          <w:sz w:val="24"/>
        </w:rPr>
        <w:lastRenderedPageBreak/>
        <w:t>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73DF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A73DF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73DFF" w:rsidRDefault="00A73DF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净申购金额=申购总金额/（1+申购费率）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例五：某投资者赎回持有的10,000份基金份额，持有期限为30日，对应的赎回费率为0.5%，假设赎回当日基金份额净值是1.0160元，则其可得到的赎回金额为：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即：该投资者赎回本基金10,000份基金份额，持有期限为30日，对应的赎回费率为0.5%，假设赎回当日基金份额净值是1.0160元，则其可得到的赎回金额为10,109.20元。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w:t>
      </w:r>
      <w:r w:rsidRPr="00BB248E">
        <w:rPr>
          <w:rFonts w:ascii="宋体" w:hAnsi="宋体" w:hint="eastAsia"/>
          <w:b/>
          <w:kern w:val="0"/>
          <w:sz w:val="24"/>
        </w:rPr>
        <w:lastRenderedPageBreak/>
        <w:t>申购的情况消除时，基金管理人应及时恢复申购业务的办理。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w:t>
      </w:r>
      <w:r>
        <w:rPr>
          <w:rFonts w:ascii="宋体" w:hAnsi="宋体"/>
          <w:sz w:val="24"/>
        </w:rPr>
        <w:lastRenderedPageBreak/>
        <w:t>额赎回或部分延期赎回。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3、巨额赎回的公告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当发生上述巨额赎回并延期办理时，基金管理人应当通过邮寄、传真或者通知销售机构代为告知等方式在3个交易日内通知基金份额持有人，说明有关处理方法，并在两日内在规定媒介上刊登公告。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w:t>
      </w:r>
      <w:r>
        <w:rPr>
          <w:rFonts w:ascii="宋体" w:hAnsi="宋体"/>
          <w:sz w:val="24"/>
        </w:rPr>
        <w:lastRenderedPageBreak/>
        <w:t>划最低申购金额。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本基金2021年4月21日刊登公告自2021年4月26日起开通定期定额投资计划业务，具体开通销售机构名单和业务规则参见相关公告。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2" w:name="_Toc234933052"/>
      <w:r>
        <w:rPr>
          <w:rFonts w:ascii="Times New Roman" w:hAnsi="Times New Roman"/>
          <w:sz w:val="30"/>
        </w:rPr>
        <w:lastRenderedPageBreak/>
        <w:t>九、基金的转换</w:t>
      </w:r>
      <w:bookmarkEnd w:id="12"/>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本基金2021年4月21日刊登公告自2021年4月26日起开放日常转换业务。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3" w:name="_Toc234933053"/>
      <w:r>
        <w:rPr>
          <w:rFonts w:ascii="Times New Roman" w:hAnsi="Times New Roman"/>
          <w:sz w:val="30"/>
        </w:rPr>
        <w:lastRenderedPageBreak/>
        <w:t>十、基金的投资</w:t>
      </w:r>
      <w:bookmarkEnd w:id="13"/>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Flow）、股价与每股自由现金流比率（P/FCF）、市销率（P/S）、股价与每股息税前利润比率（P/EBIT）、企业价值倍数（EV/EBITDA）等；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■经营效率指标：如净资产收益率（ROE）、资产收益率（ROA）、投入资本回报率(ROIC)等；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w:t>
      </w:r>
      <w:r>
        <w:rPr>
          <w:rFonts w:ascii="宋体" w:hAnsi="宋体"/>
          <w:sz w:val="24"/>
        </w:rPr>
        <w:lastRenderedPageBreak/>
        <w:t>投资于港股或选择不将基金资产投资于港股，基金资产并非必然投资港股。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1、组合限制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w:t>
      </w:r>
      <w:r>
        <w:rPr>
          <w:rFonts w:ascii="宋体" w:hAnsi="宋体"/>
          <w:sz w:val="24"/>
        </w:rPr>
        <w:lastRenderedPageBreak/>
        <w:t>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沪深300指数收益率×65%+恒生指数收益率×5%+中证综合债券指数收益率×30%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w:t>
      </w:r>
      <w:r>
        <w:rPr>
          <w:rFonts w:ascii="宋体" w:hAnsi="宋体"/>
          <w:sz w:val="24"/>
        </w:rPr>
        <w:lastRenderedPageBreak/>
        <w:t>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本基金托管人中国建设银行股份有限公司根据本基金合同规定，于2025年10月27日复核了本报告中的财务指标、净值表现和投资组合报告等内容，保证复核内容不存在虚假记载、误导性陈述或者重大遗漏。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本报告期为2025年07月01日起至09月30日。本报告财务资料未经审计师审计。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2,192,120,359.12</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91.04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2,192,120,359.12</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91.04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214,028,855.88</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8.89</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1,649,031.38</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2,407,798,246.38</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w:t>
      </w:r>
      <w:r>
        <w:rPr>
          <w:rFonts w:ascii="宋体" w:hAnsi="宋体"/>
          <w:sz w:val="24"/>
        </w:rPr>
        <w:lastRenderedPageBreak/>
        <w:t>867,253,528.61元，占基金资产净值比例为36.22%。</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568,421,671.29</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23.74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46,512,648.00</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1.94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18,627.99</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207,522,595.39</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8.67</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63,111,685.00</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2.64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439,261,346.50</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18.34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18,256.34</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1,324,866,830.51</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55.32</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366,181,231.63</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15.29</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235,040,218.84</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9.81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232,005,514.40</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9.69</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34,026,563.74</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867,253,528.61</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36.22</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注：本报告采用中证CICS一级分类标准编制。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388,300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235,040,218.84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9.81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892,200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217,324,809.70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9.08</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144,399,000.00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761,400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123,040,306.04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5.14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02423 HK</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2,547,300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122,444,627.68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5.11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259,100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104,158,200.00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4.35</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298,392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94,441,068.00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3.94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002244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滨江集团</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6,908,000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86,695,400.00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3.62</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8,409,200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85,521,564.00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3.57</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1,290,540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77,832,467.40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3.25</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10、报告期末本基金投资的国债期货交易情况说明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380,748.18</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222,017.43</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549,218.39</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497,047.38</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right"/>
              <w:rPr>
                <w:rFonts w:ascii="宋体" w:hAnsi="宋体"/>
                <w:color w:val="000000"/>
                <w:kern w:val="0"/>
                <w:sz w:val="25"/>
                <w:szCs w:val="24"/>
              </w:rPr>
            </w:pPr>
            <w:r>
              <w:rPr>
                <w:rFonts w:ascii="Times New Roman" w:hAnsi="Times New Roman"/>
                <w:color w:val="000000"/>
                <w:kern w:val="0"/>
                <w:sz w:val="25"/>
                <w:szCs w:val="24"/>
              </w:rPr>
              <w:t>1,649,031.38</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4" w:name="_Toc234933054"/>
      <w:r>
        <w:rPr>
          <w:rFonts w:ascii="Times New Roman" w:hAnsi="Times New Roman"/>
          <w:sz w:val="30"/>
        </w:rPr>
        <w:lastRenderedPageBreak/>
        <w:t>十一、基金的业绩</w:t>
      </w:r>
      <w:bookmarkEnd w:id="14"/>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度</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11.68%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10.92%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15.91%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-24.15%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-17.45%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-24.68%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-10.61%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A73DF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-6.44%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A73DFF" w:rsidRDefault="00A2033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交银施罗德启道混合型证券投资基金</w:t>
      </w:r>
    </w:p>
    <w:p w:rsidR="00A73DFF" w:rsidRDefault="00A2033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73DFF" w:rsidRDefault="00A2033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（2021年1月28日至2025年09月30日）</w:t>
      </w:r>
    </w:p>
    <w:p w:rsidR="00A73DFF" w:rsidRDefault="00BE32F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5" w:name="_Toc234933055"/>
      <w:r>
        <w:rPr>
          <w:rFonts w:ascii="Times New Roman" w:hAnsi="Times New Roman"/>
          <w:sz w:val="30"/>
        </w:rPr>
        <w:lastRenderedPageBreak/>
        <w:t>十二、基金的财产</w:t>
      </w:r>
      <w:bookmarkEnd w:id="15"/>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6" w:name="_Toc234933056"/>
      <w:r>
        <w:rPr>
          <w:rFonts w:ascii="Times New Roman" w:hAnsi="Times New Roman"/>
          <w:sz w:val="30"/>
        </w:rPr>
        <w:lastRenderedPageBreak/>
        <w:t>十三、基金资产的估值</w:t>
      </w:r>
      <w:bookmarkEnd w:id="16"/>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5、同一股票同时在两个或两个以上市场交易的，按股票所处的市场分别估值。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73DFF" w:rsidRDefault="00A20330">
      <w:pPr>
        <w:pStyle w:val="1"/>
        <w:snapToGrid w:val="0"/>
        <w:spacing w:beforeLines="0" w:before="240" w:after="240"/>
        <w:rPr>
          <w:rFonts w:ascii="宋体" w:hAnsi="宋体"/>
          <w:szCs w:val="30"/>
        </w:rPr>
      </w:pPr>
      <w:bookmarkStart w:id="17" w:name="_Toc234933057"/>
      <w:r>
        <w:rPr>
          <w:rFonts w:ascii="Times New Roman" w:hAnsi="Times New Roman"/>
          <w:sz w:val="30"/>
        </w:rPr>
        <w:lastRenderedPageBreak/>
        <w:t>十四、基金收益与分配</w:t>
      </w:r>
      <w:bookmarkEnd w:id="17"/>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8" w:name="_Toc234933058"/>
      <w:r>
        <w:rPr>
          <w:rFonts w:ascii="Times New Roman" w:hAnsi="Times New Roman"/>
          <w:sz w:val="30"/>
        </w:rPr>
        <w:lastRenderedPageBreak/>
        <w:t>十五、基金的费用与税收</w:t>
      </w:r>
      <w:bookmarkEnd w:id="18"/>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19" w:name="_Toc234933059"/>
      <w:r>
        <w:rPr>
          <w:rFonts w:ascii="Times New Roman" w:hAnsi="Times New Roman"/>
          <w:sz w:val="30"/>
        </w:rPr>
        <w:lastRenderedPageBreak/>
        <w:t>十六、基金的会计与审计</w:t>
      </w:r>
      <w:bookmarkEnd w:id="19"/>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0" w:name="_Toc234933060"/>
      <w:r>
        <w:rPr>
          <w:rFonts w:ascii="Times New Roman" w:hAnsi="Times New Roman"/>
          <w:sz w:val="30"/>
        </w:rPr>
        <w:lastRenderedPageBreak/>
        <w:t>十七、基金的信息披露</w:t>
      </w:r>
      <w:bookmarkEnd w:id="20"/>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《基金合同》生效后，在开始办理基金份额申购或者赎回前，基金管理人应当至少每周在规定网站披露一次基金份额净值和基金份额累计净值。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在开始办理基金份额申购或者赎回后，基金管理人应当在不晚于每个开放日的次日，通过规定网站、基金销售机构网站或者营业网点披露开放日的基金份额净值和基金份额累计净值。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基金管理人应当在不晚于半年度和年度最后一日的次日，在规定网站披露半年度和年度最后一日的基金份额净值和基金份额累计净值。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编制临时报告书，并登载在规定报刊和规定网站上。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w:t>
      </w:r>
      <w:r>
        <w:rPr>
          <w:rFonts w:ascii="宋体" w:hAnsi="宋体"/>
          <w:sz w:val="24"/>
        </w:rPr>
        <w:lastRenderedPageBreak/>
        <w:t>所审计，并由律师事务所出具法律意见书。清算小组应当将清算报告登载在规定网站上，并将清算报告提示性公告登载在规定报刊上。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基金管理人、基金托管人除依法在规定媒介上披露信息外，还可以根据需要在其他公共媒介披露信息，但是其他公共媒介不得早于规定媒介披露信息，并且在不同媒介上披露同一信息的内容应当一致。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1" w:name="_Toc234933061"/>
      <w:r>
        <w:rPr>
          <w:rFonts w:ascii="Times New Roman" w:hAnsi="Times New Roman"/>
          <w:sz w:val="30"/>
        </w:rPr>
        <w:lastRenderedPageBreak/>
        <w:t>十八、侧袋机制</w:t>
      </w:r>
      <w:bookmarkEnd w:id="21"/>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73DFF" w:rsidRDefault="00A20330">
      <w:pPr>
        <w:pStyle w:val="1"/>
        <w:snapToGrid w:val="0"/>
        <w:spacing w:beforeLines="0" w:before="240" w:after="240"/>
        <w:rPr>
          <w:rFonts w:ascii="宋体" w:hAnsi="宋体"/>
          <w:szCs w:val="30"/>
        </w:rPr>
      </w:pPr>
      <w:bookmarkStart w:id="22" w:name="_Toc234933062"/>
      <w:r>
        <w:rPr>
          <w:rFonts w:ascii="Times New Roman" w:hAnsi="Times New Roman"/>
          <w:sz w:val="30"/>
        </w:rPr>
        <w:lastRenderedPageBreak/>
        <w:t>十九、风险揭示</w:t>
      </w:r>
      <w:bookmarkEnd w:id="22"/>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w:t>
      </w:r>
      <w:r>
        <w:rPr>
          <w:rFonts w:ascii="宋体" w:hAnsi="宋体"/>
          <w:sz w:val="24"/>
        </w:rPr>
        <w:lastRenderedPageBreak/>
        <w:t>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w:t>
      </w:r>
      <w:r>
        <w:rPr>
          <w:rFonts w:ascii="宋体" w:hAnsi="宋体"/>
          <w:sz w:val="24"/>
        </w:rPr>
        <w:lastRenderedPageBreak/>
        <w:t>日额度使用完毕的，当日本基金将面临不能通过港股通进行买入交易的风险。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w:t>
      </w:r>
      <w:r>
        <w:rPr>
          <w:rFonts w:ascii="宋体" w:hAnsi="宋体"/>
          <w:sz w:val="24"/>
        </w:rPr>
        <w:lastRenderedPageBreak/>
        <w:t>证券交易所及深圳证券交易所证券交易服务公司将可能暂停提供部分或者全部港股通服务，投资者将面临在暂停服务期间无法进行港股通交易的风险；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4、基金合同提前终止风险。连续50个工作日出现基金份额持有人数量不满200人或者基金资产净值低于5000万元情形的，基金管理人提前终止基金合同，不需召开基金份额持有人大会。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w:t>
      </w:r>
      <w:r>
        <w:rPr>
          <w:rFonts w:ascii="宋体" w:hAnsi="宋体"/>
          <w:sz w:val="24"/>
        </w:rPr>
        <w:lastRenderedPageBreak/>
        <w:t>是股指期货投资中最主要的风险。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（十一）本基金法律文件风险收益特征表述与销售机构基金风险评价可能不一致的风险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3" w:name="_Toc234933063"/>
      <w:r>
        <w:rPr>
          <w:rFonts w:ascii="Times New Roman" w:hAnsi="Times New Roman"/>
          <w:sz w:val="30"/>
        </w:rPr>
        <w:lastRenderedPageBreak/>
        <w:t>二十、基金合同的变更、终止与基金财产的清算</w:t>
      </w:r>
      <w:bookmarkEnd w:id="23"/>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4" w:name="_Toc234933064"/>
      <w:r>
        <w:rPr>
          <w:rFonts w:ascii="Times New Roman" w:hAnsi="Times New Roman"/>
          <w:sz w:val="30"/>
        </w:rPr>
        <w:lastRenderedPageBreak/>
        <w:t>二十一、基金合同内容摘要</w:t>
      </w:r>
      <w:bookmarkEnd w:id="24"/>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每份基金份额具有同等的合法权益。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2）在法律法规和《基金合同》规定的范围内调整本基金的申购费率、调低赎回费率、在对现有基金份额持有人利益无实质性不利影响的前提下变更收费方式；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（三）基金合同解除和终止的事由、程序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争议处理期间，基金合同当事人应恪守各自的职责，继续忠实、勤勉、尽责地履行基金合同规定的义务，维护基金份额持有人的合法权益。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5" w:name="_Toc234933065"/>
      <w:r>
        <w:rPr>
          <w:rFonts w:ascii="Times New Roman" w:hAnsi="Times New Roman"/>
          <w:sz w:val="30"/>
        </w:rPr>
        <w:lastRenderedPageBreak/>
        <w:t>二十二、托管协议的内容摘要</w:t>
      </w:r>
      <w:bookmarkEnd w:id="25"/>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w:t>
      </w:r>
      <w:r>
        <w:rPr>
          <w:rFonts w:ascii="宋体" w:hAnsi="宋体"/>
          <w:sz w:val="24"/>
        </w:rPr>
        <w:lastRenderedPageBreak/>
        <w:t>有的现金或者到期日在一年以内的政府债券的投资比例合计不低于基金资产净值的5%，其中现金不包括结算备付金、存出保证金和应收申购款等；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（16）本基金持有的所有流通受限证券，其公允价值不得超过本基金资产净值的15%；本基金持有的同一流通受限证券，其公允价值不得超过本基金资产净值的10%；</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项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w:t>
      </w:r>
      <w:r>
        <w:rPr>
          <w:rFonts w:ascii="宋体" w:hAnsi="宋体"/>
          <w:sz w:val="24"/>
        </w:rPr>
        <w:lastRenderedPageBreak/>
        <w:t>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本基金投资流通受限证券，不得预付任何形式的保证金。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w:t>
      </w:r>
      <w:r>
        <w:rPr>
          <w:rFonts w:ascii="宋体" w:hAnsi="宋体"/>
          <w:sz w:val="24"/>
        </w:rPr>
        <w:lastRenderedPageBreak/>
        <w:t>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规定媒介披露所投资非公开发行股票的名称、数量、总成本、账面价值，以及总成本和账面价值占基金资产净值的比例、锁定期等信息。</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本基金有关投资流通受限证券比例如违反有关限制规定，在合理期限内未能进行及时调整，基金管理人应依照《信息披露办法》的规定编制临时报告书，予以公告。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1）本基金投资流通受限证券时的法律法规遵守情况。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2）在基金投资流通受限证券管理工作方面有关制度、流动性风险处置预案的建立与完善情况。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（6）相关法律法规对基金投资流通受限证券有新规定的，从其规定。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w:t>
      </w:r>
      <w:r>
        <w:rPr>
          <w:rFonts w:ascii="宋体" w:hAnsi="宋体"/>
          <w:sz w:val="24"/>
        </w:rPr>
        <w:lastRenderedPageBreak/>
        <w:t>益分配、相关信息披露、基金宣传推介材料中登载基金业绩表现数据等进行监督和核查。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w:t>
      </w:r>
      <w:r>
        <w:rPr>
          <w:rFonts w:ascii="宋体" w:hAnsi="宋体"/>
          <w:sz w:val="24"/>
        </w:rPr>
        <w:lastRenderedPageBreak/>
        <w:t>《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（1）基金募集期间募集认购款项应存于基金管理人在具有托管资格的商业银行开立的“基金募集专户”。该账户由基金管理人开立并管理。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符合《中华人民共和国证券法》规定的会计师事务所进行验资，出具验资报告。出具的验资报告由参加验资的2名或2名以上中国注册会计师签字方为有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（5）管理人应于托管产品清盘后及时完成收益兑付、费用结清及其他应收应付款项资金划转，在确保后续不再发生款项进出后的10个工作日内向托管人发出销户申请。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（1）基金托管人在中国证券登记结算有限责任公司为基金开立基金托管人与本基金联名的证券账户。</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w:t>
      </w:r>
      <w:r>
        <w:rPr>
          <w:rFonts w:ascii="宋体" w:hAnsi="宋体"/>
          <w:sz w:val="24"/>
        </w:rPr>
        <w:lastRenderedPageBreak/>
        <w:t>的管理和运用由基金管理人负责。</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（5）账户注销时，在遵守中国证券登记结算公司的相关规定下，由管理人和托管人协商确认主要办理人。账户注销期间，主要办理人如需另一方提供配合的，另一方应予以配合。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不低于法律法规规定的最低期限。</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w:t>
      </w:r>
      <w:r>
        <w:rPr>
          <w:rFonts w:ascii="宋体" w:hAnsi="宋体"/>
          <w:sz w:val="24"/>
        </w:rPr>
        <w:lastRenderedPageBreak/>
        <w:t>金份额持有人名册由基金登记机构根据基金管理人的指令编制和保管，基金管理人和基金托管人应分别保管基金份额持有人名册，保存期不低于法律法规规定的最低期限。如不能妥善保管，则按相关法规承担责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（4）发生法律法规、中国证监会规定或《基金合同》约定的终止事项。</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（1）基金财产清算小组：自出现《基金合同》终止事由之日起30个工作日内成立清算小组，基金管理人组织基金财产清算小组并在中国证监会的监督下进行基金清算。</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（7）基金财产清算剩余资产的分配：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（8）基金财产清算的公告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w:t>
      </w:r>
      <w:r>
        <w:rPr>
          <w:rFonts w:ascii="宋体" w:hAnsi="宋体"/>
          <w:sz w:val="24"/>
        </w:rPr>
        <w:lastRenderedPageBreak/>
        <w:t>后5个工作日内由基金财产清算小组进行公告，基金财产清算小组应当将清算报告登载在规定网站上，并将清算报告提示性公告登载在规定报刊上。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（9）基金财产清算账册及文件的保存</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6" w:name="_Toc234933066"/>
      <w:r>
        <w:rPr>
          <w:rFonts w:ascii="Times New Roman" w:hAnsi="Times New Roman"/>
          <w:sz w:val="30"/>
        </w:rPr>
        <w:lastRenderedPageBreak/>
        <w:t>二十三、对基金份额持有人的服务</w:t>
      </w:r>
      <w:bookmarkEnd w:id="26"/>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如本招募说明书存在任何您/贵机构无法理解的内容，请通过上述方式联系基金管理人。请确保投资前，您/贵机构已经全面理解了本招募说明书。</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7" w:name="_Toc234933067"/>
      <w:r>
        <w:rPr>
          <w:rFonts w:ascii="Times New Roman" w:hAnsi="Times New Roman"/>
          <w:sz w:val="30"/>
        </w:rPr>
        <w:lastRenderedPageBreak/>
        <w:t>二十四、其他应披露事项</w:t>
      </w:r>
      <w:bookmarkEnd w:id="27"/>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2025-03-14</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A73DF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73DFF" w:rsidRDefault="00A20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8" w:name="_Toc234933068"/>
      <w:r>
        <w:rPr>
          <w:rFonts w:ascii="Times New Roman" w:hAnsi="Times New Roman"/>
          <w:sz w:val="30"/>
        </w:rPr>
        <w:lastRenderedPageBreak/>
        <w:t>二十五、招募说明书的存放及查阅方式</w:t>
      </w:r>
      <w:bookmarkEnd w:id="28"/>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A203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73DFF" w:rsidRDefault="00A20330">
      <w:pPr>
        <w:pStyle w:val="1"/>
        <w:snapToGrid w:val="0"/>
        <w:spacing w:beforeLines="0" w:before="240" w:after="240"/>
        <w:rPr>
          <w:rFonts w:ascii="宋体" w:hAnsi="宋体"/>
          <w:szCs w:val="30"/>
        </w:rPr>
      </w:pPr>
      <w:bookmarkStart w:id="29" w:name="_Toc234933069"/>
      <w:r>
        <w:rPr>
          <w:rFonts w:ascii="Times New Roman" w:hAnsi="Times New Roman"/>
          <w:sz w:val="30"/>
        </w:rPr>
        <w:lastRenderedPageBreak/>
        <w:t>二十六、备查文件</w:t>
      </w:r>
      <w:bookmarkEnd w:id="29"/>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（一）中国证监会准予交银施罗德启道混合型证券投资基金募集注册的文件</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（二）《交银施罗德启道混合型证券投资基金基金合同》</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（三）《交银施罗德启道混合型证券投资基金托管协议》</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73DFF" w:rsidRDefault="00A203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（六）关于申请募集注册交银施罗德启道混合型证券投资基金的法律意见书</w:t>
      </w:r>
    </w:p>
    <w:sectPr w:rsidR="00A73DFF">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8D0" w:rsidRDefault="00A20330">
      <w:r>
        <w:separator/>
      </w:r>
    </w:p>
  </w:endnote>
  <w:endnote w:type="continuationSeparator" w:id="0">
    <w:p w:rsidR="002608D0" w:rsidRDefault="00A20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A73DF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BE32F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A73DFF" w:rsidRDefault="00A2033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E32F6">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A73DF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BE32F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A73DFF" w:rsidRDefault="00A2033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E32F6">
                  <w:rPr>
                    <w:rFonts w:ascii="Times New Roman" w:hAnsi="Times New Roman"/>
                    <w:noProof/>
                    <w:kern w:val="0"/>
                    <w:sz w:val="18"/>
                    <w:szCs w:val="18"/>
                  </w:rPr>
                  <w:t>158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8D0" w:rsidRDefault="00A20330">
      <w:r>
        <w:separator/>
      </w:r>
    </w:p>
  </w:footnote>
  <w:footnote w:type="continuationSeparator" w:id="0">
    <w:p w:rsidR="002608D0" w:rsidRDefault="00A20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A73DF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A20330">
    <w:pPr>
      <w:pStyle w:val="a3"/>
      <w:jc w:val="right"/>
      <w:rPr>
        <w:rFonts w:ascii="宋体" w:hAnsi="宋体"/>
      </w:rPr>
    </w:pPr>
    <w:r>
      <w:rPr>
        <w:rFonts w:ascii="宋体" w:hAnsi="宋体" w:hint="eastAsia"/>
      </w:rPr>
      <w:t>交银施罗德启道混合型证券投资基金招募说明书更新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A73DFF">
    <w:pPr>
      <w:pStyle w:val="10"/>
      <w:jc w:val="right"/>
    </w:pPr>
  </w:p>
  <w:p w:rsidR="00A73DFF" w:rsidRDefault="00A73DFF">
    <w:pPr>
      <w:pStyle w:val="10"/>
      <w:jc w:val="right"/>
    </w:pPr>
  </w:p>
  <w:p w:rsidR="00A73DFF" w:rsidRDefault="00A73DFF">
    <w:pPr>
      <w:pStyle w:val="a3"/>
      <w:jc w:val="right"/>
    </w:pPr>
  </w:p>
  <w:p w:rsidR="00A73DFF" w:rsidRDefault="00A20330">
    <w:pPr>
      <w:pStyle w:val="a3"/>
      <w:jc w:val="right"/>
      <w:rPr>
        <w:rFonts w:ascii="宋体" w:hAnsi="宋体"/>
      </w:rPr>
    </w:pPr>
    <w:r>
      <w:rPr>
        <w:rFonts w:ascii="宋体" w:hAnsi="宋体" w:hint="eastAsia"/>
      </w:rPr>
      <w:t>交银施罗德启道混合型证券投资基金招募说明书更新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FF" w:rsidRDefault="00A73DFF">
    <w:pPr>
      <w:pStyle w:val="a3"/>
      <w:jc w:val="right"/>
    </w:pPr>
  </w:p>
  <w:p w:rsidR="00A73DFF" w:rsidRDefault="00A73DFF">
    <w:pPr>
      <w:pStyle w:val="a3"/>
      <w:jc w:val="right"/>
    </w:pPr>
  </w:p>
  <w:p w:rsidR="00A73DFF" w:rsidRDefault="00A73DFF">
    <w:pPr>
      <w:pStyle w:val="a3"/>
      <w:jc w:val="right"/>
    </w:pPr>
  </w:p>
  <w:p w:rsidR="00A73DFF" w:rsidRDefault="00A20330">
    <w:pPr>
      <w:pStyle w:val="a3"/>
      <w:jc w:val="right"/>
      <w:rPr>
        <w:rFonts w:ascii="宋体" w:hAnsi="宋体"/>
      </w:rPr>
    </w:pPr>
    <w:r>
      <w:rPr>
        <w:rFonts w:ascii="宋体" w:hAnsi="宋体" w:hint="eastAsia"/>
      </w:rPr>
      <w:t>交银施罗德启道混合型证券投资基金招募说明书更新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08D0"/>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0330"/>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3DFF"/>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2F6"/>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38730E4A-D5F1-402D-89EB-BD32DD69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16289</Words>
  <Characters>92853</Characters>
  <Application>Microsoft Office Word</Application>
  <DocSecurity>0</DocSecurity>
  <Lines>773</Lines>
  <Paragraphs>217</Paragraphs>
  <ScaleCrop>false</ScaleCrop>
  <Company>Microsoft</Company>
  <LinksUpToDate>false</LinksUpToDate>
  <CharactersWithSpaces>108925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2026-07-14T06:50:00Z</dcterms:created>
  <dcterms:modified xsi:type="dcterms:W3CDTF">2026-07-14T06:50:00Z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