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sz w:val="32"/>
        </w:rPr>
      </w:pPr>
    </w:p>
    <w:p>
      <w:pPr>
        <w:spacing w:line="360" w:lineRule="auto"/>
        <w:rPr>
          <w:sz w:val="32"/>
        </w:rPr>
      </w:pPr>
    </w:p>
    <w:p>
      <w:pPr>
        <w:spacing w:line="360" w:lineRule="auto"/>
        <w:rPr>
          <w:sz w:val="32"/>
        </w:rPr>
      </w:pPr>
    </w:p>
    <w:p>
      <w:pPr>
        <w:spacing w:line="360" w:lineRule="auto"/>
        <w:jc w:val="center"/>
        <w:rPr>
          <w:b/>
          <w:sz w:val="32"/>
        </w:rPr>
      </w:pPr>
    </w:p>
    <w:p>
      <w:pPr>
        <w:spacing w:line="360" w:lineRule="auto"/>
        <w:rPr>
          <w:b/>
          <w:sz w:val="44"/>
        </w:rPr>
      </w:pPr>
    </w:p>
    <w:p>
      <w:pPr>
        <w:adjustRightInd w:val="0"/>
        <w:snapToGrid w:val="0"/>
        <w:spacing w:line="360" w:lineRule="auto"/>
        <w:jc w:val="center"/>
        <w:rPr>
          <w:rFonts w:hAnsi="宋体"/>
          <w:b/>
          <w:sz w:val="44"/>
        </w:rPr>
      </w:pPr>
      <w:r>
        <w:rPr>
          <w:rFonts w:hAnsi="宋体"/>
          <w:b/>
          <w:sz w:val="44"/>
        </w:rPr>
        <w:t>交银施罗德</w:t>
      </w:r>
      <w:r>
        <w:rPr>
          <w:rFonts w:hint="eastAsia" w:hAnsi="宋体"/>
          <w:b/>
          <w:sz w:val="44"/>
        </w:rPr>
        <w:t>港股消费</w:t>
      </w:r>
      <w:r>
        <w:rPr>
          <w:rFonts w:hAnsi="宋体"/>
          <w:b/>
          <w:sz w:val="44"/>
        </w:rPr>
        <w:t>混合型</w:t>
      </w:r>
    </w:p>
    <w:p>
      <w:pPr>
        <w:adjustRightInd w:val="0"/>
        <w:snapToGrid w:val="0"/>
        <w:spacing w:line="360" w:lineRule="auto"/>
        <w:jc w:val="center"/>
        <w:rPr>
          <w:rFonts w:hAnsi="宋体"/>
          <w:b/>
          <w:sz w:val="44"/>
        </w:rPr>
      </w:pPr>
      <w:r>
        <w:rPr>
          <w:rFonts w:hAnsi="宋体"/>
          <w:b/>
          <w:sz w:val="44"/>
        </w:rPr>
        <w:t>证券投资基金</w:t>
      </w:r>
      <w:r>
        <w:rPr>
          <w:rFonts w:hint="eastAsia" w:hAnsi="宋体"/>
          <w:b/>
          <w:sz w:val="44"/>
        </w:rPr>
        <w:t>（QDII）</w:t>
      </w:r>
    </w:p>
    <w:p>
      <w:pPr>
        <w:adjustRightInd w:val="0"/>
        <w:snapToGrid w:val="0"/>
        <w:spacing w:line="360" w:lineRule="auto"/>
        <w:jc w:val="center"/>
        <w:rPr>
          <w:sz w:val="24"/>
        </w:rPr>
      </w:pPr>
      <w:r>
        <w:rPr>
          <w:rFonts w:hAnsi="宋体"/>
          <w:b/>
          <w:sz w:val="44"/>
        </w:rPr>
        <w:t>招募说明书</w:t>
      </w:r>
    </w:p>
    <w:p>
      <w:pPr>
        <w:spacing w:line="360" w:lineRule="auto"/>
        <w:rPr>
          <w:b/>
          <w:sz w:val="28"/>
        </w:rPr>
      </w:pPr>
    </w:p>
    <w:p>
      <w:pPr>
        <w:spacing w:line="360" w:lineRule="auto"/>
        <w:rPr>
          <w:b/>
          <w:sz w:val="28"/>
        </w:rPr>
      </w:pPr>
    </w:p>
    <w:p>
      <w:pPr>
        <w:spacing w:line="360" w:lineRule="auto"/>
        <w:rPr>
          <w:b/>
          <w:sz w:val="28"/>
        </w:rPr>
      </w:pPr>
    </w:p>
    <w:p>
      <w:pPr>
        <w:spacing w:line="360" w:lineRule="auto"/>
        <w:rPr>
          <w:b/>
          <w:sz w:val="28"/>
        </w:rPr>
      </w:pPr>
    </w:p>
    <w:p>
      <w:pPr>
        <w:spacing w:line="360" w:lineRule="auto"/>
        <w:rPr>
          <w:b/>
          <w:sz w:val="28"/>
        </w:rPr>
      </w:pPr>
    </w:p>
    <w:p>
      <w:pPr>
        <w:spacing w:line="360" w:lineRule="auto"/>
        <w:ind w:left="1978" w:leftChars="942"/>
        <w:rPr>
          <w:b/>
          <w:sz w:val="28"/>
        </w:rPr>
      </w:pPr>
      <w:r>
        <w:rPr>
          <w:rFonts w:hAnsi="宋体"/>
          <w:b/>
          <w:sz w:val="28"/>
        </w:rPr>
        <w:t>基金管理人：交银施罗德基金管理有限公司</w:t>
      </w:r>
    </w:p>
    <w:p>
      <w:pPr>
        <w:spacing w:line="360" w:lineRule="auto"/>
        <w:ind w:left="1978" w:leftChars="942"/>
        <w:rPr>
          <w:b/>
          <w:sz w:val="28"/>
        </w:rPr>
      </w:pPr>
      <w:r>
        <w:rPr>
          <w:rFonts w:hAnsi="宋体"/>
          <w:b/>
          <w:sz w:val="28"/>
        </w:rPr>
        <w:t>基金托管人：</w:t>
      </w:r>
      <w:r>
        <w:rPr>
          <w:rFonts w:hint="eastAsia" w:hAnsi="宋体"/>
          <w:b/>
          <w:sz w:val="28"/>
        </w:rPr>
        <w:t>中国农业银行股份有限公司</w:t>
      </w:r>
    </w:p>
    <w:p>
      <w:pPr>
        <w:widowControl/>
        <w:spacing w:line="360" w:lineRule="auto"/>
        <w:ind w:firstLine="420" w:firstLineChars="200"/>
        <w:rPr>
          <w:rFonts w:ascii="宋体" w:hAnsi="宋体"/>
          <w:kern w:val="0"/>
        </w:rPr>
      </w:pPr>
    </w:p>
    <w:p>
      <w:pPr>
        <w:widowControl/>
        <w:spacing w:line="360" w:lineRule="auto"/>
        <w:ind w:firstLine="420" w:firstLineChars="200"/>
        <w:rPr>
          <w:rFonts w:ascii="宋体" w:hAnsi="宋体"/>
          <w:kern w:val="0"/>
        </w:rPr>
      </w:pPr>
    </w:p>
    <w:p>
      <w:pPr>
        <w:widowControl/>
        <w:spacing w:line="360" w:lineRule="auto"/>
        <w:ind w:firstLine="420" w:firstLineChars="200"/>
        <w:rPr>
          <w:rFonts w:ascii="宋体" w:hAnsi="宋体"/>
          <w:kern w:val="0"/>
        </w:rPr>
      </w:pPr>
    </w:p>
    <w:p>
      <w:pPr>
        <w:autoSpaceDE w:val="0"/>
        <w:autoSpaceDN w:val="0"/>
        <w:spacing w:line="360" w:lineRule="auto"/>
        <w:ind w:left="2996" w:hanging="2996"/>
        <w:jc w:val="center"/>
        <w:textAlignment w:val="bottom"/>
        <w:rPr>
          <w:rFonts w:hAnsi="宋体"/>
          <w:b/>
          <w:sz w:val="28"/>
        </w:rPr>
      </w:pPr>
      <w:r>
        <w:rPr>
          <w:rFonts w:hAnsi="宋体"/>
          <w:b/>
          <w:sz w:val="28"/>
        </w:rPr>
        <w:t>二〇二</w:t>
      </w:r>
      <w:r>
        <w:rPr>
          <w:rFonts w:hint="eastAsia" w:hAnsi="宋体"/>
          <w:b/>
          <w:sz w:val="28"/>
        </w:rPr>
        <w:t>六</w:t>
      </w:r>
      <w:r>
        <w:rPr>
          <w:rFonts w:hAnsi="宋体"/>
          <w:b/>
          <w:sz w:val="28"/>
        </w:rPr>
        <w:t>年</w:t>
      </w:r>
      <w:r>
        <w:rPr>
          <w:rFonts w:hint="eastAsia" w:hAnsi="宋体"/>
          <w:b/>
          <w:sz w:val="28"/>
          <w:lang w:val="en-US" w:eastAsia="zh-CN"/>
        </w:rPr>
        <w:t>七</w:t>
      </w:r>
      <w:r>
        <w:rPr>
          <w:rFonts w:hAnsi="宋体"/>
          <w:b/>
          <w:sz w:val="28"/>
        </w:rPr>
        <w:t>月</w:t>
      </w:r>
    </w:p>
    <w:p>
      <w:pPr>
        <w:autoSpaceDE w:val="0"/>
        <w:autoSpaceDN w:val="0"/>
        <w:spacing w:line="360" w:lineRule="auto"/>
        <w:ind w:left="2996" w:hanging="2996"/>
        <w:jc w:val="center"/>
        <w:textAlignment w:val="bottom"/>
        <w:rPr>
          <w:b/>
          <w:sz w:val="24"/>
        </w:rPr>
      </w:pPr>
    </w:p>
    <w:p>
      <w:pPr>
        <w:widowControl/>
        <w:spacing w:line="360" w:lineRule="auto"/>
        <w:jc w:val="left"/>
        <w:rPr>
          <w:rFonts w:hAnsi="宋体"/>
          <w:kern w:val="0"/>
        </w:rPr>
      </w:pPr>
    </w:p>
    <w:p>
      <w:pPr>
        <w:widowControl/>
        <w:spacing w:line="360" w:lineRule="auto"/>
        <w:jc w:val="left"/>
        <w:rPr>
          <w:kern w:val="0"/>
        </w:rPr>
      </w:pPr>
    </w:p>
    <w:p>
      <w:pPr>
        <w:widowControl/>
        <w:spacing w:line="360" w:lineRule="auto"/>
        <w:jc w:val="center"/>
        <w:rPr>
          <w:rFonts w:ascii="宋体" w:hAnsi="宋体"/>
          <w:b/>
          <w:kern w:val="0"/>
          <w:sz w:val="30"/>
        </w:rPr>
      </w:pPr>
      <w:r>
        <w:rPr>
          <w:rFonts w:hint="eastAsia" w:ascii="宋体" w:hAnsi="宋体"/>
          <w:b/>
          <w:kern w:val="0"/>
          <w:sz w:val="30"/>
        </w:rPr>
        <w:t>【</w:t>
      </w:r>
      <w:r>
        <w:rPr>
          <w:rFonts w:ascii="宋体" w:hAnsi="宋体"/>
          <w:b/>
          <w:kern w:val="0"/>
          <w:sz w:val="30"/>
        </w:rPr>
        <w:t>重要提示】</w:t>
      </w:r>
    </w:p>
    <w:p>
      <w:pPr>
        <w:widowControl/>
        <w:adjustRightInd w:val="0"/>
        <w:snapToGrid w:val="0"/>
        <w:spacing w:line="360" w:lineRule="auto"/>
        <w:ind w:firstLine="480" w:firstLineChars="200"/>
        <w:rPr>
          <w:kern w:val="0"/>
          <w:sz w:val="24"/>
        </w:rPr>
      </w:pPr>
      <w:r>
        <w:rPr>
          <w:kern w:val="0"/>
          <w:sz w:val="24"/>
        </w:rPr>
        <w:t>交银施罗德</w:t>
      </w:r>
      <w:r>
        <w:rPr>
          <w:rFonts w:hint="eastAsia"/>
          <w:kern w:val="0"/>
          <w:sz w:val="24"/>
        </w:rPr>
        <w:t>港股消费</w:t>
      </w:r>
      <w:r>
        <w:rPr>
          <w:kern w:val="0"/>
          <w:sz w:val="24"/>
        </w:rPr>
        <w:t>混合型证券投资基金</w:t>
      </w:r>
      <w:r>
        <w:rPr>
          <w:rFonts w:hint="eastAsia"/>
          <w:kern w:val="0"/>
          <w:sz w:val="24"/>
        </w:rPr>
        <w:t>（QDII）</w:t>
      </w:r>
      <w:r>
        <w:rPr>
          <w:kern w:val="0"/>
          <w:sz w:val="24"/>
        </w:rPr>
        <w:t>（以下简称</w:t>
      </w:r>
      <w:r>
        <w:rPr>
          <w:rFonts w:ascii="宋体" w:hAnsi="宋体"/>
          <w:kern w:val="0"/>
          <w:sz w:val="24"/>
        </w:rPr>
        <w:t>“本基金”</w:t>
      </w:r>
      <w:r>
        <w:rPr>
          <w:rFonts w:hAnsi="宋体"/>
          <w:kern w:val="0"/>
          <w:sz w:val="24"/>
        </w:rPr>
        <w:t>）经</w:t>
      </w:r>
      <w:r>
        <w:rPr>
          <w:rFonts w:hint="eastAsia"/>
          <w:kern w:val="0"/>
          <w:sz w:val="24"/>
          <w:lang w:val="en-US" w:eastAsia="zh-CN"/>
        </w:rPr>
        <w:t>2026年4月21日</w:t>
      </w:r>
      <w:r>
        <w:rPr>
          <w:rFonts w:hAnsi="宋体"/>
          <w:kern w:val="0"/>
          <w:sz w:val="24"/>
        </w:rPr>
        <w:t>中国证券监督管理委员会（以下简称</w:t>
      </w:r>
      <w:r>
        <w:rPr>
          <w:rFonts w:ascii="宋体" w:hAnsi="宋体"/>
          <w:kern w:val="0"/>
          <w:sz w:val="24"/>
        </w:rPr>
        <w:t>“中国证监会”</w:t>
      </w:r>
      <w:r>
        <w:rPr>
          <w:rFonts w:hAnsi="宋体"/>
          <w:kern w:val="0"/>
          <w:sz w:val="24"/>
        </w:rPr>
        <w:t>）证监许可</w:t>
      </w:r>
      <w:r>
        <w:rPr>
          <w:rFonts w:hint="eastAsia" w:hAnsi="宋体"/>
          <w:kern w:val="0"/>
          <w:sz w:val="24"/>
        </w:rPr>
        <w:t>【</w:t>
      </w:r>
      <w:r>
        <w:rPr>
          <w:rFonts w:hint="eastAsia" w:hAnsi="宋体"/>
          <w:kern w:val="0"/>
          <w:sz w:val="24"/>
          <w:lang w:val="en-US" w:eastAsia="zh-CN"/>
        </w:rPr>
        <w:t>2026</w:t>
      </w:r>
      <w:r>
        <w:rPr>
          <w:rFonts w:hint="eastAsia" w:hAnsi="宋体"/>
          <w:kern w:val="0"/>
          <w:sz w:val="24"/>
        </w:rPr>
        <w:t>】</w:t>
      </w:r>
      <w:r>
        <w:rPr>
          <w:rFonts w:hint="eastAsia" w:hAnsi="宋体"/>
          <w:kern w:val="0"/>
          <w:sz w:val="24"/>
          <w:lang w:val="en-US" w:eastAsia="zh-CN"/>
        </w:rPr>
        <w:t>922</w:t>
      </w:r>
      <w:r>
        <w:rPr>
          <w:rFonts w:hAnsi="宋体"/>
          <w:kern w:val="0"/>
          <w:sz w:val="24"/>
        </w:rPr>
        <w:t>号文</w:t>
      </w:r>
      <w:r>
        <w:rPr>
          <w:rFonts w:hint="eastAsia" w:hAnsi="宋体"/>
          <w:kern w:val="0"/>
          <w:sz w:val="24"/>
        </w:rPr>
        <w:t>准予</w:t>
      </w:r>
      <w:r>
        <w:rPr>
          <w:rFonts w:hAnsi="宋体"/>
          <w:kern w:val="0"/>
          <w:sz w:val="24"/>
        </w:rPr>
        <w:t>募集</w:t>
      </w:r>
      <w:r>
        <w:rPr>
          <w:rFonts w:hint="eastAsia" w:hAnsi="宋体"/>
          <w:kern w:val="0"/>
          <w:sz w:val="24"/>
        </w:rPr>
        <w:t>注册</w:t>
      </w:r>
      <w:r>
        <w:rPr>
          <w:rFonts w:hAnsi="宋体"/>
          <w:kern w:val="0"/>
          <w:sz w:val="24"/>
        </w:rPr>
        <w:t>。</w:t>
      </w:r>
    </w:p>
    <w:p>
      <w:pPr>
        <w:widowControl/>
        <w:adjustRightInd w:val="0"/>
        <w:snapToGrid w:val="0"/>
        <w:spacing w:line="360" w:lineRule="auto"/>
        <w:ind w:firstLine="480" w:firstLineChars="20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pPr>
        <w:widowControl/>
        <w:adjustRightInd w:val="0"/>
        <w:snapToGrid w:val="0"/>
        <w:spacing w:line="360" w:lineRule="auto"/>
        <w:ind w:firstLine="480" w:firstLineChars="200"/>
        <w:rPr>
          <w:kern w:val="0"/>
          <w:sz w:val="24"/>
        </w:rPr>
      </w:pPr>
      <w:r>
        <w:rPr>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pPr>
        <w:widowControl/>
        <w:adjustRightInd w:val="0"/>
        <w:snapToGrid w:val="0"/>
        <w:spacing w:line="360" w:lineRule="auto"/>
        <w:ind w:firstLine="480" w:firstLineChars="200"/>
        <w:rPr>
          <w:kern w:val="0"/>
          <w:sz w:val="24"/>
        </w:rPr>
      </w:pPr>
      <w:r>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w:t>
      </w:r>
      <w:r>
        <w:rPr>
          <w:rFonts w:hint="eastAsia"/>
          <w:kern w:val="0"/>
          <w:sz w:val="24"/>
        </w:rPr>
        <w:t>基金</w:t>
      </w:r>
      <w:r>
        <w:rPr>
          <w:kern w:val="0"/>
          <w:sz w:val="24"/>
        </w:rPr>
        <w:t>份额享受基金的收益，但同时也需承担相应的投资风险。投资本基金可能遇到的风险包括：</w:t>
      </w:r>
      <w:r>
        <w:rPr>
          <w:rFonts w:ascii="宋体" w:hAnsi="宋体"/>
          <w:kern w:val="0"/>
          <w:sz w:val="24"/>
        </w:rPr>
        <w:t>因受到经济因素、政治因素、投资心理和交易制度等各种因素的影响而引起的</w:t>
      </w:r>
      <w:r>
        <w:rPr>
          <w:rFonts w:hint="eastAsia" w:ascii="宋体" w:hAnsi="宋体"/>
          <w:kern w:val="0"/>
          <w:sz w:val="24"/>
        </w:rPr>
        <w:t>市场风险；基金管理人在基金管理运作过程中产生的基金管理风险；流动性风险（包括实施</w:t>
      </w:r>
      <w:r>
        <w:rPr>
          <w:rFonts w:ascii="宋体" w:hAnsi="宋体"/>
          <w:kern w:val="0"/>
          <w:sz w:val="24"/>
        </w:rPr>
        <w:t>侧袋机制时的特定风险）</w:t>
      </w:r>
      <w:r>
        <w:rPr>
          <w:rFonts w:hint="eastAsia" w:ascii="宋体" w:hAnsi="宋体"/>
          <w:kern w:val="0"/>
          <w:sz w:val="24"/>
        </w:rPr>
        <w:t>；信用风险；本基金的特有风险；本基金法律文件风险收益特征表述与销售机构基金风险评价可能不一致的风险；投资本基金的其他风险等等</w:t>
      </w:r>
      <w:r>
        <w:rPr>
          <w:kern w:val="0"/>
          <w:sz w:val="24"/>
        </w:rPr>
        <w:t>。</w:t>
      </w:r>
    </w:p>
    <w:p>
      <w:pPr>
        <w:widowControl/>
        <w:adjustRightInd w:val="0"/>
        <w:snapToGrid w:val="0"/>
        <w:spacing w:line="360" w:lineRule="auto"/>
        <w:ind w:firstLine="480" w:firstLineChars="200"/>
        <w:rPr>
          <w:kern w:val="0"/>
          <w:sz w:val="24"/>
        </w:rPr>
      </w:pPr>
      <w:r>
        <w:rPr>
          <w:rFonts w:hint="eastAsia"/>
          <w:kern w:val="0"/>
          <w:sz w:val="24"/>
        </w:rPr>
        <w:t>本基金是一只混合型基金，其预期风险和预期收益理论上高于债券型基金和货币市场基金，低于股票型基金。</w:t>
      </w:r>
    </w:p>
    <w:p>
      <w:pPr>
        <w:widowControl/>
        <w:adjustRightInd w:val="0"/>
        <w:snapToGrid w:val="0"/>
        <w:spacing w:line="360" w:lineRule="auto"/>
        <w:ind w:firstLine="480" w:firstLineChars="200"/>
        <w:rPr>
          <w:rFonts w:hAnsi="宋体"/>
          <w:sz w:val="24"/>
        </w:rPr>
      </w:pPr>
      <w:r>
        <w:rPr>
          <w:rFonts w:hint="eastAsia"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widowControl/>
        <w:adjustRightInd w:val="0"/>
        <w:snapToGrid w:val="0"/>
        <w:spacing w:line="360" w:lineRule="auto"/>
        <w:ind w:firstLine="480" w:firstLineChars="200"/>
        <w:rPr>
          <w:rFonts w:hAnsi="宋体"/>
          <w:sz w:val="24"/>
        </w:rPr>
      </w:pPr>
      <w:r>
        <w:rPr>
          <w:rFonts w:hint="eastAsia" w:hAnsi="宋体"/>
          <w:sz w:val="24"/>
        </w:rPr>
        <w:t>本基金可投资于股票期权，股票期权的风险主要包括市场风险、流动性风险、保证金风险、信用风险和操作风险等。</w:t>
      </w:r>
    </w:p>
    <w:p>
      <w:pPr>
        <w:widowControl/>
        <w:adjustRightInd w:val="0"/>
        <w:snapToGrid w:val="0"/>
        <w:spacing w:line="360" w:lineRule="auto"/>
        <w:ind w:firstLine="480" w:firstLineChars="200"/>
        <w:rPr>
          <w:rFonts w:hAnsi="宋体"/>
          <w:sz w:val="24"/>
        </w:rPr>
      </w:pPr>
      <w:r>
        <w:rPr>
          <w:rFonts w:hint="eastAsia" w:hAnsi="宋体"/>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sz w:val="24"/>
        </w:rPr>
      </w:pPr>
      <w:r>
        <w:rPr>
          <w:rFonts w:hint="eastAsia" w:hAnsi="宋体"/>
          <w:sz w:val="24"/>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Ansi="宋体"/>
          <w:sz w:val="24"/>
        </w:rPr>
      </w:pPr>
      <w:r>
        <w:rPr>
          <w:rFonts w:hint="eastAsia" w:hAnsi="宋体"/>
          <w:sz w:val="24"/>
        </w:rPr>
        <w:t>本基金投资于港股，会面临港股或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pPr>
        <w:widowControl/>
        <w:adjustRightInd w:val="0"/>
        <w:snapToGrid w:val="0"/>
        <w:spacing w:line="360" w:lineRule="auto"/>
        <w:ind w:firstLine="480" w:firstLineChars="200"/>
        <w:rPr>
          <w:rFonts w:hAnsi="宋体"/>
          <w:bCs/>
          <w:sz w:val="24"/>
        </w:rPr>
      </w:pPr>
      <w:r>
        <w:rPr>
          <w:rFonts w:hint="eastAsia" w:hAnsi="宋体"/>
          <w:sz w:val="24"/>
        </w:rPr>
        <w:t>本基金可投资于境外证券，除了需要承担与境内证券投资基金类似的市场波动风险等一般投资风险之外，本基金还面临汇率风险等境外市场投资所面临的特别投资风险，主要包括境外市场风险、流动性风险、境外上市公司经营风险、利率风险、衍生品风险、</w:t>
      </w:r>
      <w:r>
        <w:rPr>
          <w:rFonts w:hint="eastAsia" w:hAnsi="宋体"/>
          <w:sz w:val="24"/>
          <w:lang w:val="en-US" w:eastAsia="zh-CN"/>
        </w:rPr>
        <w:t>会计核算风险、税务风险、法律和</w:t>
      </w:r>
      <w:r>
        <w:rPr>
          <w:rFonts w:hint="eastAsia" w:hAnsi="宋体"/>
          <w:sz w:val="24"/>
        </w:rPr>
        <w:t>政府管制风险、政治风险、信用风险、</w:t>
      </w:r>
      <w:r>
        <w:rPr>
          <w:rFonts w:hint="eastAsia" w:hAnsi="宋体"/>
          <w:sz w:val="24"/>
          <w:lang w:val="en-US" w:eastAsia="zh-CN"/>
        </w:rPr>
        <w:t>交易结算风险、</w:t>
      </w:r>
      <w:r>
        <w:rPr>
          <w:rFonts w:hint="eastAsia" w:hAnsi="宋体"/>
          <w:sz w:val="24"/>
        </w:rPr>
        <w:t>引入境外托管人的风险、境外投资额度不足或受政策影响可能产生的风险</w:t>
      </w:r>
      <w:r>
        <w:rPr>
          <w:rFonts w:hint="eastAsia" w:hAnsi="宋体"/>
          <w:sz w:val="24"/>
          <w:lang w:eastAsia="zh-CN"/>
        </w:rPr>
        <w:t>、参与境外证券借贷、正逆回购的风险</w:t>
      </w:r>
      <w:r>
        <w:rPr>
          <w:rFonts w:hint="eastAsia" w:hAnsi="宋体"/>
          <w:sz w:val="24"/>
        </w:rPr>
        <w:t>等。</w:t>
      </w:r>
      <w:r>
        <w:rPr>
          <w:rFonts w:hint="eastAsia" w:hAnsi="宋体"/>
          <w:bCs/>
          <w:sz w:val="24"/>
        </w:rPr>
        <w:t>具体风险请查阅本基金招募说明书“风险揭示”章节的具体内容。</w:t>
      </w:r>
    </w:p>
    <w:p>
      <w:pPr>
        <w:widowControl/>
        <w:adjustRightInd w:val="0"/>
        <w:snapToGrid w:val="0"/>
        <w:spacing w:line="360" w:lineRule="auto"/>
        <w:ind w:firstLine="480" w:firstLineChars="200"/>
        <w:rPr>
          <w:rFonts w:hAnsi="宋体"/>
          <w:bCs/>
          <w:sz w:val="24"/>
        </w:rPr>
      </w:pPr>
      <w:r>
        <w:rPr>
          <w:rFonts w:hint="eastAsia" w:hAnsi="宋体"/>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hAnsi="宋体"/>
          <w:bCs/>
          <w:sz w:val="24"/>
        </w:rPr>
        <w:t>“</w:t>
      </w:r>
      <w:r>
        <w:rPr>
          <w:rFonts w:hint="eastAsia" w:hAnsi="宋体"/>
          <w:bCs/>
          <w:sz w:val="24"/>
        </w:rPr>
        <w:t>风险揭示</w:t>
      </w:r>
      <w:r>
        <w:rPr>
          <w:rFonts w:hAnsi="宋体"/>
          <w:bCs/>
          <w:sz w:val="24"/>
        </w:rPr>
        <w:t>”</w:t>
      </w:r>
      <w:r>
        <w:rPr>
          <w:rFonts w:hint="eastAsia" w:hAnsi="宋体"/>
          <w:bCs/>
          <w:sz w:val="24"/>
        </w:rPr>
        <w:t>章节内容。</w:t>
      </w:r>
    </w:p>
    <w:p>
      <w:pPr>
        <w:widowControl/>
        <w:adjustRightInd w:val="0"/>
        <w:snapToGrid w:val="0"/>
        <w:spacing w:line="360" w:lineRule="auto"/>
        <w:ind w:firstLine="480" w:firstLineChars="200"/>
        <w:rPr>
          <w:rFonts w:hAnsi="宋体"/>
          <w:sz w:val="24"/>
        </w:rPr>
      </w:pPr>
      <w:r>
        <w:rPr>
          <w:rFonts w:hint="eastAsia" w:hAnsi="宋体"/>
          <w:bCs/>
          <w:sz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pPr>
        <w:widowControl/>
        <w:adjustRightInd w:val="0"/>
        <w:snapToGrid w:val="0"/>
        <w:spacing w:line="360" w:lineRule="auto"/>
        <w:ind w:firstLine="480" w:firstLineChars="200"/>
        <w:rPr>
          <w:kern w:val="0"/>
          <w:sz w:val="24"/>
        </w:rPr>
      </w:pPr>
      <w:r>
        <w:rPr>
          <w:rFonts w:hint="eastAsia" w:hAnsi="宋体"/>
          <w:bCs/>
          <w:sz w:val="24"/>
        </w:rPr>
        <w:t>本基金可根据投资策略需要或市场环境的变化，选择将部分基金资产投资于科创板股票或选择不将基金资产投资于科创板股票，基金资产并非必然投资于科创板股票。</w:t>
      </w:r>
    </w:p>
    <w:p>
      <w:pPr>
        <w:widowControl/>
        <w:adjustRightInd w:val="0"/>
        <w:snapToGrid w:val="0"/>
        <w:spacing w:line="360" w:lineRule="auto"/>
        <w:ind w:firstLine="480" w:firstLineChars="200"/>
        <w:rPr>
          <w:kern w:val="0"/>
          <w:sz w:val="24"/>
        </w:rPr>
      </w:pPr>
      <w:r>
        <w:rPr>
          <w:kern w:val="0"/>
          <w:sz w:val="24"/>
        </w:rPr>
        <w:t>投资有风险，投资人在投资本基金前应认真阅读本基金的招募说明书、基金合同</w:t>
      </w:r>
      <w:r>
        <w:rPr>
          <w:rFonts w:hint="eastAsia"/>
          <w:kern w:val="0"/>
          <w:sz w:val="24"/>
        </w:rPr>
        <w:t>、</w:t>
      </w:r>
      <w:r>
        <w:rPr>
          <w:kern w:val="0"/>
          <w:sz w:val="24"/>
        </w:rPr>
        <w:t>基金产品资料概要等信息披露文件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本基金单一投资者持有基金份额数不得超过基金份额总数的50%，但在基金运作过程中因基金份额赎回等情形导致被动超过前述50%比例的除外。</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t>目  录</w:t>
      </w:r>
    </w:p>
    <w:p>
      <w:pPr>
        <w:pStyle w:val="22"/>
        <w:tabs>
          <w:tab w:val="right" w:leader="dot" w:pos="8640"/>
          <w:tab w:val="clear" w:pos="8450"/>
        </w:tabs>
        <w:rPr>
          <w:rFonts w:hint="eastAsia" w:ascii="宋体" w:eastAsia="宋体" w:cs="宋体"/>
          <w:szCs w:val="24"/>
        </w:rPr>
      </w:pPr>
      <w:bookmarkStart w:id="0" w:name="_Toc109537379"/>
      <w:r>
        <w:rPr>
          <w:rFonts w:hint="eastAsia" w:ascii="宋体" w:eastAsia="宋体" w:cs="宋体"/>
          <w:kern w:val="0"/>
          <w:szCs w:val="24"/>
        </w:rPr>
        <w:fldChar w:fldCharType="begin"/>
      </w:r>
      <w:r>
        <w:rPr>
          <w:rFonts w:hint="eastAsia" w:ascii="宋体" w:eastAsia="宋体" w:cs="宋体"/>
          <w:kern w:val="0"/>
          <w:szCs w:val="24"/>
        </w:rPr>
        <w:instrText xml:space="preserve"> TOC \o "1-1" \h \z \u </w:instrText>
      </w:r>
      <w:r>
        <w:rPr>
          <w:rFonts w:hint="eastAsia" w:ascii="宋体" w:eastAsia="宋体" w:cs="宋体"/>
          <w:kern w:val="0"/>
          <w:szCs w:val="24"/>
        </w:rPr>
        <w:fldChar w:fldCharType="separate"/>
      </w:r>
      <w:r>
        <w:rPr>
          <w:rFonts w:hint="eastAsia" w:ascii="宋体" w:eastAsia="宋体" w:cs="宋体"/>
          <w:szCs w:val="24"/>
        </w:rPr>
        <w:fldChar w:fldCharType="begin"/>
      </w:r>
      <w:r>
        <w:rPr>
          <w:rFonts w:hint="eastAsia" w:ascii="宋体" w:eastAsia="宋体" w:cs="宋体"/>
          <w:szCs w:val="24"/>
        </w:rPr>
        <w:instrText xml:space="preserve"> HYPERLINK \l _Toc15684 </w:instrText>
      </w:r>
      <w:r>
        <w:rPr>
          <w:rFonts w:hint="eastAsia" w:ascii="宋体" w:eastAsia="宋体" w:cs="宋体"/>
          <w:szCs w:val="24"/>
        </w:rPr>
        <w:fldChar w:fldCharType="separate"/>
      </w:r>
      <w:r>
        <w:rPr>
          <w:rFonts w:hint="eastAsia" w:ascii="宋体" w:hAnsi="宋体" w:eastAsia="宋体" w:cs="宋体"/>
          <w:kern w:val="0"/>
          <w:szCs w:val="24"/>
        </w:rPr>
        <w:t>一、绪言</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_Toc15684 \h </w:instrText>
      </w:r>
      <w:r>
        <w:rPr>
          <w:rFonts w:hint="eastAsia" w:ascii="宋体" w:eastAsia="宋体" w:cs="宋体"/>
          <w:szCs w:val="24"/>
        </w:rPr>
        <w:fldChar w:fldCharType="separate"/>
      </w:r>
      <w:r>
        <w:rPr>
          <w:rFonts w:hint="eastAsia" w:ascii="宋体" w:eastAsia="宋体" w:cs="宋体"/>
          <w:szCs w:val="24"/>
        </w:rPr>
        <w:t>7</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_Toc19486 </w:instrText>
      </w:r>
      <w:r>
        <w:rPr>
          <w:rFonts w:hint="eastAsia" w:ascii="宋体" w:eastAsia="宋体" w:cs="宋体"/>
          <w:szCs w:val="24"/>
        </w:rPr>
        <w:fldChar w:fldCharType="separate"/>
      </w:r>
      <w:r>
        <w:rPr>
          <w:rFonts w:hint="eastAsia" w:ascii="宋体" w:hAnsi="宋体" w:eastAsia="宋体" w:cs="宋体"/>
          <w:kern w:val="0"/>
          <w:szCs w:val="24"/>
        </w:rPr>
        <w:t>二、释义</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_Toc19486 \h </w:instrText>
      </w:r>
      <w:r>
        <w:rPr>
          <w:rFonts w:hint="eastAsia" w:ascii="宋体" w:eastAsia="宋体" w:cs="宋体"/>
          <w:szCs w:val="24"/>
        </w:rPr>
        <w:fldChar w:fldCharType="separate"/>
      </w:r>
      <w:r>
        <w:rPr>
          <w:rFonts w:hint="eastAsia" w:ascii="宋体" w:eastAsia="宋体" w:cs="宋体"/>
          <w:szCs w:val="24"/>
        </w:rPr>
        <w:t>8</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_Toc23516 </w:instrText>
      </w:r>
      <w:r>
        <w:rPr>
          <w:rFonts w:hint="eastAsia" w:ascii="宋体" w:eastAsia="宋体" w:cs="宋体"/>
          <w:szCs w:val="24"/>
        </w:rPr>
        <w:fldChar w:fldCharType="separate"/>
      </w:r>
      <w:r>
        <w:rPr>
          <w:rFonts w:hint="eastAsia" w:ascii="宋体" w:hAnsi="宋体" w:eastAsia="宋体" w:cs="宋体"/>
          <w:kern w:val="0"/>
          <w:szCs w:val="24"/>
        </w:rPr>
        <w:t>三、</w:t>
      </w:r>
      <w:r>
        <w:rPr>
          <w:rFonts w:hint="eastAsia" w:ascii="宋体" w:hAnsi="宋体" w:eastAsia="宋体" w:cs="宋体"/>
          <w:kern w:val="0"/>
          <w:szCs w:val="24"/>
          <w:lang w:val="en-US" w:eastAsia="zh-CN"/>
        </w:rPr>
        <w:t>风险揭示</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_Toc23516 \h </w:instrText>
      </w:r>
      <w:r>
        <w:rPr>
          <w:rFonts w:hint="eastAsia" w:ascii="宋体" w:eastAsia="宋体" w:cs="宋体"/>
          <w:szCs w:val="24"/>
        </w:rPr>
        <w:fldChar w:fldCharType="separate"/>
      </w:r>
      <w:r>
        <w:rPr>
          <w:rFonts w:hint="eastAsia" w:ascii="宋体" w:eastAsia="宋体" w:cs="宋体"/>
          <w:szCs w:val="24"/>
        </w:rPr>
        <w:t>14</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_Toc28209 </w:instrText>
      </w:r>
      <w:r>
        <w:rPr>
          <w:rFonts w:hint="eastAsia" w:ascii="宋体" w:eastAsia="宋体" w:cs="宋体"/>
          <w:szCs w:val="24"/>
        </w:rPr>
        <w:fldChar w:fldCharType="separate"/>
      </w:r>
      <w:r>
        <w:rPr>
          <w:rFonts w:hint="eastAsia" w:ascii="宋体" w:hAnsi="宋体" w:eastAsia="宋体" w:cs="宋体"/>
          <w:bCs w:val="0"/>
          <w:kern w:val="0"/>
          <w:szCs w:val="24"/>
          <w:lang w:val="en-US" w:eastAsia="zh-CN" w:bidi="ar"/>
        </w:rPr>
        <w:t>四、基金的投资</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_Toc28209 \h </w:instrText>
      </w:r>
      <w:r>
        <w:rPr>
          <w:rFonts w:hint="eastAsia" w:ascii="宋体" w:eastAsia="宋体" w:cs="宋体"/>
          <w:szCs w:val="24"/>
        </w:rPr>
        <w:fldChar w:fldCharType="separate"/>
      </w:r>
      <w:r>
        <w:rPr>
          <w:rFonts w:hint="eastAsia" w:ascii="宋体" w:eastAsia="宋体" w:cs="宋体"/>
          <w:szCs w:val="24"/>
        </w:rPr>
        <w:t>29</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_Toc20278 </w:instrText>
      </w:r>
      <w:r>
        <w:rPr>
          <w:rFonts w:hint="eastAsia" w:ascii="宋体" w:eastAsia="宋体" w:cs="宋体"/>
          <w:szCs w:val="24"/>
        </w:rPr>
        <w:fldChar w:fldCharType="separate"/>
      </w:r>
      <w:r>
        <w:rPr>
          <w:rFonts w:hint="eastAsia" w:ascii="宋体" w:hAnsi="宋体" w:eastAsia="宋体" w:cs="宋体"/>
          <w:kern w:val="0"/>
          <w:szCs w:val="24"/>
          <w:lang w:val="en-US" w:eastAsia="zh-CN"/>
        </w:rPr>
        <w:t>五</w:t>
      </w:r>
      <w:r>
        <w:rPr>
          <w:rFonts w:hint="eastAsia" w:ascii="宋体" w:hAnsi="宋体" w:eastAsia="宋体" w:cs="宋体"/>
          <w:kern w:val="0"/>
          <w:szCs w:val="24"/>
        </w:rPr>
        <w:t>、基金管理人</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_Toc20278 \h </w:instrText>
      </w:r>
      <w:r>
        <w:rPr>
          <w:rFonts w:hint="eastAsia" w:ascii="宋体" w:eastAsia="宋体" w:cs="宋体"/>
          <w:szCs w:val="24"/>
        </w:rPr>
        <w:fldChar w:fldCharType="separate"/>
      </w:r>
      <w:r>
        <w:rPr>
          <w:rFonts w:hint="eastAsia" w:ascii="宋体" w:eastAsia="宋体" w:cs="宋体"/>
          <w:szCs w:val="24"/>
        </w:rPr>
        <w:t>44</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_Toc3601 </w:instrText>
      </w:r>
      <w:r>
        <w:rPr>
          <w:rFonts w:hint="eastAsia" w:ascii="宋体" w:eastAsia="宋体" w:cs="宋体"/>
          <w:szCs w:val="24"/>
        </w:rPr>
        <w:fldChar w:fldCharType="separate"/>
      </w:r>
      <w:r>
        <w:rPr>
          <w:rFonts w:hint="eastAsia" w:ascii="宋体" w:hAnsi="宋体" w:eastAsia="宋体" w:cs="宋体"/>
          <w:kern w:val="0"/>
          <w:szCs w:val="24"/>
          <w:lang w:val="en-US" w:eastAsia="zh-CN"/>
        </w:rPr>
        <w:t>六</w:t>
      </w:r>
      <w:r>
        <w:rPr>
          <w:rFonts w:hint="eastAsia" w:ascii="宋体" w:hAnsi="宋体" w:eastAsia="宋体" w:cs="宋体"/>
          <w:kern w:val="0"/>
          <w:szCs w:val="24"/>
        </w:rPr>
        <w:t>、基金的募集</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_Toc3601 \h </w:instrText>
      </w:r>
      <w:r>
        <w:rPr>
          <w:rFonts w:hint="eastAsia" w:ascii="宋体" w:eastAsia="宋体" w:cs="宋体"/>
          <w:szCs w:val="24"/>
        </w:rPr>
        <w:fldChar w:fldCharType="separate"/>
      </w:r>
      <w:r>
        <w:rPr>
          <w:rFonts w:hint="eastAsia" w:ascii="宋体" w:eastAsia="宋体" w:cs="宋体"/>
          <w:szCs w:val="24"/>
        </w:rPr>
        <w:t>52</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_Toc28142 </w:instrText>
      </w:r>
      <w:r>
        <w:rPr>
          <w:rFonts w:hint="eastAsia" w:ascii="宋体" w:eastAsia="宋体" w:cs="宋体"/>
          <w:szCs w:val="24"/>
        </w:rPr>
        <w:fldChar w:fldCharType="separate"/>
      </w:r>
      <w:r>
        <w:rPr>
          <w:rFonts w:hint="eastAsia" w:ascii="宋体" w:hAnsi="宋体" w:eastAsia="宋体" w:cs="宋体"/>
          <w:kern w:val="0"/>
          <w:szCs w:val="24"/>
          <w:lang w:val="en-US" w:eastAsia="zh-CN"/>
        </w:rPr>
        <w:t>七</w:t>
      </w:r>
      <w:r>
        <w:rPr>
          <w:rFonts w:hint="eastAsia" w:ascii="宋体" w:hAnsi="宋体" w:eastAsia="宋体" w:cs="宋体"/>
          <w:kern w:val="0"/>
          <w:szCs w:val="24"/>
        </w:rPr>
        <w:t>、基金合同的生效</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_Toc28142 \h </w:instrText>
      </w:r>
      <w:r>
        <w:rPr>
          <w:rFonts w:hint="eastAsia" w:ascii="宋体" w:eastAsia="宋体" w:cs="宋体"/>
          <w:szCs w:val="24"/>
        </w:rPr>
        <w:fldChar w:fldCharType="separate"/>
      </w:r>
      <w:r>
        <w:rPr>
          <w:rFonts w:hint="eastAsia" w:ascii="宋体" w:eastAsia="宋体" w:cs="宋体"/>
          <w:szCs w:val="24"/>
        </w:rPr>
        <w:t>58</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_Toc29306 </w:instrText>
      </w:r>
      <w:r>
        <w:rPr>
          <w:rFonts w:hint="eastAsia" w:ascii="宋体" w:eastAsia="宋体" w:cs="宋体"/>
          <w:szCs w:val="24"/>
        </w:rPr>
        <w:fldChar w:fldCharType="separate"/>
      </w:r>
      <w:r>
        <w:rPr>
          <w:rFonts w:hint="eastAsia" w:ascii="宋体" w:hAnsi="宋体" w:eastAsia="宋体" w:cs="宋体"/>
          <w:kern w:val="0"/>
          <w:szCs w:val="24"/>
          <w:lang w:val="en-US" w:eastAsia="zh-CN"/>
        </w:rPr>
        <w:t>八</w:t>
      </w:r>
      <w:r>
        <w:rPr>
          <w:rFonts w:hint="eastAsia" w:ascii="宋体" w:hAnsi="宋体" w:eastAsia="宋体" w:cs="宋体"/>
          <w:kern w:val="0"/>
          <w:szCs w:val="24"/>
        </w:rPr>
        <w:t>、基金份额的申购与赎回</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_Toc29306 \h </w:instrText>
      </w:r>
      <w:r>
        <w:rPr>
          <w:rFonts w:hint="eastAsia" w:ascii="宋体" w:eastAsia="宋体" w:cs="宋体"/>
          <w:szCs w:val="24"/>
        </w:rPr>
        <w:fldChar w:fldCharType="separate"/>
      </w:r>
      <w:r>
        <w:rPr>
          <w:rFonts w:hint="eastAsia" w:ascii="宋体" w:eastAsia="宋体" w:cs="宋体"/>
          <w:szCs w:val="24"/>
        </w:rPr>
        <w:t>59</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_Toc19490 </w:instrText>
      </w:r>
      <w:r>
        <w:rPr>
          <w:rFonts w:hint="eastAsia" w:ascii="宋体" w:eastAsia="宋体" w:cs="宋体"/>
          <w:szCs w:val="24"/>
        </w:rPr>
        <w:fldChar w:fldCharType="separate"/>
      </w:r>
      <w:r>
        <w:rPr>
          <w:rFonts w:hint="eastAsia" w:ascii="宋体" w:hAnsi="宋体" w:eastAsia="宋体" w:cs="宋体"/>
          <w:kern w:val="0"/>
          <w:szCs w:val="24"/>
          <w:lang w:val="en-US" w:eastAsia="zh-CN"/>
        </w:rPr>
        <w:t>九</w:t>
      </w:r>
      <w:r>
        <w:rPr>
          <w:rFonts w:hint="eastAsia" w:ascii="宋体" w:hAnsi="宋体" w:eastAsia="宋体" w:cs="宋体"/>
          <w:kern w:val="0"/>
          <w:szCs w:val="24"/>
        </w:rPr>
        <w:t>、基金的费用与税收</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_Toc19490 \h </w:instrText>
      </w:r>
      <w:r>
        <w:rPr>
          <w:rFonts w:hint="eastAsia" w:ascii="宋体" w:eastAsia="宋体" w:cs="宋体"/>
          <w:szCs w:val="24"/>
        </w:rPr>
        <w:fldChar w:fldCharType="separate"/>
      </w:r>
      <w:r>
        <w:rPr>
          <w:rFonts w:hint="eastAsia" w:ascii="宋体" w:eastAsia="宋体" w:cs="宋体"/>
          <w:szCs w:val="24"/>
        </w:rPr>
        <w:t>74</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_Toc20020 </w:instrText>
      </w:r>
      <w:r>
        <w:rPr>
          <w:rFonts w:hint="eastAsia" w:ascii="宋体" w:eastAsia="宋体" w:cs="宋体"/>
          <w:szCs w:val="24"/>
        </w:rPr>
        <w:fldChar w:fldCharType="separate"/>
      </w:r>
      <w:r>
        <w:rPr>
          <w:rFonts w:hint="eastAsia" w:ascii="宋体" w:hAnsi="宋体" w:eastAsia="宋体" w:cs="宋体"/>
          <w:kern w:val="0"/>
          <w:szCs w:val="24"/>
        </w:rPr>
        <w:t>十、基金的财产</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_Toc20020 \h </w:instrText>
      </w:r>
      <w:r>
        <w:rPr>
          <w:rFonts w:hint="eastAsia" w:ascii="宋体" w:eastAsia="宋体" w:cs="宋体"/>
          <w:szCs w:val="24"/>
        </w:rPr>
        <w:fldChar w:fldCharType="separate"/>
      </w:r>
      <w:r>
        <w:rPr>
          <w:rFonts w:hint="eastAsia" w:ascii="宋体" w:eastAsia="宋体" w:cs="宋体"/>
          <w:szCs w:val="24"/>
        </w:rPr>
        <w:t>78</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_Toc3087 </w:instrText>
      </w:r>
      <w:r>
        <w:rPr>
          <w:rFonts w:hint="eastAsia" w:ascii="宋体" w:eastAsia="宋体" w:cs="宋体"/>
          <w:szCs w:val="24"/>
        </w:rPr>
        <w:fldChar w:fldCharType="separate"/>
      </w:r>
      <w:r>
        <w:rPr>
          <w:rFonts w:hint="eastAsia" w:ascii="宋体" w:hAnsi="宋体" w:eastAsia="宋体" w:cs="宋体"/>
          <w:kern w:val="0"/>
          <w:szCs w:val="24"/>
        </w:rPr>
        <w:t>十</w:t>
      </w:r>
      <w:r>
        <w:rPr>
          <w:rFonts w:hint="eastAsia" w:ascii="宋体" w:hAnsi="宋体" w:eastAsia="宋体" w:cs="宋体"/>
          <w:kern w:val="0"/>
          <w:szCs w:val="24"/>
          <w:lang w:val="en-US" w:eastAsia="zh-CN"/>
        </w:rPr>
        <w:t>一</w:t>
      </w:r>
      <w:r>
        <w:rPr>
          <w:rFonts w:hint="eastAsia" w:ascii="宋体" w:hAnsi="宋体" w:eastAsia="宋体" w:cs="宋体"/>
          <w:kern w:val="0"/>
          <w:szCs w:val="24"/>
        </w:rPr>
        <w:t>、基金资产的估值</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_Toc3087 \h </w:instrText>
      </w:r>
      <w:r>
        <w:rPr>
          <w:rFonts w:hint="eastAsia" w:ascii="宋体" w:eastAsia="宋体" w:cs="宋体"/>
          <w:szCs w:val="24"/>
        </w:rPr>
        <w:fldChar w:fldCharType="separate"/>
      </w:r>
      <w:r>
        <w:rPr>
          <w:rFonts w:hint="eastAsia" w:ascii="宋体" w:eastAsia="宋体" w:cs="宋体"/>
          <w:szCs w:val="24"/>
        </w:rPr>
        <w:t>80</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_Toc29372 </w:instrText>
      </w:r>
      <w:r>
        <w:rPr>
          <w:rFonts w:hint="eastAsia" w:ascii="宋体" w:eastAsia="宋体" w:cs="宋体"/>
          <w:szCs w:val="24"/>
        </w:rPr>
        <w:fldChar w:fldCharType="separate"/>
      </w:r>
      <w:r>
        <w:rPr>
          <w:rFonts w:hint="eastAsia" w:ascii="宋体" w:hAnsi="宋体" w:eastAsia="宋体" w:cs="宋体"/>
          <w:kern w:val="0"/>
          <w:szCs w:val="24"/>
        </w:rPr>
        <w:t>十</w:t>
      </w:r>
      <w:r>
        <w:rPr>
          <w:rFonts w:hint="eastAsia" w:ascii="宋体" w:hAnsi="宋体" w:eastAsia="宋体" w:cs="宋体"/>
          <w:kern w:val="0"/>
          <w:szCs w:val="24"/>
          <w:lang w:val="en-US" w:eastAsia="zh-CN"/>
        </w:rPr>
        <w:t>二</w:t>
      </w:r>
      <w:r>
        <w:rPr>
          <w:rFonts w:hint="eastAsia" w:ascii="宋体" w:hAnsi="宋体" w:eastAsia="宋体" w:cs="宋体"/>
          <w:kern w:val="0"/>
          <w:szCs w:val="24"/>
        </w:rPr>
        <w:t>、基金收益与分配</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_Toc29372 \h </w:instrText>
      </w:r>
      <w:r>
        <w:rPr>
          <w:rFonts w:hint="eastAsia" w:ascii="宋体" w:eastAsia="宋体" w:cs="宋体"/>
          <w:szCs w:val="24"/>
        </w:rPr>
        <w:fldChar w:fldCharType="separate"/>
      </w:r>
      <w:r>
        <w:rPr>
          <w:rFonts w:hint="eastAsia" w:ascii="宋体" w:eastAsia="宋体" w:cs="宋体"/>
          <w:szCs w:val="24"/>
        </w:rPr>
        <w:t>88</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_Toc22696 </w:instrText>
      </w:r>
      <w:r>
        <w:rPr>
          <w:rFonts w:hint="eastAsia" w:ascii="宋体" w:eastAsia="宋体" w:cs="宋体"/>
          <w:szCs w:val="24"/>
        </w:rPr>
        <w:fldChar w:fldCharType="separate"/>
      </w:r>
      <w:r>
        <w:rPr>
          <w:rFonts w:hint="eastAsia" w:ascii="宋体" w:hAnsi="宋体" w:eastAsia="宋体" w:cs="宋体"/>
          <w:kern w:val="0"/>
          <w:szCs w:val="24"/>
        </w:rPr>
        <w:t>十</w:t>
      </w:r>
      <w:r>
        <w:rPr>
          <w:rFonts w:hint="eastAsia" w:ascii="宋体" w:hAnsi="宋体" w:eastAsia="宋体" w:cs="宋体"/>
          <w:kern w:val="0"/>
          <w:szCs w:val="24"/>
          <w:lang w:val="en-US" w:eastAsia="zh-CN"/>
        </w:rPr>
        <w:t>三</w:t>
      </w:r>
      <w:r>
        <w:rPr>
          <w:rFonts w:hint="eastAsia" w:ascii="宋体" w:hAnsi="宋体" w:eastAsia="宋体" w:cs="宋体"/>
          <w:kern w:val="0"/>
          <w:szCs w:val="24"/>
        </w:rPr>
        <w:t>、基金的会计与审计</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_Toc22696 \h </w:instrText>
      </w:r>
      <w:r>
        <w:rPr>
          <w:rFonts w:hint="eastAsia" w:ascii="宋体" w:eastAsia="宋体" w:cs="宋体"/>
          <w:szCs w:val="24"/>
        </w:rPr>
        <w:fldChar w:fldCharType="separate"/>
      </w:r>
      <w:r>
        <w:rPr>
          <w:rFonts w:hint="eastAsia" w:ascii="宋体" w:eastAsia="宋体" w:cs="宋体"/>
          <w:szCs w:val="24"/>
        </w:rPr>
        <w:t>90</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_Toc10490 </w:instrText>
      </w:r>
      <w:r>
        <w:rPr>
          <w:rFonts w:hint="eastAsia" w:ascii="宋体" w:eastAsia="宋体" w:cs="宋体"/>
          <w:szCs w:val="24"/>
        </w:rPr>
        <w:fldChar w:fldCharType="separate"/>
      </w:r>
      <w:r>
        <w:rPr>
          <w:rFonts w:hint="eastAsia" w:ascii="宋体" w:hAnsi="宋体" w:eastAsia="宋体" w:cs="宋体"/>
          <w:kern w:val="0"/>
          <w:szCs w:val="24"/>
        </w:rPr>
        <w:t>十</w:t>
      </w:r>
      <w:r>
        <w:rPr>
          <w:rFonts w:hint="eastAsia" w:ascii="宋体" w:hAnsi="宋体" w:eastAsia="宋体" w:cs="宋体"/>
          <w:kern w:val="0"/>
          <w:szCs w:val="24"/>
          <w:lang w:val="en-US" w:eastAsia="zh-CN"/>
        </w:rPr>
        <w:t>四</w:t>
      </w:r>
      <w:r>
        <w:rPr>
          <w:rFonts w:hint="eastAsia" w:ascii="宋体" w:hAnsi="宋体" w:eastAsia="宋体" w:cs="宋体"/>
          <w:kern w:val="0"/>
          <w:szCs w:val="24"/>
        </w:rPr>
        <w:t>、基金的信息披露</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_Toc10490 \h </w:instrText>
      </w:r>
      <w:r>
        <w:rPr>
          <w:rFonts w:hint="eastAsia" w:ascii="宋体" w:eastAsia="宋体" w:cs="宋体"/>
          <w:szCs w:val="24"/>
        </w:rPr>
        <w:fldChar w:fldCharType="separate"/>
      </w:r>
      <w:r>
        <w:rPr>
          <w:rFonts w:hint="eastAsia" w:ascii="宋体" w:eastAsia="宋体" w:cs="宋体"/>
          <w:szCs w:val="24"/>
        </w:rPr>
        <w:t>91</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_Toc497 </w:instrText>
      </w:r>
      <w:r>
        <w:rPr>
          <w:rFonts w:hint="eastAsia" w:ascii="宋体" w:eastAsia="宋体" w:cs="宋体"/>
          <w:szCs w:val="24"/>
        </w:rPr>
        <w:fldChar w:fldCharType="separate"/>
      </w:r>
      <w:r>
        <w:rPr>
          <w:rFonts w:hint="eastAsia" w:ascii="宋体" w:hAnsi="宋体" w:eastAsia="宋体" w:cs="宋体"/>
          <w:kern w:val="0"/>
          <w:szCs w:val="24"/>
        </w:rPr>
        <w:t>十</w:t>
      </w:r>
      <w:r>
        <w:rPr>
          <w:rFonts w:hint="eastAsia" w:ascii="宋体" w:hAnsi="宋体" w:eastAsia="宋体" w:cs="宋体"/>
          <w:kern w:val="0"/>
          <w:szCs w:val="24"/>
          <w:lang w:val="en-US" w:eastAsia="zh-CN"/>
        </w:rPr>
        <w:t>五</w:t>
      </w:r>
      <w:r>
        <w:rPr>
          <w:rFonts w:hint="eastAsia" w:ascii="宋体" w:hAnsi="宋体" w:eastAsia="宋体" w:cs="宋体"/>
          <w:kern w:val="0"/>
          <w:szCs w:val="24"/>
        </w:rPr>
        <w:t>、侧袋机制</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_Toc497 \h </w:instrText>
      </w:r>
      <w:r>
        <w:rPr>
          <w:rFonts w:hint="eastAsia" w:ascii="宋体" w:eastAsia="宋体" w:cs="宋体"/>
          <w:szCs w:val="24"/>
        </w:rPr>
        <w:fldChar w:fldCharType="separate"/>
      </w:r>
      <w:r>
        <w:rPr>
          <w:rFonts w:hint="eastAsia" w:ascii="宋体" w:eastAsia="宋体" w:cs="宋体"/>
          <w:szCs w:val="24"/>
        </w:rPr>
        <w:t>99</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_Toc26805 </w:instrText>
      </w:r>
      <w:r>
        <w:rPr>
          <w:rFonts w:hint="eastAsia" w:ascii="宋体" w:eastAsia="宋体" w:cs="宋体"/>
          <w:szCs w:val="24"/>
        </w:rPr>
        <w:fldChar w:fldCharType="separate"/>
      </w:r>
      <w:r>
        <w:rPr>
          <w:rFonts w:hint="eastAsia" w:ascii="宋体" w:hAnsi="宋体" w:eastAsia="宋体" w:cs="宋体"/>
          <w:kern w:val="0"/>
          <w:szCs w:val="24"/>
        </w:rPr>
        <w:t>十</w:t>
      </w:r>
      <w:r>
        <w:rPr>
          <w:rFonts w:hint="eastAsia" w:ascii="宋体" w:hAnsi="宋体" w:eastAsia="宋体" w:cs="宋体"/>
          <w:kern w:val="0"/>
          <w:szCs w:val="24"/>
          <w:lang w:val="en-US" w:eastAsia="zh-CN"/>
        </w:rPr>
        <w:t>六</w:t>
      </w:r>
      <w:r>
        <w:rPr>
          <w:rFonts w:hint="eastAsia" w:ascii="宋体" w:hAnsi="宋体" w:eastAsia="宋体" w:cs="宋体"/>
          <w:kern w:val="0"/>
          <w:szCs w:val="24"/>
        </w:rPr>
        <w:t>、基金合同的变更、终止与基金财产的清算</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_Toc26805 \h </w:instrText>
      </w:r>
      <w:r>
        <w:rPr>
          <w:rFonts w:hint="eastAsia" w:ascii="宋体" w:eastAsia="宋体" w:cs="宋体"/>
          <w:szCs w:val="24"/>
        </w:rPr>
        <w:fldChar w:fldCharType="separate"/>
      </w:r>
      <w:r>
        <w:rPr>
          <w:rFonts w:hint="eastAsia" w:ascii="宋体" w:eastAsia="宋体" w:cs="宋体"/>
          <w:szCs w:val="24"/>
        </w:rPr>
        <w:t>102</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_Toc12576 </w:instrText>
      </w:r>
      <w:r>
        <w:rPr>
          <w:rFonts w:hint="eastAsia" w:ascii="宋体" w:eastAsia="宋体" w:cs="宋体"/>
          <w:szCs w:val="24"/>
        </w:rPr>
        <w:fldChar w:fldCharType="separate"/>
      </w:r>
      <w:r>
        <w:rPr>
          <w:rFonts w:hint="eastAsia" w:ascii="宋体" w:hAnsi="宋体" w:eastAsia="宋体" w:cs="宋体"/>
          <w:kern w:val="0"/>
          <w:szCs w:val="24"/>
          <w:lang w:val="en-US" w:eastAsia="zh-CN"/>
        </w:rPr>
        <w:t>十七</w:t>
      </w:r>
      <w:r>
        <w:rPr>
          <w:rFonts w:hint="eastAsia" w:ascii="宋体" w:hAnsi="宋体" w:eastAsia="宋体" w:cs="宋体"/>
          <w:kern w:val="0"/>
          <w:szCs w:val="24"/>
        </w:rPr>
        <w:t>、基金</w:t>
      </w:r>
      <w:r>
        <w:rPr>
          <w:rFonts w:hint="eastAsia" w:ascii="宋体" w:hAnsi="宋体" w:eastAsia="宋体" w:cs="宋体"/>
          <w:kern w:val="0"/>
          <w:szCs w:val="24"/>
          <w:lang w:val="en-US" w:eastAsia="zh-CN"/>
        </w:rPr>
        <w:t>托管人</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_Toc12576 \h </w:instrText>
      </w:r>
      <w:r>
        <w:rPr>
          <w:rFonts w:hint="eastAsia" w:ascii="宋体" w:eastAsia="宋体" w:cs="宋体"/>
          <w:szCs w:val="24"/>
        </w:rPr>
        <w:fldChar w:fldCharType="separate"/>
      </w:r>
      <w:r>
        <w:rPr>
          <w:rFonts w:hint="eastAsia" w:ascii="宋体" w:eastAsia="宋体" w:cs="宋体"/>
          <w:szCs w:val="24"/>
        </w:rPr>
        <w:t>104</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_Toc11435 </w:instrText>
      </w:r>
      <w:r>
        <w:rPr>
          <w:rFonts w:hint="eastAsia" w:ascii="宋体" w:eastAsia="宋体" w:cs="宋体"/>
          <w:szCs w:val="24"/>
        </w:rPr>
        <w:fldChar w:fldCharType="separate"/>
      </w:r>
      <w:r>
        <w:rPr>
          <w:rFonts w:hint="eastAsia" w:ascii="宋体" w:hAnsi="宋体" w:eastAsia="宋体" w:cs="宋体"/>
          <w:kern w:val="0"/>
          <w:szCs w:val="24"/>
          <w:lang w:val="en-US" w:eastAsia="zh-CN"/>
        </w:rPr>
        <w:t>十八</w:t>
      </w:r>
      <w:r>
        <w:rPr>
          <w:rFonts w:hint="eastAsia" w:ascii="宋体" w:hAnsi="宋体" w:eastAsia="宋体" w:cs="宋体"/>
          <w:kern w:val="0"/>
          <w:szCs w:val="24"/>
        </w:rPr>
        <w:t>、境外托管人</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_Toc11435 \h </w:instrText>
      </w:r>
      <w:r>
        <w:rPr>
          <w:rFonts w:hint="eastAsia" w:ascii="宋体" w:eastAsia="宋体" w:cs="宋体"/>
          <w:szCs w:val="24"/>
        </w:rPr>
        <w:fldChar w:fldCharType="separate"/>
      </w:r>
      <w:r>
        <w:rPr>
          <w:rFonts w:hint="eastAsia" w:ascii="宋体" w:eastAsia="宋体" w:cs="宋体"/>
          <w:szCs w:val="24"/>
        </w:rPr>
        <w:t>108</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_Toc6866 </w:instrText>
      </w:r>
      <w:r>
        <w:rPr>
          <w:rFonts w:hint="eastAsia" w:ascii="宋体" w:eastAsia="宋体" w:cs="宋体"/>
          <w:szCs w:val="24"/>
        </w:rPr>
        <w:fldChar w:fldCharType="separate"/>
      </w:r>
      <w:r>
        <w:rPr>
          <w:rFonts w:hint="eastAsia" w:ascii="宋体" w:hAnsi="宋体" w:eastAsia="宋体" w:cs="宋体"/>
          <w:kern w:val="0"/>
          <w:szCs w:val="24"/>
          <w:lang w:val="en-US" w:eastAsia="zh-CN"/>
        </w:rPr>
        <w:t>十九</w:t>
      </w:r>
      <w:r>
        <w:rPr>
          <w:rFonts w:hint="eastAsia" w:ascii="宋体" w:hAnsi="宋体" w:eastAsia="宋体" w:cs="宋体"/>
          <w:kern w:val="0"/>
          <w:szCs w:val="24"/>
        </w:rPr>
        <w:t>、相关服务机构</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_Toc6866 \h </w:instrText>
      </w:r>
      <w:r>
        <w:rPr>
          <w:rFonts w:hint="eastAsia" w:ascii="宋体" w:eastAsia="宋体" w:cs="宋体"/>
          <w:szCs w:val="24"/>
        </w:rPr>
        <w:fldChar w:fldCharType="separate"/>
      </w:r>
      <w:r>
        <w:rPr>
          <w:rFonts w:hint="eastAsia" w:ascii="宋体" w:eastAsia="宋体" w:cs="宋体"/>
          <w:szCs w:val="24"/>
        </w:rPr>
        <w:t>110</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_Toc20604 </w:instrText>
      </w:r>
      <w:r>
        <w:rPr>
          <w:rFonts w:hint="eastAsia" w:ascii="宋体" w:eastAsia="宋体" w:cs="宋体"/>
          <w:szCs w:val="24"/>
        </w:rPr>
        <w:fldChar w:fldCharType="separate"/>
      </w:r>
      <w:r>
        <w:rPr>
          <w:rFonts w:hint="eastAsia" w:ascii="宋体" w:hAnsi="宋体" w:eastAsia="宋体" w:cs="宋体"/>
          <w:kern w:val="0"/>
          <w:szCs w:val="24"/>
        </w:rPr>
        <w:t>二十、基金合同内容摘要</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_Toc20604 \h </w:instrText>
      </w:r>
      <w:r>
        <w:rPr>
          <w:rFonts w:hint="eastAsia" w:ascii="宋体" w:eastAsia="宋体" w:cs="宋体"/>
          <w:szCs w:val="24"/>
        </w:rPr>
        <w:fldChar w:fldCharType="separate"/>
      </w:r>
      <w:r>
        <w:rPr>
          <w:rFonts w:hint="eastAsia" w:ascii="宋体" w:eastAsia="宋体" w:cs="宋体"/>
          <w:szCs w:val="24"/>
        </w:rPr>
        <w:t>113</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_Toc2002 </w:instrText>
      </w:r>
      <w:r>
        <w:rPr>
          <w:rFonts w:hint="eastAsia" w:ascii="宋体" w:eastAsia="宋体" w:cs="宋体"/>
          <w:szCs w:val="24"/>
        </w:rPr>
        <w:fldChar w:fldCharType="separate"/>
      </w:r>
      <w:r>
        <w:rPr>
          <w:rFonts w:hint="eastAsia" w:ascii="宋体" w:hAnsi="宋体" w:eastAsia="宋体" w:cs="宋体"/>
          <w:kern w:val="0"/>
          <w:szCs w:val="24"/>
        </w:rPr>
        <w:t>二十</w:t>
      </w:r>
      <w:r>
        <w:rPr>
          <w:rFonts w:hint="eastAsia" w:ascii="宋体" w:hAnsi="宋体" w:eastAsia="宋体" w:cs="宋体"/>
          <w:kern w:val="0"/>
          <w:szCs w:val="24"/>
          <w:lang w:val="en-US"/>
        </w:rPr>
        <w:t>一</w:t>
      </w:r>
      <w:r>
        <w:rPr>
          <w:rFonts w:hint="eastAsia" w:ascii="宋体" w:hAnsi="宋体" w:eastAsia="宋体" w:cs="宋体"/>
          <w:kern w:val="0"/>
          <w:szCs w:val="24"/>
        </w:rPr>
        <w:t>、托管协议的内容摘要</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_Toc2002 \h </w:instrText>
      </w:r>
      <w:r>
        <w:rPr>
          <w:rFonts w:hint="eastAsia" w:ascii="宋体" w:eastAsia="宋体" w:cs="宋体"/>
          <w:szCs w:val="24"/>
        </w:rPr>
        <w:fldChar w:fldCharType="separate"/>
      </w:r>
      <w:r>
        <w:rPr>
          <w:rFonts w:hint="eastAsia" w:ascii="宋体" w:eastAsia="宋体" w:cs="宋体"/>
          <w:szCs w:val="24"/>
        </w:rPr>
        <w:t>132</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_Toc3777 </w:instrText>
      </w:r>
      <w:r>
        <w:rPr>
          <w:rFonts w:hint="eastAsia" w:ascii="宋体" w:eastAsia="宋体" w:cs="宋体"/>
          <w:szCs w:val="24"/>
        </w:rPr>
        <w:fldChar w:fldCharType="separate"/>
      </w:r>
      <w:r>
        <w:rPr>
          <w:rFonts w:hint="eastAsia" w:ascii="宋体" w:eastAsia="宋体" w:cs="宋体"/>
          <w:bCs/>
          <w:szCs w:val="24"/>
        </w:rPr>
        <w:t>二十</w:t>
      </w:r>
      <w:r>
        <w:rPr>
          <w:rFonts w:hint="eastAsia" w:ascii="宋体" w:eastAsia="宋体" w:cs="宋体"/>
          <w:bCs/>
          <w:szCs w:val="24"/>
          <w:lang w:val="en-US"/>
        </w:rPr>
        <w:t>二</w:t>
      </w:r>
      <w:r>
        <w:rPr>
          <w:rFonts w:hint="eastAsia" w:ascii="宋体" w:eastAsia="宋体" w:cs="宋体"/>
          <w:bCs/>
          <w:szCs w:val="24"/>
        </w:rPr>
        <w:t>、对基金份额持有人的服务</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_Toc3777 \h </w:instrText>
      </w:r>
      <w:r>
        <w:rPr>
          <w:rFonts w:hint="eastAsia" w:ascii="宋体" w:eastAsia="宋体" w:cs="宋体"/>
          <w:szCs w:val="24"/>
        </w:rPr>
        <w:fldChar w:fldCharType="separate"/>
      </w:r>
      <w:r>
        <w:rPr>
          <w:rFonts w:hint="eastAsia" w:ascii="宋体" w:eastAsia="宋体" w:cs="宋体"/>
          <w:szCs w:val="24"/>
        </w:rPr>
        <w:t>157</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_Toc4430 </w:instrText>
      </w:r>
      <w:r>
        <w:rPr>
          <w:rFonts w:hint="eastAsia" w:ascii="宋体" w:eastAsia="宋体" w:cs="宋体"/>
          <w:szCs w:val="24"/>
        </w:rPr>
        <w:fldChar w:fldCharType="separate"/>
      </w:r>
      <w:r>
        <w:rPr>
          <w:rFonts w:hint="eastAsia" w:ascii="宋体" w:hAnsi="宋体" w:eastAsia="宋体" w:cs="宋体"/>
          <w:kern w:val="0"/>
          <w:szCs w:val="24"/>
        </w:rPr>
        <w:t>二十</w:t>
      </w:r>
      <w:r>
        <w:rPr>
          <w:rFonts w:hint="eastAsia" w:ascii="宋体" w:hAnsi="宋体" w:eastAsia="宋体" w:cs="宋体"/>
          <w:kern w:val="0"/>
          <w:szCs w:val="24"/>
          <w:lang w:val="en-US"/>
        </w:rPr>
        <w:t>三</w:t>
      </w:r>
      <w:r>
        <w:rPr>
          <w:rFonts w:hint="eastAsia" w:ascii="宋体" w:hAnsi="宋体" w:eastAsia="宋体" w:cs="宋体"/>
          <w:kern w:val="0"/>
          <w:szCs w:val="24"/>
        </w:rPr>
        <w:t>、其他应披露事项</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_Toc4430 \h </w:instrText>
      </w:r>
      <w:r>
        <w:rPr>
          <w:rFonts w:hint="eastAsia" w:ascii="宋体" w:eastAsia="宋体" w:cs="宋体"/>
          <w:szCs w:val="24"/>
        </w:rPr>
        <w:fldChar w:fldCharType="separate"/>
      </w:r>
      <w:r>
        <w:rPr>
          <w:rFonts w:hint="eastAsia" w:ascii="宋体" w:eastAsia="宋体" w:cs="宋体"/>
          <w:szCs w:val="24"/>
        </w:rPr>
        <w:t>159</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_Toc10505 </w:instrText>
      </w:r>
      <w:r>
        <w:rPr>
          <w:rFonts w:hint="eastAsia" w:ascii="宋体" w:eastAsia="宋体" w:cs="宋体"/>
          <w:szCs w:val="24"/>
        </w:rPr>
        <w:fldChar w:fldCharType="separate"/>
      </w:r>
      <w:r>
        <w:rPr>
          <w:rFonts w:hint="eastAsia" w:ascii="宋体" w:hAnsi="宋体" w:eastAsia="宋体" w:cs="宋体"/>
          <w:kern w:val="0"/>
          <w:szCs w:val="24"/>
        </w:rPr>
        <w:t>二十</w:t>
      </w:r>
      <w:r>
        <w:rPr>
          <w:rFonts w:hint="eastAsia" w:ascii="宋体" w:hAnsi="宋体" w:eastAsia="宋体" w:cs="宋体"/>
          <w:kern w:val="0"/>
          <w:szCs w:val="24"/>
          <w:lang w:val="en-US" w:eastAsia="zh-CN"/>
        </w:rPr>
        <w:t>四</w:t>
      </w:r>
      <w:r>
        <w:rPr>
          <w:rFonts w:hint="eastAsia" w:ascii="宋体" w:hAnsi="宋体" w:eastAsia="宋体" w:cs="宋体"/>
          <w:kern w:val="0"/>
          <w:szCs w:val="24"/>
        </w:rPr>
        <w:t>、招募说明书的存放及查阅方式</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_Toc10505 \h </w:instrText>
      </w:r>
      <w:r>
        <w:rPr>
          <w:rFonts w:hint="eastAsia" w:ascii="宋体" w:eastAsia="宋体" w:cs="宋体"/>
          <w:szCs w:val="24"/>
        </w:rPr>
        <w:fldChar w:fldCharType="separate"/>
      </w:r>
      <w:r>
        <w:rPr>
          <w:rFonts w:hint="eastAsia" w:ascii="宋体" w:eastAsia="宋体" w:cs="宋体"/>
          <w:szCs w:val="24"/>
        </w:rPr>
        <w:t>160</w:t>
      </w:r>
      <w:r>
        <w:rPr>
          <w:rFonts w:hint="eastAsia" w:ascii="宋体" w:eastAsia="宋体" w:cs="宋体"/>
          <w:szCs w:val="24"/>
        </w:rPr>
        <w:fldChar w:fldCharType="end"/>
      </w:r>
      <w:r>
        <w:rPr>
          <w:rFonts w:hint="eastAsia" w:ascii="宋体" w:eastAsia="宋体" w:cs="宋体"/>
          <w:szCs w:val="24"/>
        </w:rPr>
        <w:fldChar w:fldCharType="end"/>
      </w:r>
    </w:p>
    <w:p>
      <w:pPr>
        <w:pStyle w:val="22"/>
        <w:tabs>
          <w:tab w:val="right" w:leader="dot" w:pos="8640"/>
          <w:tab w:val="clear" w:pos="8450"/>
        </w:tabs>
        <w:rPr>
          <w:rFonts w:hint="eastAsia" w:ascii="宋体" w:eastAsia="宋体" w:cs="宋体"/>
          <w:szCs w:val="24"/>
        </w:rPr>
      </w:pPr>
      <w:r>
        <w:rPr>
          <w:rFonts w:hint="eastAsia" w:ascii="宋体" w:eastAsia="宋体" w:cs="宋体"/>
          <w:szCs w:val="24"/>
        </w:rPr>
        <w:fldChar w:fldCharType="begin"/>
      </w:r>
      <w:r>
        <w:rPr>
          <w:rFonts w:hint="eastAsia" w:ascii="宋体" w:eastAsia="宋体" w:cs="宋体"/>
          <w:szCs w:val="24"/>
        </w:rPr>
        <w:instrText xml:space="preserve"> HYPERLINK \l _Toc4965 </w:instrText>
      </w:r>
      <w:r>
        <w:rPr>
          <w:rFonts w:hint="eastAsia" w:ascii="宋体" w:eastAsia="宋体" w:cs="宋体"/>
          <w:szCs w:val="24"/>
        </w:rPr>
        <w:fldChar w:fldCharType="separate"/>
      </w:r>
      <w:r>
        <w:rPr>
          <w:rFonts w:hint="eastAsia" w:ascii="宋体" w:hAnsi="宋体" w:eastAsia="宋体" w:cs="宋体"/>
          <w:kern w:val="0"/>
          <w:szCs w:val="24"/>
        </w:rPr>
        <w:t>二十</w:t>
      </w:r>
      <w:r>
        <w:rPr>
          <w:rFonts w:hint="eastAsia" w:ascii="宋体" w:hAnsi="宋体" w:eastAsia="宋体" w:cs="宋体"/>
          <w:kern w:val="0"/>
          <w:szCs w:val="24"/>
          <w:lang w:val="en-US" w:eastAsia="zh-CN"/>
        </w:rPr>
        <w:t>五</w:t>
      </w:r>
      <w:r>
        <w:rPr>
          <w:rFonts w:hint="eastAsia" w:ascii="宋体" w:hAnsi="宋体" w:eastAsia="宋体" w:cs="宋体"/>
          <w:kern w:val="0"/>
          <w:szCs w:val="24"/>
        </w:rPr>
        <w:t>、备查文件</w:t>
      </w:r>
      <w:r>
        <w:rPr>
          <w:rFonts w:hint="eastAsia" w:ascii="宋体" w:eastAsia="宋体" w:cs="宋体"/>
          <w:szCs w:val="24"/>
        </w:rPr>
        <w:tab/>
      </w:r>
      <w:r>
        <w:rPr>
          <w:rFonts w:hint="eastAsia" w:ascii="宋体" w:eastAsia="宋体" w:cs="宋体"/>
          <w:szCs w:val="24"/>
        </w:rPr>
        <w:fldChar w:fldCharType="begin"/>
      </w:r>
      <w:r>
        <w:rPr>
          <w:rFonts w:hint="eastAsia" w:ascii="宋体" w:eastAsia="宋体" w:cs="宋体"/>
          <w:szCs w:val="24"/>
        </w:rPr>
        <w:instrText xml:space="preserve"> PAGEREF _Toc4965 \h </w:instrText>
      </w:r>
      <w:r>
        <w:rPr>
          <w:rFonts w:hint="eastAsia" w:ascii="宋体" w:eastAsia="宋体" w:cs="宋体"/>
          <w:szCs w:val="24"/>
        </w:rPr>
        <w:fldChar w:fldCharType="separate"/>
      </w:r>
      <w:r>
        <w:rPr>
          <w:rFonts w:hint="eastAsia" w:ascii="宋体" w:eastAsia="宋体" w:cs="宋体"/>
          <w:szCs w:val="24"/>
        </w:rPr>
        <w:t>161</w:t>
      </w:r>
      <w:r>
        <w:rPr>
          <w:rFonts w:hint="eastAsia" w:ascii="宋体" w:eastAsia="宋体" w:cs="宋体"/>
          <w:szCs w:val="24"/>
        </w:rPr>
        <w:fldChar w:fldCharType="end"/>
      </w:r>
      <w:r>
        <w:rPr>
          <w:rFonts w:hint="eastAsia" w:ascii="宋体" w:eastAsia="宋体" w:cs="宋体"/>
          <w:szCs w:val="24"/>
        </w:rPr>
        <w:fldChar w:fldCharType="end"/>
      </w:r>
    </w:p>
    <w:p>
      <w:pPr>
        <w:adjustRightInd w:val="0"/>
        <w:snapToGrid w:val="0"/>
      </w:pPr>
      <w:r>
        <w:rPr>
          <w:rFonts w:hint="eastAsia" w:ascii="宋体" w:hAnsi="宋体" w:cs="宋体"/>
          <w:sz w:val="24"/>
          <w:szCs w:val="24"/>
        </w:rPr>
        <w:fldChar w:fldCharType="end"/>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kern w:val="0"/>
          <w:sz w:val="24"/>
        </w:rPr>
        <w:br w:type="page"/>
      </w:r>
      <w:bookmarkStart w:id="1" w:name="_Toc48122002"/>
      <w:bookmarkStart w:id="2" w:name="_Toc27807"/>
      <w:bookmarkStart w:id="3" w:name="_Toc15684"/>
      <w:bookmarkStart w:id="4" w:name="_Toc28078"/>
      <w:r>
        <w:rPr>
          <w:rFonts w:hint="eastAsia" w:ascii="宋体" w:hAnsi="宋体"/>
          <w:b/>
          <w:kern w:val="0"/>
          <w:sz w:val="30"/>
        </w:rPr>
        <w:t>一、绪言</w:t>
      </w:r>
      <w:bookmarkEnd w:id="0"/>
      <w:bookmarkEnd w:id="1"/>
      <w:bookmarkEnd w:id="2"/>
      <w:bookmarkEnd w:id="3"/>
      <w:bookmarkEnd w:id="4"/>
    </w:p>
    <w:p>
      <w:pPr>
        <w:widowControl/>
        <w:adjustRightInd w:val="0"/>
        <w:snapToGrid w:val="0"/>
        <w:spacing w:line="360" w:lineRule="auto"/>
        <w:ind w:firstLine="480" w:firstLineChars="200"/>
        <w:rPr>
          <w:kern w:val="0"/>
          <w:sz w:val="24"/>
        </w:rPr>
      </w:pPr>
      <w:r>
        <w:rPr>
          <w:rFonts w:ascii="宋体" w:hAnsi="宋体"/>
          <w:kern w:val="0"/>
          <w:sz w:val="24"/>
        </w:rPr>
        <w:t>《交银施罗德</w:t>
      </w:r>
      <w:r>
        <w:rPr>
          <w:rFonts w:hint="eastAsia" w:ascii="宋体" w:hAnsi="宋体"/>
          <w:kern w:val="0"/>
          <w:sz w:val="24"/>
        </w:rPr>
        <w:t>港股消费</w:t>
      </w:r>
      <w:r>
        <w:rPr>
          <w:rFonts w:ascii="宋体" w:hAnsi="宋体"/>
          <w:kern w:val="0"/>
          <w:sz w:val="24"/>
        </w:rPr>
        <w:t>混合型证券投资基金</w:t>
      </w:r>
      <w:r>
        <w:rPr>
          <w:rFonts w:hint="eastAsia"/>
          <w:kern w:val="0"/>
          <w:sz w:val="24"/>
        </w:rPr>
        <w:t>（QDII）</w:t>
      </w:r>
      <w:r>
        <w:rPr>
          <w:rFonts w:ascii="宋体" w:hAnsi="宋体"/>
          <w:kern w:val="0"/>
          <w:sz w:val="24"/>
        </w:rPr>
        <w:t>招募说明书》（以下简称“本招募说明书”）依据《中华人民共和国证券投资基金法》</w:t>
      </w:r>
      <w:r>
        <w:rPr>
          <w:rFonts w:hint="eastAsia" w:ascii="宋体" w:hAnsi="宋体"/>
          <w:kern w:val="0"/>
          <w:sz w:val="24"/>
        </w:rPr>
        <w:t>（以下简称“《基金法》”）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证券投资基金运作管理办法》</w:t>
      </w:r>
      <w:r>
        <w:rPr>
          <w:rFonts w:hint="eastAsia" w:ascii="宋体" w:hAnsi="宋体"/>
          <w:kern w:val="0"/>
          <w:sz w:val="24"/>
        </w:rPr>
        <w:t>（以下简称“《运作办法》”）</w:t>
      </w:r>
      <w:r>
        <w:rPr>
          <w:rFonts w:ascii="宋体" w:hAnsi="宋体"/>
          <w:kern w:val="0"/>
          <w:sz w:val="24"/>
        </w:rPr>
        <w:t>、《公开募集证券投资基金销售机构监督管理办法》</w:t>
      </w:r>
      <w:r>
        <w:rPr>
          <w:rFonts w:hint="eastAsia" w:ascii="宋体" w:hAnsi="宋体"/>
          <w:kern w:val="0"/>
          <w:sz w:val="24"/>
        </w:rPr>
        <w:t>（以下简称“《销售办法》”）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证券投资基金信息披露管理办法》</w:t>
      </w:r>
      <w:r>
        <w:rPr>
          <w:rFonts w:hint="eastAsia" w:ascii="宋体" w:hAnsi="宋体"/>
          <w:kern w:val="0"/>
          <w:sz w:val="24"/>
        </w:rPr>
        <w:t>（以下简称“《信息披露办法》”）、《合格境内机构投资者境外证券投资管理试行办法》（以下简称“《试行办法》”）、《关于实施&lt;合格境内机构投资者境外证券投资管理试行办法&gt;有关问题的通知》、《公开募集开放式证券投资基金流动性风险管理规定》（以下简称“《流动性</w:t>
      </w:r>
      <w:r>
        <w:rPr>
          <w:rFonts w:hint="eastAsia" w:hAnsi="宋体"/>
          <w:kern w:val="0"/>
          <w:sz w:val="24"/>
        </w:rPr>
        <w:t>风险管理</w:t>
      </w:r>
      <w:r>
        <w:rPr>
          <w:rFonts w:hint="eastAsia" w:ascii="宋体" w:hAnsi="宋体"/>
          <w:kern w:val="0"/>
          <w:sz w:val="24"/>
        </w:rPr>
        <w:t>规定》”）</w:t>
      </w:r>
      <w:r>
        <w:rPr>
          <w:rFonts w:ascii="宋体" w:hAnsi="宋体"/>
          <w:kern w:val="0"/>
          <w:sz w:val="24"/>
        </w:rPr>
        <w:t>和其他相关法律法规的规定以及《交银施罗德</w:t>
      </w:r>
      <w:r>
        <w:rPr>
          <w:rFonts w:hint="eastAsia" w:ascii="宋体" w:hAnsi="宋体"/>
          <w:kern w:val="0"/>
          <w:sz w:val="24"/>
        </w:rPr>
        <w:t>港股消费</w:t>
      </w:r>
      <w:r>
        <w:rPr>
          <w:rFonts w:ascii="宋体" w:hAnsi="宋体"/>
          <w:kern w:val="0"/>
          <w:sz w:val="24"/>
        </w:rPr>
        <w:t>混合型证券投资基金</w:t>
      </w:r>
      <w:r>
        <w:rPr>
          <w:rFonts w:hint="eastAsia" w:ascii="宋体" w:hAnsi="宋体"/>
          <w:kern w:val="0"/>
          <w:sz w:val="24"/>
        </w:rPr>
        <w:t>（QDII）</w:t>
      </w:r>
      <w:r>
        <w:rPr>
          <w:rFonts w:ascii="宋体" w:hAnsi="宋体"/>
          <w:kern w:val="0"/>
          <w:sz w:val="24"/>
        </w:rPr>
        <w:t>基金合同》（以下简称“基金合同”</w:t>
      </w:r>
      <w:r>
        <w:rPr>
          <w:rFonts w:hint="eastAsia" w:ascii="宋体" w:hAnsi="宋体"/>
          <w:kern w:val="0"/>
          <w:sz w:val="24"/>
        </w:rPr>
        <w:t>或“《基金合同》”</w:t>
      </w:r>
      <w:r>
        <w:rPr>
          <w:rFonts w:ascii="宋体" w:hAnsi="宋体"/>
          <w:kern w:val="0"/>
          <w:sz w:val="24"/>
        </w:rPr>
        <w:t>）</w:t>
      </w:r>
      <w:r>
        <w:rPr>
          <w:rFonts w:hAnsi="宋体"/>
          <w:kern w:val="0"/>
          <w:sz w:val="24"/>
        </w:rPr>
        <w:t>编写。</w:t>
      </w:r>
    </w:p>
    <w:p>
      <w:pPr>
        <w:widowControl/>
        <w:adjustRightInd w:val="0"/>
        <w:snapToGrid w:val="0"/>
        <w:spacing w:line="360" w:lineRule="auto"/>
        <w:ind w:firstLine="480" w:firstLineChars="20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int="eastAsia" w:ascii="宋体" w:hAnsi="宋体"/>
          <w:kern w:val="0"/>
          <w:sz w:val="24"/>
        </w:rPr>
        <w:t>，</w:t>
      </w:r>
      <w:r>
        <w:rPr>
          <w:rFonts w:hAnsi="宋体"/>
          <w:kern w:val="0"/>
          <w:sz w:val="24"/>
        </w:rPr>
        <w:t>或对本招募说明书作任何解释或者说明。</w:t>
      </w:r>
    </w:p>
    <w:p>
      <w:pPr>
        <w:widowControl/>
        <w:adjustRightInd w:val="0"/>
        <w:snapToGrid w:val="0"/>
        <w:spacing w:line="360" w:lineRule="auto"/>
        <w:ind w:firstLine="480" w:firstLineChars="200"/>
        <w:rPr>
          <w:rFonts w:ascii="宋体" w:hAnsi="宋体"/>
          <w:b/>
          <w:kern w:val="0"/>
          <w:sz w:val="24"/>
        </w:rPr>
      </w:pPr>
      <w:r>
        <w:rPr>
          <w:rFonts w:hAnsi="宋体"/>
          <w:kern w:val="0"/>
          <w:sz w:val="24"/>
        </w:rPr>
        <w:t>本招募说明书根据本基金的基金合同编写，并经中国证监会</w:t>
      </w:r>
      <w:r>
        <w:rPr>
          <w:rFonts w:hint="eastAsia" w:hAnsi="宋体"/>
          <w:kern w:val="0"/>
          <w:sz w:val="24"/>
        </w:rPr>
        <w:t>注册</w:t>
      </w:r>
      <w:r>
        <w:rPr>
          <w:rFonts w:hAnsi="宋体"/>
          <w:kern w:val="0"/>
          <w:sz w:val="24"/>
        </w:rPr>
        <w:t>。基金合同是约定基金</w:t>
      </w:r>
      <w:r>
        <w:rPr>
          <w:rFonts w:hint="eastAsia" w:hAnsi="宋体"/>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pPr>
        <w:widowControl/>
        <w:adjustRightInd w:val="0"/>
        <w:snapToGrid w:val="0"/>
        <w:spacing w:before="143" w:beforeLines="50" w:after="143" w:afterLines="50" w:line="360" w:lineRule="auto"/>
        <w:jc w:val="center"/>
        <w:outlineLvl w:val="0"/>
        <w:rPr>
          <w:rFonts w:ascii="宋体" w:hAnsi="宋体"/>
          <w:b/>
          <w:kern w:val="0"/>
          <w:sz w:val="30"/>
        </w:rPr>
      </w:pPr>
      <w:bookmarkStart w:id="5" w:name="_Toc109537380"/>
      <w:r>
        <w:rPr>
          <w:rFonts w:ascii="宋体" w:hAnsi="宋体"/>
          <w:b/>
          <w:kern w:val="0"/>
          <w:sz w:val="30"/>
        </w:rPr>
        <w:br w:type="page"/>
      </w:r>
      <w:bookmarkStart w:id="6" w:name="_Toc22412"/>
      <w:bookmarkStart w:id="7" w:name="_Toc48122003"/>
      <w:bookmarkStart w:id="8" w:name="_Toc18235"/>
      <w:bookmarkStart w:id="9" w:name="_Toc19486"/>
      <w:r>
        <w:rPr>
          <w:rFonts w:hint="eastAsia" w:ascii="宋体" w:hAnsi="宋体"/>
          <w:b/>
          <w:kern w:val="0"/>
          <w:sz w:val="30"/>
        </w:rPr>
        <w:t>二、释义</w:t>
      </w:r>
      <w:bookmarkEnd w:id="5"/>
      <w:bookmarkEnd w:id="6"/>
      <w:bookmarkEnd w:id="7"/>
      <w:bookmarkEnd w:id="8"/>
      <w:bookmarkEnd w:id="9"/>
    </w:p>
    <w:p>
      <w:pPr>
        <w:adjustRightInd w:val="0"/>
        <w:snapToGrid w:val="0"/>
        <w:spacing w:line="360" w:lineRule="auto"/>
        <w:ind w:firstLine="480" w:firstLineChars="200"/>
        <w:rPr>
          <w:spacing w:val="8"/>
          <w:sz w:val="24"/>
        </w:rPr>
      </w:pPr>
      <w:r>
        <w:rPr>
          <w:rFonts w:hAnsi="宋体"/>
          <w:sz w:val="24"/>
        </w:rPr>
        <w:t>在本招募说明书中，除非文意另有所指，下列词语或简称具有如下含义：</w:t>
      </w:r>
    </w:p>
    <w:p>
      <w:pPr>
        <w:adjustRightInd w:val="0"/>
        <w:snapToGrid w:val="0"/>
        <w:spacing w:line="360" w:lineRule="auto"/>
        <w:ind w:firstLine="480" w:firstLineChars="200"/>
        <w:rPr>
          <w:bCs/>
          <w:sz w:val="24"/>
        </w:rPr>
      </w:pPr>
      <w:bookmarkStart w:id="10" w:name="_Hlk49340113"/>
      <w:r>
        <w:rPr>
          <w:rFonts w:hint="eastAsia"/>
          <w:bCs/>
          <w:sz w:val="24"/>
        </w:rPr>
        <w:t>1、基金或本基金：指交银施罗德港股消费混合型证券投资基金（QDII）</w:t>
      </w:r>
    </w:p>
    <w:p>
      <w:pPr>
        <w:adjustRightInd w:val="0"/>
        <w:snapToGrid w:val="0"/>
        <w:spacing w:line="360" w:lineRule="auto"/>
        <w:ind w:firstLine="480" w:firstLineChars="200"/>
        <w:rPr>
          <w:bCs/>
          <w:sz w:val="24"/>
        </w:rPr>
      </w:pPr>
      <w:r>
        <w:rPr>
          <w:rFonts w:hint="eastAsia"/>
          <w:bCs/>
          <w:sz w:val="24"/>
        </w:rPr>
        <w:t>2、基金管理人：指交银施罗德基金管理有限公司</w:t>
      </w:r>
    </w:p>
    <w:p>
      <w:pPr>
        <w:adjustRightInd w:val="0"/>
        <w:snapToGrid w:val="0"/>
        <w:spacing w:line="360" w:lineRule="auto"/>
        <w:ind w:firstLine="480" w:firstLineChars="200"/>
        <w:rPr>
          <w:bCs/>
          <w:sz w:val="24"/>
        </w:rPr>
      </w:pPr>
      <w:r>
        <w:rPr>
          <w:rFonts w:hint="eastAsia"/>
          <w:bCs/>
          <w:sz w:val="24"/>
        </w:rPr>
        <w:t>3、基金托管人：指中国农业银行股份有限公司</w:t>
      </w:r>
    </w:p>
    <w:p>
      <w:pPr>
        <w:adjustRightInd w:val="0"/>
        <w:snapToGrid w:val="0"/>
        <w:spacing w:line="360" w:lineRule="auto"/>
        <w:ind w:firstLine="480" w:firstLineChars="200"/>
        <w:rPr>
          <w:bCs/>
          <w:sz w:val="24"/>
        </w:rPr>
      </w:pPr>
      <w:r>
        <w:rPr>
          <w:rFonts w:hint="eastAsia"/>
          <w:bCs/>
          <w:sz w:val="24"/>
        </w:rPr>
        <w:t>4、境外托管人：指符合法律法规规定的条件，根据基金托管人与其签订的合同，为本基金提供境外资产托管服务的境外金融机构；境外托管人由基金托管人选择、更换和撤销</w:t>
      </w:r>
    </w:p>
    <w:p>
      <w:pPr>
        <w:adjustRightInd w:val="0"/>
        <w:snapToGrid w:val="0"/>
        <w:spacing w:line="360" w:lineRule="auto"/>
        <w:ind w:firstLine="480" w:firstLineChars="200"/>
        <w:rPr>
          <w:bCs/>
          <w:sz w:val="24"/>
        </w:rPr>
      </w:pPr>
      <w:r>
        <w:rPr>
          <w:rFonts w:hint="eastAsia"/>
          <w:bCs/>
          <w:sz w:val="24"/>
        </w:rPr>
        <w:t>5、境外投资顾问（如有）：指符合法律法规规定的条件，根据基金管理人与其签订的合同，为本基金境外证券投资提供证券买卖建议或投资组合管理等服务的境外金融机构</w:t>
      </w:r>
    </w:p>
    <w:p>
      <w:pPr>
        <w:adjustRightInd w:val="0"/>
        <w:snapToGrid w:val="0"/>
        <w:spacing w:line="360" w:lineRule="auto"/>
        <w:ind w:firstLine="480" w:firstLineChars="200"/>
        <w:rPr>
          <w:bCs/>
          <w:sz w:val="24"/>
        </w:rPr>
      </w:pPr>
      <w:r>
        <w:rPr>
          <w:rFonts w:hint="eastAsia"/>
          <w:bCs/>
          <w:sz w:val="24"/>
        </w:rPr>
        <w:t>6、基金合同、《基金合同》：指《交银施罗德港股消费混合型证券投资基金（QDII）基金合同》及对基金合同的任何有效修订和补充</w:t>
      </w:r>
    </w:p>
    <w:p>
      <w:pPr>
        <w:adjustRightInd w:val="0"/>
        <w:snapToGrid w:val="0"/>
        <w:spacing w:line="360" w:lineRule="auto"/>
        <w:ind w:firstLine="480" w:firstLineChars="200"/>
        <w:rPr>
          <w:bCs/>
          <w:sz w:val="24"/>
        </w:rPr>
      </w:pPr>
      <w:r>
        <w:rPr>
          <w:rFonts w:hint="eastAsia"/>
          <w:bCs/>
          <w:sz w:val="24"/>
        </w:rPr>
        <w:t>7、托管协议：指基金管理人与基金托管人就本基金签订之《交银施罗德港股消费混合型证券投资基金（QDII）托管协议》及对该托管协议的任何有效修订和补充</w:t>
      </w:r>
    </w:p>
    <w:p>
      <w:pPr>
        <w:adjustRightInd w:val="0"/>
        <w:snapToGrid w:val="0"/>
        <w:spacing w:line="360" w:lineRule="auto"/>
        <w:ind w:firstLine="480" w:firstLineChars="200"/>
        <w:rPr>
          <w:bCs/>
          <w:sz w:val="24"/>
        </w:rPr>
      </w:pPr>
      <w:r>
        <w:rPr>
          <w:rFonts w:hint="eastAsia"/>
          <w:bCs/>
          <w:sz w:val="24"/>
        </w:rPr>
        <w:t>8、招募说明书、《招募说明书》或本招募说明书：指《交银施罗德港股消费混合型证券投资基金（QDII）招募说明书》及其更新</w:t>
      </w:r>
    </w:p>
    <w:p>
      <w:pPr>
        <w:adjustRightInd w:val="0"/>
        <w:snapToGrid w:val="0"/>
        <w:spacing w:line="360" w:lineRule="auto"/>
        <w:ind w:firstLine="480" w:firstLineChars="200"/>
        <w:rPr>
          <w:bCs/>
          <w:sz w:val="24"/>
        </w:rPr>
      </w:pPr>
      <w:r>
        <w:rPr>
          <w:rFonts w:hint="eastAsia"/>
          <w:bCs/>
          <w:sz w:val="24"/>
        </w:rPr>
        <w:t>9、基金产品资料概要：指《交银施罗德港股消费混合型证券投资基金（QDII）基金产品资料概要》及其更新</w:t>
      </w:r>
    </w:p>
    <w:p>
      <w:pPr>
        <w:adjustRightInd w:val="0"/>
        <w:snapToGrid w:val="0"/>
        <w:spacing w:line="360" w:lineRule="auto"/>
        <w:ind w:firstLine="480" w:firstLineChars="200"/>
        <w:rPr>
          <w:bCs/>
          <w:sz w:val="24"/>
        </w:rPr>
      </w:pPr>
      <w:r>
        <w:rPr>
          <w:rFonts w:hint="eastAsia"/>
          <w:bCs/>
          <w:sz w:val="24"/>
        </w:rPr>
        <w:t>10、基金份额发售公告：指《交银施罗德港股消费混合型证券投资基金（QDII）基金份额发售公告》</w:t>
      </w:r>
    </w:p>
    <w:p>
      <w:pPr>
        <w:adjustRightInd w:val="0"/>
        <w:snapToGrid w:val="0"/>
        <w:spacing w:line="360" w:lineRule="auto"/>
        <w:ind w:firstLine="480" w:firstLineChars="200"/>
        <w:rPr>
          <w:bCs/>
          <w:sz w:val="24"/>
        </w:rPr>
      </w:pPr>
      <w:r>
        <w:rPr>
          <w:rFonts w:hint="eastAsia"/>
          <w:bCs/>
          <w:sz w:val="24"/>
        </w:rPr>
        <w:t>11、法律法规：指中国现行有效并公布实施的法律、行政法规、规范性文件、司法解释、行政规章以及其他对基金合同当事人有约束力的决定、决议、通知等</w:t>
      </w:r>
    </w:p>
    <w:p>
      <w:pPr>
        <w:adjustRightInd w:val="0"/>
        <w:snapToGrid w:val="0"/>
        <w:spacing w:line="360" w:lineRule="auto"/>
        <w:ind w:firstLine="480" w:firstLineChars="200"/>
        <w:rPr>
          <w:bCs/>
          <w:sz w:val="24"/>
        </w:rPr>
      </w:pPr>
      <w:r>
        <w:rPr>
          <w:bCs/>
          <w:sz w:val="24"/>
        </w:rPr>
        <w:t>1</w:t>
      </w:r>
      <w:r>
        <w:rPr>
          <w:rFonts w:hint="eastAsia"/>
          <w:bCs/>
          <w:sz w:val="24"/>
        </w:rPr>
        <w:t>2、《基金法》：指《中华人民共和国证券投资基金法》及颁布机关对其不时做出的修订</w:t>
      </w:r>
    </w:p>
    <w:p>
      <w:pPr>
        <w:adjustRightInd w:val="0"/>
        <w:snapToGrid w:val="0"/>
        <w:spacing w:line="360" w:lineRule="auto"/>
        <w:ind w:firstLine="480" w:firstLineChars="200"/>
        <w:rPr>
          <w:bCs/>
          <w:sz w:val="24"/>
        </w:rPr>
      </w:pPr>
      <w:r>
        <w:rPr>
          <w:rFonts w:hint="eastAsia"/>
          <w:bCs/>
          <w:sz w:val="24"/>
        </w:rPr>
        <w:t>13、《销售办法》：指《</w:t>
      </w:r>
      <w:r>
        <w:rPr>
          <w:bCs/>
          <w:sz w:val="24"/>
        </w:rPr>
        <w:t>公开募集证券投资基金销售机构监督管理办法</w:t>
      </w:r>
      <w:r>
        <w:rPr>
          <w:rFonts w:hint="eastAsia"/>
          <w:bCs/>
          <w:sz w:val="24"/>
        </w:rPr>
        <w:t>》及颁布机关对其不时做出的修订</w:t>
      </w:r>
    </w:p>
    <w:p>
      <w:pPr>
        <w:adjustRightInd w:val="0"/>
        <w:snapToGrid w:val="0"/>
        <w:spacing w:line="360" w:lineRule="auto"/>
        <w:ind w:firstLine="480" w:firstLineChars="200"/>
        <w:rPr>
          <w:bCs/>
          <w:sz w:val="24"/>
        </w:rPr>
      </w:pPr>
      <w:r>
        <w:rPr>
          <w:rFonts w:hint="eastAsia"/>
          <w:bCs/>
          <w:sz w:val="24"/>
        </w:rPr>
        <w:t>14、《信息披露办法》：指《公开募集证券投资基金信息披露管理办法》及颁布机关对其不时做出的修订</w:t>
      </w:r>
    </w:p>
    <w:p>
      <w:pPr>
        <w:adjustRightInd w:val="0"/>
        <w:snapToGrid w:val="0"/>
        <w:spacing w:line="360" w:lineRule="auto"/>
        <w:ind w:firstLine="480" w:firstLineChars="200"/>
        <w:rPr>
          <w:bCs/>
          <w:sz w:val="24"/>
        </w:rPr>
      </w:pPr>
      <w:r>
        <w:rPr>
          <w:rFonts w:hint="eastAsia"/>
          <w:bCs/>
          <w:sz w:val="24"/>
        </w:rPr>
        <w:t>15、《运作办法》：指《公开募集证券投资基金运作管理办法》及颁布机关对其不时做出的修订</w:t>
      </w:r>
    </w:p>
    <w:p>
      <w:pPr>
        <w:adjustRightInd w:val="0"/>
        <w:snapToGrid w:val="0"/>
        <w:spacing w:line="360" w:lineRule="auto"/>
        <w:ind w:firstLine="480" w:firstLineChars="200"/>
        <w:rPr>
          <w:bCs/>
          <w:sz w:val="24"/>
        </w:rPr>
      </w:pPr>
      <w:r>
        <w:rPr>
          <w:rFonts w:hint="eastAsia"/>
          <w:bCs/>
          <w:sz w:val="24"/>
        </w:rPr>
        <w:t>16、《流动性风险管理规定》：指《公开募集开放式证券投资基金流动性风险管理规定》及颁布机关对其不时做出的修订</w:t>
      </w:r>
    </w:p>
    <w:p>
      <w:pPr>
        <w:adjustRightInd w:val="0"/>
        <w:snapToGrid w:val="0"/>
        <w:spacing w:line="360" w:lineRule="auto"/>
        <w:ind w:firstLine="480" w:firstLineChars="200"/>
        <w:rPr>
          <w:bCs/>
          <w:sz w:val="24"/>
        </w:rPr>
      </w:pPr>
      <w:r>
        <w:rPr>
          <w:rFonts w:hint="eastAsia"/>
          <w:bCs/>
          <w:sz w:val="24"/>
        </w:rPr>
        <w:t>17、《试行办法》：指《合格境内机构投资者境外证券投资管理试行办法》及颁布机关对其不时做出的修订</w:t>
      </w:r>
    </w:p>
    <w:p>
      <w:pPr>
        <w:adjustRightInd w:val="0"/>
        <w:snapToGrid w:val="0"/>
        <w:spacing w:line="360" w:lineRule="auto"/>
        <w:ind w:firstLine="480" w:firstLineChars="200"/>
        <w:rPr>
          <w:bCs/>
          <w:sz w:val="24"/>
        </w:rPr>
      </w:pPr>
      <w:r>
        <w:rPr>
          <w:rFonts w:hint="eastAsia"/>
          <w:bCs/>
          <w:sz w:val="24"/>
        </w:rPr>
        <w:t>18、《通知》：指《关于实施&lt;合格境内机构投资者境外证券投资管理试行办法&gt;有关问题的通知》及颁布机关对其不时做出的修订</w:t>
      </w:r>
    </w:p>
    <w:p>
      <w:pPr>
        <w:adjustRightInd w:val="0"/>
        <w:snapToGrid w:val="0"/>
        <w:spacing w:line="360" w:lineRule="auto"/>
        <w:ind w:firstLine="480" w:firstLineChars="200"/>
        <w:rPr>
          <w:bCs/>
          <w:sz w:val="24"/>
        </w:rPr>
      </w:pPr>
      <w:r>
        <w:rPr>
          <w:rFonts w:hint="eastAsia"/>
          <w:bCs/>
          <w:sz w:val="24"/>
        </w:rPr>
        <w:t>19、中国证监会：指中国证券监督管理委员会</w:t>
      </w:r>
    </w:p>
    <w:p>
      <w:pPr>
        <w:adjustRightInd w:val="0"/>
        <w:snapToGrid w:val="0"/>
        <w:spacing w:line="360" w:lineRule="auto"/>
        <w:ind w:firstLine="480" w:firstLineChars="200"/>
        <w:rPr>
          <w:bCs/>
          <w:sz w:val="24"/>
        </w:rPr>
      </w:pPr>
      <w:r>
        <w:rPr>
          <w:rFonts w:hint="eastAsia"/>
          <w:bCs/>
          <w:sz w:val="24"/>
        </w:rPr>
        <w:t>20、银行业监督管理机构：指中国人民银行和/或国家金融监督管理总局</w:t>
      </w:r>
    </w:p>
    <w:p>
      <w:pPr>
        <w:adjustRightInd w:val="0"/>
        <w:snapToGrid w:val="0"/>
        <w:spacing w:line="360" w:lineRule="auto"/>
        <w:ind w:firstLine="480" w:firstLineChars="200"/>
        <w:rPr>
          <w:bCs/>
          <w:sz w:val="24"/>
        </w:rPr>
      </w:pPr>
      <w:r>
        <w:rPr>
          <w:rFonts w:hint="eastAsia"/>
          <w:bCs/>
          <w:sz w:val="24"/>
        </w:rPr>
        <w:t>21、外管局：指国家外汇管理局或其授权的派出机构</w:t>
      </w:r>
    </w:p>
    <w:p>
      <w:pPr>
        <w:adjustRightInd w:val="0"/>
        <w:snapToGrid w:val="0"/>
        <w:spacing w:line="360" w:lineRule="auto"/>
        <w:ind w:firstLine="480" w:firstLineChars="200"/>
        <w:rPr>
          <w:bCs/>
          <w:sz w:val="24"/>
        </w:rPr>
      </w:pPr>
      <w:r>
        <w:rPr>
          <w:rFonts w:hint="eastAsia"/>
          <w:bCs/>
          <w:sz w:val="24"/>
        </w:rPr>
        <w:t>22、基金合同当事人：指受基金合同约束，根据基金合同享有权利并承担义务的法律主体，包括基金管理人、基金托管人和基金份额持有人</w:t>
      </w:r>
    </w:p>
    <w:p>
      <w:pPr>
        <w:adjustRightInd w:val="0"/>
        <w:snapToGrid w:val="0"/>
        <w:spacing w:line="360" w:lineRule="auto"/>
        <w:ind w:firstLine="480" w:firstLineChars="200"/>
        <w:rPr>
          <w:bCs/>
          <w:sz w:val="24"/>
        </w:rPr>
      </w:pPr>
      <w:r>
        <w:rPr>
          <w:rFonts w:hint="eastAsia"/>
          <w:bCs/>
          <w:sz w:val="24"/>
        </w:rPr>
        <w:t>23、个人投资者：指依据有关法律法规规定可投资于证券投资基金的自然人</w:t>
      </w:r>
    </w:p>
    <w:p>
      <w:pPr>
        <w:adjustRightInd w:val="0"/>
        <w:snapToGrid w:val="0"/>
        <w:spacing w:line="360" w:lineRule="auto"/>
        <w:ind w:firstLine="480" w:firstLineChars="200"/>
        <w:rPr>
          <w:bCs/>
          <w:sz w:val="24"/>
        </w:rPr>
      </w:pPr>
      <w:r>
        <w:rPr>
          <w:rFonts w:hint="eastAsia"/>
          <w:bCs/>
          <w:sz w:val="24"/>
        </w:rPr>
        <w:t>24、机构投资者：指依法可以投资证券投资基金的、在中华人民共和国境内合法登记并存续或经有关政府部门批准设立并存续的企业法人、事业法人、社会团体或其他组织</w:t>
      </w:r>
    </w:p>
    <w:p>
      <w:pPr>
        <w:adjustRightInd w:val="0"/>
        <w:snapToGrid w:val="0"/>
        <w:spacing w:line="360" w:lineRule="auto"/>
        <w:ind w:firstLine="480" w:firstLineChars="200"/>
        <w:rPr>
          <w:bCs/>
          <w:sz w:val="24"/>
        </w:rPr>
      </w:pPr>
      <w:r>
        <w:rPr>
          <w:bCs/>
          <w:sz w:val="24"/>
        </w:rPr>
        <w:t>2</w:t>
      </w:r>
      <w:r>
        <w:rPr>
          <w:rFonts w:hint="eastAsia"/>
          <w:bCs/>
          <w:sz w:val="24"/>
        </w:rPr>
        <w:t>5、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adjustRightInd w:val="0"/>
        <w:snapToGrid w:val="0"/>
        <w:spacing w:line="360" w:lineRule="auto"/>
        <w:ind w:firstLine="480" w:firstLineChars="200"/>
        <w:rPr>
          <w:bCs/>
          <w:sz w:val="24"/>
        </w:rPr>
      </w:pPr>
      <w:r>
        <w:rPr>
          <w:rFonts w:hint="eastAsia"/>
          <w:bCs/>
          <w:sz w:val="24"/>
        </w:rPr>
        <w:t>26、</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pPr>
        <w:adjustRightInd w:val="0"/>
        <w:snapToGrid w:val="0"/>
        <w:spacing w:line="360" w:lineRule="auto"/>
        <w:ind w:firstLine="480" w:firstLineChars="200"/>
        <w:rPr>
          <w:bCs/>
          <w:sz w:val="24"/>
        </w:rPr>
      </w:pPr>
      <w:r>
        <w:rPr>
          <w:rFonts w:hint="eastAsia"/>
          <w:bCs/>
          <w:sz w:val="24"/>
        </w:rPr>
        <w:t>27、基金份额持有人：指依基金合同和招募说明书合法取得基金份额的投资人</w:t>
      </w:r>
    </w:p>
    <w:p>
      <w:pPr>
        <w:adjustRightInd w:val="0"/>
        <w:snapToGrid w:val="0"/>
        <w:spacing w:line="360" w:lineRule="auto"/>
        <w:ind w:firstLine="480" w:firstLineChars="200"/>
        <w:rPr>
          <w:bCs/>
          <w:sz w:val="24"/>
        </w:rPr>
      </w:pPr>
      <w:r>
        <w:rPr>
          <w:rFonts w:hint="eastAsia"/>
          <w:bCs/>
          <w:sz w:val="24"/>
        </w:rPr>
        <w:t>28、基金销售业务：指基金管理人或销售机构宣传推介基金，发售基金份额，办理基金份额的申购、赎回、转换、转托管及定期定额投资等业务</w:t>
      </w:r>
    </w:p>
    <w:p>
      <w:pPr>
        <w:adjustRightInd w:val="0"/>
        <w:snapToGrid w:val="0"/>
        <w:spacing w:line="360" w:lineRule="auto"/>
        <w:ind w:firstLine="480" w:firstLineChars="200"/>
        <w:rPr>
          <w:bCs/>
          <w:sz w:val="24"/>
        </w:rPr>
      </w:pPr>
      <w:r>
        <w:rPr>
          <w:rFonts w:hint="eastAsia"/>
          <w:bCs/>
          <w:sz w:val="24"/>
        </w:rPr>
        <w:t>29、销售机构：指交银施罗德基金管理有限公司以及符合《销售办法》和中国证监会规定的其他条件，取得基金销售业务资格并与基金管理人签订了基金销售服务协议，办理基金销售业务的机构</w:t>
      </w:r>
    </w:p>
    <w:p>
      <w:pPr>
        <w:adjustRightInd w:val="0"/>
        <w:snapToGrid w:val="0"/>
        <w:spacing w:line="360" w:lineRule="auto"/>
        <w:ind w:firstLine="480" w:firstLineChars="200"/>
        <w:rPr>
          <w:bCs/>
          <w:sz w:val="24"/>
        </w:rPr>
      </w:pPr>
      <w:r>
        <w:rPr>
          <w:rFonts w:hint="eastAsia"/>
          <w:bCs/>
          <w:sz w:val="24"/>
        </w:rPr>
        <w:t>30、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adjustRightInd w:val="0"/>
        <w:snapToGrid w:val="0"/>
        <w:spacing w:line="360" w:lineRule="auto"/>
        <w:ind w:firstLine="480" w:firstLineChars="200"/>
        <w:rPr>
          <w:bCs/>
          <w:sz w:val="24"/>
        </w:rPr>
      </w:pPr>
      <w:r>
        <w:rPr>
          <w:rFonts w:hint="eastAsia"/>
          <w:bCs/>
          <w:sz w:val="24"/>
        </w:rPr>
        <w:t>31、登记机构：指办理登记业务的机构。基金的登记机构为交银施罗德基金管理有限公司或接受交银施罗德基金管理有限公司委托代为办理登记业务的机构</w:t>
      </w:r>
    </w:p>
    <w:p>
      <w:pPr>
        <w:adjustRightInd w:val="0"/>
        <w:snapToGrid w:val="0"/>
        <w:spacing w:line="360" w:lineRule="auto"/>
        <w:ind w:firstLine="480" w:firstLineChars="200"/>
        <w:rPr>
          <w:bCs/>
          <w:sz w:val="24"/>
        </w:rPr>
      </w:pPr>
      <w:r>
        <w:rPr>
          <w:rFonts w:hint="eastAsia"/>
          <w:bCs/>
          <w:sz w:val="24"/>
        </w:rPr>
        <w:t>32、基金账户：指登记机构为投资人开立的、记录其持有的、基金管理人所管理的基金份额余额及其变动情况的账户</w:t>
      </w:r>
    </w:p>
    <w:p>
      <w:pPr>
        <w:adjustRightInd w:val="0"/>
        <w:snapToGrid w:val="0"/>
        <w:spacing w:line="360" w:lineRule="auto"/>
        <w:ind w:firstLine="480" w:firstLineChars="200"/>
        <w:rPr>
          <w:bCs/>
          <w:sz w:val="24"/>
        </w:rPr>
      </w:pPr>
      <w:r>
        <w:rPr>
          <w:rFonts w:hint="eastAsia"/>
          <w:bCs/>
          <w:sz w:val="24"/>
        </w:rPr>
        <w:t>33、基金交易账户：指销售机构为投资人开立的、记录投资人通过该销售机构办理认购、申购、赎回、转换及转托管等业务而引起的基金份额变动及结余情况的账户</w:t>
      </w:r>
    </w:p>
    <w:p>
      <w:pPr>
        <w:adjustRightInd w:val="0"/>
        <w:snapToGrid w:val="0"/>
        <w:spacing w:line="360" w:lineRule="auto"/>
        <w:ind w:firstLine="480" w:firstLineChars="200"/>
        <w:rPr>
          <w:bCs/>
          <w:sz w:val="24"/>
        </w:rPr>
      </w:pPr>
      <w:r>
        <w:rPr>
          <w:rFonts w:hint="eastAsia"/>
          <w:bCs/>
          <w:sz w:val="24"/>
        </w:rPr>
        <w:t>34、基金合同生效日：指基金募集达到法律法规规定及基金合同规定的条件，基金管理人向中国证监会办理基金备案手续完毕，并获得中国证监会书面确认的日期</w:t>
      </w:r>
    </w:p>
    <w:p>
      <w:pPr>
        <w:adjustRightInd w:val="0"/>
        <w:snapToGrid w:val="0"/>
        <w:spacing w:line="360" w:lineRule="auto"/>
        <w:ind w:firstLine="480" w:firstLineChars="200"/>
        <w:rPr>
          <w:bCs/>
          <w:sz w:val="24"/>
        </w:rPr>
      </w:pPr>
      <w:r>
        <w:rPr>
          <w:rFonts w:hint="eastAsia"/>
          <w:bCs/>
          <w:sz w:val="24"/>
        </w:rPr>
        <w:t>35、基金合同终止日：指基金合同规定的基金合同终止事由出现后，基金财产清算完毕，清算结果报中国证监会备案并予以公告的日期</w:t>
      </w:r>
    </w:p>
    <w:p>
      <w:pPr>
        <w:adjustRightInd w:val="0"/>
        <w:snapToGrid w:val="0"/>
        <w:spacing w:line="360" w:lineRule="auto"/>
        <w:ind w:firstLine="480" w:firstLineChars="200"/>
        <w:rPr>
          <w:bCs/>
          <w:sz w:val="24"/>
        </w:rPr>
      </w:pPr>
      <w:r>
        <w:rPr>
          <w:rFonts w:hint="eastAsia"/>
          <w:bCs/>
          <w:sz w:val="24"/>
        </w:rPr>
        <w:t>36、基金募集期：指自基金份额发售之日起至发售结束之日止的期间，最长不得超过3个月</w:t>
      </w:r>
    </w:p>
    <w:p>
      <w:pPr>
        <w:adjustRightInd w:val="0"/>
        <w:snapToGrid w:val="0"/>
        <w:spacing w:line="360" w:lineRule="auto"/>
        <w:ind w:firstLine="480" w:firstLineChars="200"/>
        <w:rPr>
          <w:bCs/>
          <w:sz w:val="24"/>
        </w:rPr>
      </w:pPr>
      <w:r>
        <w:rPr>
          <w:rFonts w:hint="eastAsia"/>
          <w:bCs/>
          <w:sz w:val="24"/>
        </w:rPr>
        <w:t>37、存续期：指基金合同生效至终止之间的不定期期限</w:t>
      </w:r>
    </w:p>
    <w:p>
      <w:pPr>
        <w:adjustRightInd w:val="0"/>
        <w:snapToGrid w:val="0"/>
        <w:spacing w:line="360" w:lineRule="auto"/>
        <w:ind w:firstLine="480" w:firstLineChars="200"/>
        <w:rPr>
          <w:bCs/>
          <w:sz w:val="24"/>
        </w:rPr>
      </w:pPr>
      <w:r>
        <w:rPr>
          <w:rFonts w:hint="eastAsia"/>
          <w:bCs/>
          <w:sz w:val="24"/>
        </w:rPr>
        <w:t>38、工作日：指上海证券交易所、深圳证券交易所的正常交易日</w:t>
      </w:r>
    </w:p>
    <w:p>
      <w:pPr>
        <w:adjustRightInd w:val="0"/>
        <w:snapToGrid w:val="0"/>
        <w:spacing w:line="360" w:lineRule="auto"/>
        <w:ind w:firstLine="480" w:firstLineChars="200"/>
        <w:rPr>
          <w:bCs/>
          <w:sz w:val="24"/>
        </w:rPr>
      </w:pPr>
      <w:r>
        <w:rPr>
          <w:rFonts w:hint="eastAsia"/>
          <w:bCs/>
          <w:sz w:val="24"/>
        </w:rPr>
        <w:t>39、T日：指销售机构在规定时间受理投资人申购、赎回或其他业务申请的开放日</w:t>
      </w:r>
    </w:p>
    <w:p>
      <w:pPr>
        <w:adjustRightInd w:val="0"/>
        <w:snapToGrid w:val="0"/>
        <w:spacing w:line="360" w:lineRule="auto"/>
        <w:ind w:firstLine="480" w:firstLineChars="200"/>
        <w:rPr>
          <w:bCs/>
          <w:sz w:val="24"/>
        </w:rPr>
      </w:pPr>
      <w:r>
        <w:rPr>
          <w:rFonts w:hint="eastAsia"/>
          <w:bCs/>
          <w:sz w:val="24"/>
        </w:rPr>
        <w:t>40、T+n日：指自T日起第n个工作日（不包含T日）</w:t>
      </w:r>
    </w:p>
    <w:p>
      <w:pPr>
        <w:adjustRightInd w:val="0"/>
        <w:snapToGrid w:val="0"/>
        <w:spacing w:line="360" w:lineRule="auto"/>
        <w:ind w:firstLine="480" w:firstLineChars="200"/>
        <w:rPr>
          <w:bCs/>
          <w:sz w:val="24"/>
        </w:rPr>
      </w:pPr>
      <w:r>
        <w:rPr>
          <w:rFonts w:hint="eastAsia"/>
          <w:bCs/>
          <w:sz w:val="24"/>
        </w:rPr>
        <w:t>41、开放日：指为投资人办理基金份额申购、赎回或其他业务的工作日。本基金的开放日为上海证券交易所、深圳证券交易所及本基金投资的主要境外市场的共同交易日（若该工作日为非港股通交易日，则本基金不开放）</w:t>
      </w:r>
    </w:p>
    <w:p>
      <w:pPr>
        <w:adjustRightInd w:val="0"/>
        <w:snapToGrid w:val="0"/>
        <w:spacing w:line="360" w:lineRule="auto"/>
        <w:ind w:firstLine="480" w:firstLineChars="200"/>
        <w:rPr>
          <w:bCs/>
          <w:sz w:val="24"/>
        </w:rPr>
      </w:pPr>
      <w:r>
        <w:rPr>
          <w:rFonts w:hint="eastAsia"/>
          <w:bCs/>
          <w:sz w:val="24"/>
        </w:rPr>
        <w:t>42、开放时间：指开放日基金接受申购、赎回或其他交易的时间段</w:t>
      </w:r>
    </w:p>
    <w:p>
      <w:pPr>
        <w:adjustRightInd w:val="0"/>
        <w:snapToGrid w:val="0"/>
        <w:spacing w:line="360" w:lineRule="auto"/>
        <w:ind w:firstLine="480" w:firstLineChars="200"/>
        <w:rPr>
          <w:bCs/>
          <w:sz w:val="24"/>
        </w:rPr>
      </w:pPr>
      <w:r>
        <w:rPr>
          <w:rFonts w:hint="eastAsia"/>
          <w:bCs/>
          <w:sz w:val="24"/>
        </w:rPr>
        <w:t>43、《业务规则》：指《交银施罗德基金管理有限公司开放式基金业务规则》，是规范基金管理人所管理的开放式证券投资基金登记方面的业务规则，由基金管理人和投资人共同遵守</w:t>
      </w:r>
    </w:p>
    <w:p>
      <w:pPr>
        <w:adjustRightInd w:val="0"/>
        <w:snapToGrid w:val="0"/>
        <w:spacing w:line="360" w:lineRule="auto"/>
        <w:ind w:firstLine="480" w:firstLineChars="200"/>
        <w:rPr>
          <w:bCs/>
          <w:sz w:val="24"/>
        </w:rPr>
      </w:pPr>
      <w:r>
        <w:rPr>
          <w:rFonts w:hint="eastAsia"/>
          <w:bCs/>
          <w:sz w:val="24"/>
        </w:rPr>
        <w:t>44、认购：指在基金募集期内，投资人根据基金合同和招募说明书的规定申请购买基金份额的行为</w:t>
      </w:r>
    </w:p>
    <w:p>
      <w:pPr>
        <w:adjustRightInd w:val="0"/>
        <w:snapToGrid w:val="0"/>
        <w:spacing w:line="360" w:lineRule="auto"/>
        <w:ind w:firstLine="480" w:firstLineChars="200"/>
        <w:rPr>
          <w:bCs/>
          <w:sz w:val="24"/>
        </w:rPr>
      </w:pPr>
      <w:r>
        <w:rPr>
          <w:bCs/>
          <w:sz w:val="24"/>
        </w:rPr>
        <w:t>4</w:t>
      </w:r>
      <w:r>
        <w:rPr>
          <w:rFonts w:hint="eastAsia"/>
          <w:bCs/>
          <w:sz w:val="24"/>
        </w:rPr>
        <w:t>5、申购：指基金合同生效后，投资人根据基金合同和招募说明书的规定申请购买基金份额的行为</w:t>
      </w:r>
    </w:p>
    <w:p>
      <w:pPr>
        <w:adjustRightInd w:val="0"/>
        <w:snapToGrid w:val="0"/>
        <w:spacing w:line="360" w:lineRule="auto"/>
        <w:ind w:firstLine="480" w:firstLineChars="200"/>
        <w:rPr>
          <w:bCs/>
          <w:sz w:val="24"/>
        </w:rPr>
      </w:pPr>
      <w:r>
        <w:rPr>
          <w:bCs/>
          <w:sz w:val="24"/>
        </w:rPr>
        <w:t>4</w:t>
      </w:r>
      <w:r>
        <w:rPr>
          <w:rFonts w:hint="eastAsia"/>
          <w:bCs/>
          <w:sz w:val="24"/>
        </w:rPr>
        <w:t>6、赎回：指基金合同生效后，基金份额持有人按基金合同和招募说明书规定的条件要求将基金份额兑换为现金的行为</w:t>
      </w:r>
    </w:p>
    <w:p>
      <w:pPr>
        <w:adjustRightInd w:val="0"/>
        <w:snapToGrid w:val="0"/>
        <w:spacing w:line="360" w:lineRule="auto"/>
        <w:ind w:firstLine="480" w:firstLineChars="200"/>
        <w:rPr>
          <w:bCs/>
          <w:sz w:val="24"/>
        </w:rPr>
      </w:pPr>
      <w:r>
        <w:rPr>
          <w:bCs/>
          <w:sz w:val="24"/>
        </w:rPr>
        <w:t>4</w:t>
      </w:r>
      <w:r>
        <w:rPr>
          <w:rFonts w:hint="eastAsia"/>
          <w:bCs/>
          <w:sz w:val="24"/>
        </w:rPr>
        <w:t>7、基金转换：指基金份额持有人按照基金合同和基金管理人届时有效公告规定的条件，申请将其持有基金管理人管理的、某一基金的基金份额转换为该基金其他份额（如有）或基金管理人管理的其他基金基金份额的行为</w:t>
      </w:r>
    </w:p>
    <w:p>
      <w:pPr>
        <w:adjustRightInd w:val="0"/>
        <w:snapToGrid w:val="0"/>
        <w:spacing w:line="360" w:lineRule="auto"/>
        <w:ind w:firstLine="480" w:firstLineChars="200"/>
        <w:rPr>
          <w:bCs/>
          <w:sz w:val="24"/>
        </w:rPr>
      </w:pPr>
      <w:r>
        <w:rPr>
          <w:bCs/>
          <w:sz w:val="24"/>
        </w:rPr>
        <w:t>4</w:t>
      </w:r>
      <w:r>
        <w:rPr>
          <w:rFonts w:hint="eastAsia"/>
          <w:bCs/>
          <w:sz w:val="24"/>
        </w:rPr>
        <w:t>8、转托管：指基金份额持有人在本基金的不同销售机构之间实施的变更所持基金份额销售机构的操作</w:t>
      </w:r>
    </w:p>
    <w:p>
      <w:pPr>
        <w:adjustRightInd w:val="0"/>
        <w:snapToGrid w:val="0"/>
        <w:spacing w:line="360" w:lineRule="auto"/>
        <w:ind w:firstLine="480" w:firstLineChars="200"/>
        <w:rPr>
          <w:bCs/>
          <w:sz w:val="24"/>
        </w:rPr>
      </w:pPr>
      <w:r>
        <w:rPr>
          <w:bCs/>
          <w:sz w:val="24"/>
        </w:rPr>
        <w:t>4</w:t>
      </w:r>
      <w:r>
        <w:rPr>
          <w:rFonts w:hint="eastAsia"/>
          <w:bCs/>
          <w:sz w:val="24"/>
        </w:rPr>
        <w:t>9、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pPr>
        <w:adjustRightInd w:val="0"/>
        <w:snapToGrid w:val="0"/>
        <w:spacing w:line="360" w:lineRule="auto"/>
        <w:ind w:firstLine="480" w:firstLineChars="200"/>
        <w:rPr>
          <w:bCs/>
          <w:sz w:val="24"/>
        </w:rPr>
      </w:pPr>
      <w:r>
        <w:rPr>
          <w:rFonts w:hint="eastAsia"/>
          <w:bCs/>
          <w:sz w:val="24"/>
        </w:rPr>
        <w:t>50、巨额赎回：指本基金单个开放日，基金净赎回申请（赎回申请份额总数加上基金转换中转出申请份额总数后扣除申购申请份额总数及基金转换中转入申请份额总数后的余额）超过上一开放日基金总份额的10%的情形</w:t>
      </w:r>
    </w:p>
    <w:p>
      <w:pPr>
        <w:adjustRightInd w:val="0"/>
        <w:snapToGrid w:val="0"/>
        <w:spacing w:line="360" w:lineRule="auto"/>
        <w:ind w:firstLine="480" w:firstLineChars="200"/>
        <w:rPr>
          <w:bCs/>
          <w:sz w:val="24"/>
        </w:rPr>
      </w:pPr>
      <w:r>
        <w:rPr>
          <w:rFonts w:hint="eastAsia"/>
          <w:bCs/>
          <w:sz w:val="24"/>
        </w:rPr>
        <w:t>51、元：如无特指，指人民币元</w:t>
      </w:r>
    </w:p>
    <w:p>
      <w:pPr>
        <w:adjustRightInd w:val="0"/>
        <w:snapToGrid w:val="0"/>
        <w:spacing w:line="360" w:lineRule="auto"/>
        <w:ind w:firstLine="480" w:firstLineChars="200"/>
        <w:rPr>
          <w:bCs/>
          <w:sz w:val="24"/>
        </w:rPr>
      </w:pPr>
      <w:r>
        <w:rPr>
          <w:rFonts w:hint="eastAsia"/>
          <w:bCs/>
          <w:sz w:val="24"/>
        </w:rPr>
        <w:t>52、汇率：如无特指，指中国人民银行或其授权机构公布的人民币汇率中间价</w:t>
      </w:r>
    </w:p>
    <w:p>
      <w:pPr>
        <w:adjustRightInd w:val="0"/>
        <w:snapToGrid w:val="0"/>
        <w:spacing w:line="360" w:lineRule="auto"/>
        <w:ind w:firstLine="480" w:firstLineChars="200"/>
        <w:rPr>
          <w:bCs/>
          <w:sz w:val="24"/>
        </w:rPr>
      </w:pPr>
      <w:r>
        <w:rPr>
          <w:bCs/>
          <w:sz w:val="24"/>
        </w:rPr>
        <w:t>53</w:t>
      </w:r>
      <w:r>
        <w:rPr>
          <w:rFonts w:hint="eastAsia"/>
          <w:bCs/>
          <w:sz w:val="24"/>
        </w:rPr>
        <w:t>、基金收益：指基金投资所得红利、股息、债券利息、买卖证券价差、银行存款利息、已实现的其他合法收入及因运用基金财产带来的成本和费用的节约</w:t>
      </w:r>
    </w:p>
    <w:p>
      <w:pPr>
        <w:adjustRightInd w:val="0"/>
        <w:snapToGrid w:val="0"/>
        <w:spacing w:line="360" w:lineRule="auto"/>
        <w:ind w:firstLine="480" w:firstLineChars="200"/>
        <w:rPr>
          <w:bCs/>
          <w:sz w:val="24"/>
        </w:rPr>
      </w:pPr>
      <w:r>
        <w:rPr>
          <w:rFonts w:hint="eastAsia"/>
          <w:bCs/>
          <w:sz w:val="24"/>
        </w:rPr>
        <w:t>54、基金资产总值：指基金拥有的各类有价证券、股指期货合约、银行存款本息、基金应收款项及其他资产的价值总和</w:t>
      </w:r>
    </w:p>
    <w:p>
      <w:pPr>
        <w:adjustRightInd w:val="0"/>
        <w:snapToGrid w:val="0"/>
        <w:spacing w:line="360" w:lineRule="auto"/>
        <w:ind w:firstLine="480" w:firstLineChars="200"/>
        <w:rPr>
          <w:bCs/>
          <w:sz w:val="24"/>
        </w:rPr>
      </w:pPr>
      <w:r>
        <w:rPr>
          <w:rFonts w:hint="eastAsia"/>
          <w:bCs/>
          <w:sz w:val="24"/>
        </w:rPr>
        <w:t>55、基金资产净值：指基金资产总值减去基金负债后的价值</w:t>
      </w:r>
    </w:p>
    <w:p>
      <w:pPr>
        <w:adjustRightInd w:val="0"/>
        <w:snapToGrid w:val="0"/>
        <w:spacing w:line="360" w:lineRule="auto"/>
        <w:ind w:firstLine="480" w:firstLineChars="200"/>
        <w:rPr>
          <w:bCs/>
          <w:sz w:val="24"/>
        </w:rPr>
      </w:pPr>
      <w:r>
        <w:rPr>
          <w:rFonts w:hint="eastAsia"/>
          <w:bCs/>
          <w:sz w:val="24"/>
        </w:rPr>
        <w:t>56、基金份额净值：指计算日基金资产净值除以计算日基金份额总数</w:t>
      </w:r>
    </w:p>
    <w:p>
      <w:pPr>
        <w:adjustRightInd w:val="0"/>
        <w:snapToGrid w:val="0"/>
        <w:spacing w:line="360" w:lineRule="auto"/>
        <w:ind w:firstLine="480" w:firstLineChars="200"/>
        <w:rPr>
          <w:bCs/>
          <w:sz w:val="24"/>
        </w:rPr>
      </w:pPr>
      <w:r>
        <w:rPr>
          <w:bCs/>
          <w:sz w:val="24"/>
        </w:rPr>
        <w:t>5</w:t>
      </w:r>
      <w:r>
        <w:rPr>
          <w:rFonts w:hint="eastAsia"/>
          <w:bCs/>
          <w:sz w:val="24"/>
        </w:rPr>
        <w:t>7、基金资产估值：指计算评估基金资产和负债的价值，以确定基金资产净值和基金份额净值的过程</w:t>
      </w:r>
    </w:p>
    <w:p>
      <w:pPr>
        <w:adjustRightInd w:val="0"/>
        <w:snapToGrid w:val="0"/>
        <w:spacing w:line="360" w:lineRule="auto"/>
        <w:ind w:firstLine="480" w:firstLineChars="200"/>
        <w:rPr>
          <w:bCs/>
          <w:sz w:val="24"/>
        </w:rPr>
      </w:pPr>
      <w:r>
        <w:rPr>
          <w:bCs/>
          <w:sz w:val="24"/>
        </w:rPr>
        <w:t>5</w:t>
      </w:r>
      <w:r>
        <w:rPr>
          <w:rFonts w:hint="eastAsia"/>
          <w:bCs/>
          <w:sz w:val="24"/>
        </w:rPr>
        <w:t>8、港股通标的股票：指内地投资者委托内地证券公司，经由内地证券交易所在香港设立的证券交易服务公司，向香港联合交易所进行申报，买卖规定范围内的香港联合交易所上市的股票</w:t>
      </w:r>
    </w:p>
    <w:p>
      <w:pPr>
        <w:adjustRightInd w:val="0"/>
        <w:snapToGrid w:val="0"/>
        <w:spacing w:line="360" w:lineRule="auto"/>
        <w:ind w:firstLine="480" w:firstLineChars="200"/>
        <w:rPr>
          <w:bCs/>
          <w:sz w:val="24"/>
        </w:rPr>
      </w:pPr>
      <w:r>
        <w:rPr>
          <w:bCs/>
          <w:sz w:val="24"/>
        </w:rPr>
        <w:t>5</w:t>
      </w:r>
      <w:r>
        <w:rPr>
          <w:rFonts w:hint="eastAsia"/>
          <w:bCs/>
          <w:sz w:val="24"/>
        </w:rPr>
        <w:t>9、销售服务费：指从基金财产中计提的，用于本基金市场推广、销售以及基金份额持有人服务的费用</w:t>
      </w:r>
    </w:p>
    <w:p>
      <w:pPr>
        <w:adjustRightInd w:val="0"/>
        <w:snapToGrid w:val="0"/>
        <w:spacing w:line="360" w:lineRule="auto"/>
        <w:ind w:firstLine="480" w:firstLineChars="200"/>
        <w:rPr>
          <w:bCs/>
          <w:sz w:val="24"/>
        </w:rPr>
      </w:pPr>
      <w:r>
        <w:rPr>
          <w:rFonts w:hint="eastAsia"/>
          <w:bCs/>
          <w:sz w:val="24"/>
        </w:rPr>
        <w:t>60、A类基金份额：指在投资人认购/申购时收取认购/申购费用、不从本类别基金资产中计提销售服务费的基金份额（其中，对于投资人通过直销机构认购/申购的A类基金份额，不收取认购/申购费用）</w:t>
      </w:r>
    </w:p>
    <w:p>
      <w:pPr>
        <w:adjustRightInd w:val="0"/>
        <w:snapToGrid w:val="0"/>
        <w:spacing w:line="360" w:lineRule="auto"/>
        <w:ind w:firstLine="480" w:firstLineChars="200"/>
        <w:rPr>
          <w:bCs/>
          <w:sz w:val="24"/>
        </w:rPr>
      </w:pPr>
      <w:r>
        <w:rPr>
          <w:rFonts w:hint="eastAsia"/>
          <w:bCs/>
          <w:sz w:val="24"/>
        </w:rPr>
        <w:t>61、C类基金份额：指在投资人认购/申购时不收取认购/申购费用、从本类别基金资产中计提销售服务费的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即365天，下同）后计提的销售服务费将在投资人赎回相应基金份额或基金合同终止时随赎回款或清算款一并返还给投资人）</w:t>
      </w:r>
    </w:p>
    <w:p>
      <w:pPr>
        <w:adjustRightInd w:val="0"/>
        <w:snapToGrid w:val="0"/>
        <w:spacing w:line="360" w:lineRule="auto"/>
        <w:ind w:firstLine="480" w:firstLineChars="200"/>
        <w:rPr>
          <w:bCs/>
          <w:sz w:val="24"/>
        </w:rPr>
      </w:pPr>
      <w:r>
        <w:rPr>
          <w:rFonts w:hint="eastAsia"/>
          <w:bCs/>
          <w:sz w:val="24"/>
        </w:rPr>
        <w:t>62、规定媒介：指符合中国证监会规定条件的用以进行信息披露的全国性报刊及《信息披露办法》规定的互联网网站（包括基金管理人网站、基金托管人网站、中国证监会基金电子披露网站）等媒介</w:t>
      </w:r>
    </w:p>
    <w:p>
      <w:pPr>
        <w:adjustRightInd w:val="0"/>
        <w:snapToGrid w:val="0"/>
        <w:spacing w:line="360" w:lineRule="auto"/>
        <w:ind w:firstLine="480" w:firstLineChars="200"/>
        <w:rPr>
          <w:bCs/>
          <w:sz w:val="24"/>
        </w:rPr>
      </w:pPr>
      <w:r>
        <w:rPr>
          <w:rFonts w:hint="eastAsia"/>
          <w:bCs/>
          <w:sz w:val="24"/>
        </w:rPr>
        <w:t>63、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adjustRightInd w:val="0"/>
        <w:snapToGrid w:val="0"/>
        <w:spacing w:line="360" w:lineRule="auto"/>
        <w:ind w:firstLine="480" w:firstLineChars="200"/>
        <w:rPr>
          <w:bCs/>
          <w:sz w:val="24"/>
        </w:rPr>
      </w:pPr>
      <w:r>
        <w:rPr>
          <w:rFonts w:hint="eastAsia"/>
          <w:bCs/>
          <w:sz w:val="24"/>
        </w:rPr>
        <w:t>64、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adjustRightInd w:val="0"/>
        <w:snapToGrid w:val="0"/>
        <w:spacing w:line="360" w:lineRule="auto"/>
        <w:ind w:firstLine="480" w:firstLineChars="200"/>
        <w:rPr>
          <w:bCs/>
          <w:sz w:val="24"/>
        </w:rPr>
      </w:pPr>
      <w:r>
        <w:rPr>
          <w:rFonts w:hint="eastAsia"/>
          <w:bCs/>
          <w:sz w:val="24"/>
        </w:rPr>
        <w:t>65、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djustRightInd w:val="0"/>
        <w:snapToGrid w:val="0"/>
        <w:spacing w:line="360" w:lineRule="auto"/>
        <w:ind w:firstLine="480" w:firstLineChars="200"/>
        <w:rPr>
          <w:bCs/>
          <w:sz w:val="24"/>
        </w:rPr>
      </w:pPr>
      <w:r>
        <w:rPr>
          <w:rFonts w:hint="eastAsia"/>
          <w:bCs/>
          <w:sz w:val="24"/>
        </w:rPr>
        <w:t>66、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djustRightInd w:val="0"/>
        <w:snapToGrid w:val="0"/>
        <w:spacing w:line="360" w:lineRule="auto"/>
        <w:ind w:firstLine="480" w:firstLineChars="200"/>
        <w:rPr>
          <w:rFonts w:hint="eastAsia"/>
          <w:bCs/>
          <w:sz w:val="24"/>
        </w:rPr>
      </w:pPr>
      <w:r>
        <w:rPr>
          <w:rFonts w:hint="eastAsia"/>
          <w:bCs/>
          <w:sz w:val="24"/>
        </w:rPr>
        <w:t>67、不可抗力：指基金合同当事人不能预见、不能避免且不能克服的客观事件</w:t>
      </w:r>
      <w:bookmarkEnd w:id="10"/>
    </w:p>
    <w:p>
      <w:pPr>
        <w:adjustRightInd/>
        <w:snapToGrid/>
        <w:spacing w:line="240" w:lineRule="auto"/>
        <w:ind w:firstLine="0" w:firstLineChars="0"/>
        <w:rPr>
          <w:rFonts w:hint="eastAsia"/>
          <w:bCs/>
          <w:sz w:val="24"/>
        </w:rPr>
      </w:pPr>
      <w:r>
        <w:rPr>
          <w:rFonts w:hint="eastAsia"/>
          <w:bCs/>
          <w:sz w:val="24"/>
        </w:rPr>
        <w:br w:type="page"/>
      </w:r>
    </w:p>
    <w:p>
      <w:pPr>
        <w:spacing w:line="360" w:lineRule="auto"/>
        <w:jc w:val="center"/>
        <w:outlineLvl w:val="0"/>
        <w:rPr>
          <w:rFonts w:hint="default" w:ascii="宋体" w:hAnsi="宋体" w:eastAsia="宋体"/>
          <w:b/>
          <w:kern w:val="0"/>
          <w:sz w:val="30"/>
          <w:lang w:val="en-US" w:eastAsia="zh-CN"/>
        </w:rPr>
      </w:pPr>
      <w:bookmarkStart w:id="11" w:name="_Toc23516"/>
      <w:bookmarkStart w:id="12" w:name="_Toc6460"/>
      <w:r>
        <w:rPr>
          <w:rFonts w:hint="eastAsia" w:ascii="宋体" w:hAnsi="宋体"/>
          <w:b/>
          <w:kern w:val="0"/>
          <w:sz w:val="30"/>
        </w:rPr>
        <w:t>三、</w:t>
      </w:r>
      <w:r>
        <w:rPr>
          <w:rFonts w:hint="eastAsia" w:ascii="宋体" w:hAnsi="宋体"/>
          <w:b/>
          <w:kern w:val="0"/>
          <w:sz w:val="30"/>
          <w:lang w:val="en-US" w:eastAsia="zh-CN"/>
        </w:rPr>
        <w:t>风险揭示</w:t>
      </w:r>
      <w:bookmarkEnd w:id="11"/>
      <w:bookmarkEnd w:id="12"/>
    </w:p>
    <w:p>
      <w:pPr>
        <w:widowControl/>
        <w:adjustRightInd w:val="0"/>
        <w:snapToGrid w:val="0"/>
        <w:spacing w:line="360" w:lineRule="auto"/>
        <w:ind w:firstLine="480" w:firstLineChars="200"/>
        <w:rPr>
          <w:kern w:val="0"/>
          <w:sz w:val="24"/>
        </w:rPr>
      </w:pPr>
    </w:p>
    <w:p>
      <w:pPr>
        <w:adjustRightInd w:val="0"/>
        <w:snapToGrid w:val="0"/>
        <w:spacing w:line="360" w:lineRule="auto"/>
        <w:ind w:firstLine="480" w:firstLineChars="20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djustRightInd w:val="0"/>
        <w:snapToGrid w:val="0"/>
        <w:spacing w:line="360" w:lineRule="auto"/>
        <w:ind w:firstLine="480" w:firstLineChars="200"/>
        <w:rPr>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基金总份额的百分之十时，投资人将可能无法及时赎回持有的全部基金份额。基金分为股票</w:t>
      </w:r>
      <w:r>
        <w:rPr>
          <w:rFonts w:hint="eastAsia" w:hAnsi="宋体"/>
          <w:sz w:val="24"/>
          <w:szCs w:val="24"/>
        </w:rPr>
        <w:t>型</w:t>
      </w:r>
      <w:r>
        <w:rPr>
          <w:rFonts w:hAnsi="宋体"/>
          <w:sz w:val="24"/>
          <w:szCs w:val="24"/>
        </w:rPr>
        <w:t>基金、混合</w:t>
      </w:r>
      <w:r>
        <w:rPr>
          <w:rFonts w:hint="eastAsia" w:hAnsi="宋体"/>
          <w:sz w:val="24"/>
          <w:szCs w:val="24"/>
        </w:rPr>
        <w:t>型</w:t>
      </w:r>
      <w:r>
        <w:rPr>
          <w:rFonts w:hAnsi="宋体"/>
          <w:sz w:val="24"/>
          <w:szCs w:val="24"/>
        </w:rPr>
        <w:t>基金、债券</w:t>
      </w:r>
      <w:r>
        <w:rPr>
          <w:rFonts w:hint="eastAsia" w:hAnsi="宋体"/>
          <w:sz w:val="24"/>
          <w:szCs w:val="24"/>
        </w:rPr>
        <w:t>型</w:t>
      </w:r>
      <w:r>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pPr>
        <w:adjustRightInd w:val="0"/>
        <w:snapToGrid w:val="0"/>
        <w:spacing w:line="360" w:lineRule="auto"/>
        <w:ind w:firstLine="480" w:firstLineChars="200"/>
        <w:rPr>
          <w:sz w:val="24"/>
          <w:szCs w:val="24"/>
        </w:rPr>
      </w:pPr>
      <w:r>
        <w:rPr>
          <w:rFonts w:hAnsi="宋体"/>
          <w:sz w:val="24"/>
          <w:szCs w:val="24"/>
        </w:rPr>
        <w:t>投资人应当认真阅读《基金合同》、《招募说明书》、</w:t>
      </w:r>
      <w:r>
        <w:rPr>
          <w:rFonts w:hint="eastAsia" w:hAnsi="宋体"/>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pPr>
        <w:adjustRightInd w:val="0"/>
        <w:snapToGrid w:val="0"/>
        <w:spacing w:line="360" w:lineRule="auto"/>
        <w:ind w:firstLine="480" w:firstLineChars="20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widowControl/>
        <w:adjustRightInd w:val="0"/>
        <w:snapToGrid w:val="0"/>
        <w:spacing w:line="360" w:lineRule="auto"/>
        <w:ind w:firstLine="480" w:firstLineChars="200"/>
        <w:rPr>
          <w:sz w:val="24"/>
          <w:szCs w:val="24"/>
        </w:rPr>
      </w:pPr>
      <w:r>
        <w:rPr>
          <w:rFonts w:hAnsi="宋体"/>
          <w:sz w:val="24"/>
          <w:szCs w:val="24"/>
        </w:rPr>
        <w:t>因</w:t>
      </w:r>
      <w:r>
        <w:rPr>
          <w:rFonts w:hint="eastAsia" w:hAnsi="宋体"/>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int="eastAsia" w:hAnsi="宋体"/>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pPr>
        <w:widowControl/>
        <w:adjustRightInd w:val="0"/>
        <w:snapToGrid w:val="0"/>
        <w:spacing w:line="360" w:lineRule="auto"/>
        <w:ind w:firstLine="480" w:firstLineChars="200"/>
        <w:rPr>
          <w:sz w:val="24"/>
          <w:szCs w:val="24"/>
        </w:rPr>
      </w:pPr>
      <w:r>
        <w:rPr>
          <w:rFonts w:hAnsi="宋体"/>
          <w:sz w:val="24"/>
          <w:szCs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pPr>
        <w:widowControl/>
        <w:adjustRightInd w:val="0"/>
        <w:snapToGrid w:val="0"/>
        <w:spacing w:line="360" w:lineRule="auto"/>
        <w:ind w:firstLine="480" w:firstLineChars="200"/>
        <w:rPr>
          <w:kern w:val="0"/>
          <w:sz w:val="24"/>
          <w:szCs w:val="24"/>
        </w:rPr>
      </w:pPr>
      <w:r>
        <w:rPr>
          <w:rFonts w:hAnsi="宋体"/>
          <w:kern w:val="0"/>
          <w:sz w:val="24"/>
          <w:szCs w:val="24"/>
        </w:rPr>
        <w:t>基金份额持有人须了解并承受以下风险：</w:t>
      </w:r>
    </w:p>
    <w:p>
      <w:pPr>
        <w:adjustRightInd w:val="0"/>
        <w:snapToGrid w:val="0"/>
        <w:spacing w:line="360" w:lineRule="auto"/>
        <w:ind w:firstLine="482"/>
        <w:outlineLvl w:val="1"/>
        <w:rPr>
          <w:b/>
          <w:bCs/>
          <w:sz w:val="24"/>
        </w:rPr>
      </w:pPr>
      <w:r>
        <w:rPr>
          <w:b/>
          <w:bCs/>
          <w:sz w:val="24"/>
        </w:rPr>
        <w:t>（一）市场风险</w:t>
      </w:r>
    </w:p>
    <w:p>
      <w:pPr>
        <w:widowControl/>
        <w:adjustRightInd w:val="0"/>
        <w:snapToGrid w:val="0"/>
        <w:spacing w:line="360" w:lineRule="auto"/>
        <w:ind w:firstLine="480" w:firstLineChars="20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pPr>
        <w:adjustRightInd w:val="0"/>
        <w:snapToGrid w:val="0"/>
        <w:spacing w:line="360" w:lineRule="auto"/>
        <w:ind w:firstLine="482"/>
        <w:outlineLvl w:val="1"/>
        <w:rPr>
          <w:b/>
          <w:bCs/>
          <w:sz w:val="24"/>
        </w:rPr>
      </w:pPr>
      <w:r>
        <w:rPr>
          <w:b/>
          <w:bCs/>
          <w:sz w:val="24"/>
        </w:rPr>
        <w:t>（二）管理风险</w:t>
      </w:r>
    </w:p>
    <w:p>
      <w:pPr>
        <w:widowControl/>
        <w:adjustRightInd w:val="0"/>
        <w:snapToGrid w:val="0"/>
        <w:spacing w:line="360" w:lineRule="auto"/>
        <w:ind w:firstLine="480" w:firstLineChars="20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djustRightInd w:val="0"/>
        <w:snapToGrid w:val="0"/>
        <w:spacing w:line="360" w:lineRule="auto"/>
        <w:ind w:firstLine="482"/>
        <w:outlineLvl w:val="1"/>
        <w:rPr>
          <w:b/>
          <w:bCs/>
          <w:sz w:val="24"/>
        </w:rPr>
      </w:pPr>
      <w:r>
        <w:rPr>
          <w:b/>
          <w:bCs/>
          <w:sz w:val="24"/>
        </w:rPr>
        <w:t>（三）流动性风险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1、本基金的申购、赎回安排</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开放方式运作，投资人在开放日办理基金份额的申购和赎回，本基金的开放日为上海证券交易所、深圳证券交易所及本基金投资的主要境外市场的共同交易日（若该工作日为非港股通交易日，则本基金不开放），具体办理时间为上海证券交易所、深圳证券交易所的正常交易日的交易时间，但基金管理人根据法律法规、中国证监会的要求或基金合同的规定公告暂停申购、赎回时除外。本基金投资的主要境外市场为香港市场。基金管理人可根据实际情况依法决定本基金开始办理申购的具体日期，具体业务办理时间在申购开始公告中规定。基金管理人自基金合同生效之日起不超过3个月开始办理赎回，具体业务办理时间在赎回开始公告中规定。</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2、投资市场、行业及资产的流动性风险评估</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的投资市场主要为境内、境外证券/期货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3、巨额赎回情形下的流动性风险管理措施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4、实施备用的流动性风险管理工具的情形、程序及对投资者的潜在影响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本基金在面临大规模赎回的情况下有可能因为无法变现造成流动性风险。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基金管理人将根据主袋账户运作情况合理确定申购政策，因此实施侧袋机制后主袋账户份额存在暂停申购的可能。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djustRightInd w:val="0"/>
        <w:snapToGrid w:val="0"/>
        <w:spacing w:line="360" w:lineRule="auto"/>
        <w:ind w:firstLine="482"/>
        <w:outlineLvl w:val="1"/>
        <w:rPr>
          <w:b/>
          <w:bCs/>
          <w:sz w:val="24"/>
        </w:rPr>
      </w:pPr>
      <w:r>
        <w:rPr>
          <w:b/>
          <w:bCs/>
          <w:sz w:val="24"/>
        </w:rPr>
        <w:t>（四）信用风险</w:t>
      </w:r>
    </w:p>
    <w:p>
      <w:pPr>
        <w:widowControl/>
        <w:adjustRightInd w:val="0"/>
        <w:snapToGrid w:val="0"/>
        <w:spacing w:line="360" w:lineRule="auto"/>
        <w:ind w:firstLine="480" w:firstLineChars="200"/>
        <w:rPr>
          <w:kern w:val="0"/>
          <w:sz w:val="24"/>
          <w:szCs w:val="24"/>
        </w:rPr>
      </w:pPr>
      <w:r>
        <w:rPr>
          <w:rFonts w:hAnsi="宋体"/>
          <w:kern w:val="0"/>
          <w:sz w:val="24"/>
          <w:szCs w:val="24"/>
        </w:rPr>
        <w:t>基金在交易过程</w:t>
      </w:r>
      <w:r>
        <w:rPr>
          <w:rFonts w:hint="eastAsia" w:hAnsi="宋体"/>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pPr>
        <w:adjustRightInd w:val="0"/>
        <w:snapToGrid w:val="0"/>
        <w:spacing w:line="360" w:lineRule="auto"/>
        <w:ind w:firstLine="482"/>
        <w:outlineLvl w:val="1"/>
        <w:rPr>
          <w:b/>
          <w:bCs/>
          <w:sz w:val="24"/>
        </w:rPr>
      </w:pPr>
      <w:r>
        <w:rPr>
          <w:b/>
          <w:bCs/>
          <w:sz w:val="24"/>
        </w:rPr>
        <w:t>（五）本基金的</w:t>
      </w:r>
      <w:r>
        <w:rPr>
          <w:rFonts w:hint="eastAsia"/>
          <w:b/>
          <w:bCs/>
          <w:sz w:val="24"/>
        </w:rPr>
        <w:t>特有</w:t>
      </w:r>
      <w:r>
        <w:rPr>
          <w:b/>
          <w:bCs/>
          <w:sz w:val="24"/>
        </w:rPr>
        <w:t>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kern w:val="0"/>
          <w:sz w:val="24"/>
          <w:szCs w:val="24"/>
        </w:rPr>
        <w:t>本基金属于混合型</w:t>
      </w:r>
      <w:r>
        <w:rPr>
          <w:rFonts w:hint="eastAsia" w:hAnsi="宋体"/>
          <w:kern w:val="0"/>
          <w:sz w:val="24"/>
          <w:szCs w:val="24"/>
        </w:rPr>
        <w:t>QDII</w:t>
      </w:r>
      <w:r>
        <w:rPr>
          <w:rFonts w:hAnsi="宋体"/>
          <w:kern w:val="0"/>
          <w:sz w:val="24"/>
          <w:szCs w:val="24"/>
        </w:rPr>
        <w:t>基金，</w:t>
      </w:r>
      <w:r>
        <w:rPr>
          <w:rFonts w:hint="eastAsia" w:hAnsi="宋体"/>
          <w:kern w:val="0"/>
          <w:sz w:val="24"/>
          <w:szCs w:val="24"/>
        </w:rPr>
        <w:t>可投资于境内市场和境外市场依法发行的金融工具。本基金股票投资（含普通股、优先股、港股通标的股票、存托凭证）占基金资产的比例为60%-95%，其中投资于本基金界定的港股消费主题相关股票（含存托凭证）的比例不低于非现金基金资产的80%。</w:t>
      </w:r>
    </w:p>
    <w:p>
      <w:pPr>
        <w:widowControl/>
        <w:adjustRightInd w:val="0"/>
        <w:snapToGrid w:val="0"/>
        <w:spacing w:line="360" w:lineRule="auto"/>
        <w:ind w:firstLine="480" w:firstLineChars="200"/>
        <w:rPr>
          <w:rFonts w:ascii="宋体" w:hAnsi="宋体" w:cs="宋体"/>
          <w:sz w:val="24"/>
          <w:szCs w:val="24"/>
        </w:rPr>
      </w:pPr>
      <w:r>
        <w:rPr>
          <w:rFonts w:hint="eastAsia" w:hAnsi="宋体"/>
          <w:kern w:val="0"/>
          <w:sz w:val="24"/>
          <w:szCs w:val="24"/>
        </w:rPr>
        <w:t>2、</w:t>
      </w:r>
      <w:r>
        <w:rPr>
          <w:rFonts w:ascii="宋体" w:hAnsi="宋体" w:cs="宋体"/>
          <w:sz w:val="24"/>
          <w:szCs w:val="24"/>
        </w:rPr>
        <w:t>作为投资于境内外市场的基金的风险</w:t>
      </w:r>
    </w:p>
    <w:p>
      <w:pPr>
        <w:widowControl/>
        <w:adjustRightInd w:val="0"/>
        <w:snapToGrid w:val="0"/>
        <w:spacing w:line="360" w:lineRule="auto"/>
        <w:ind w:firstLine="480" w:firstLineChars="200"/>
        <w:rPr>
          <w:rFonts w:hAnsi="宋体"/>
          <w:kern w:val="0"/>
          <w:sz w:val="24"/>
          <w:szCs w:val="24"/>
        </w:rPr>
      </w:pPr>
      <w:r>
        <w:rPr>
          <w:rFonts w:ascii="宋体" w:hAnsi="宋体" w:cs="宋体"/>
          <w:sz w:val="24"/>
          <w:szCs w:val="24"/>
        </w:rPr>
        <w:t>本基金涉及到境内及境外证券市场，境外证券交易所、期货交易所、证券与期货登记结算机构的交易规则、业务规则和市场惯例与境内有较大差异，基金管理人和相关市场参与主体涉及跨境业务的处理能力、经验、系统等有待验证，从而导致本基金的运作可能受到影响而带来风险。 本基金投资于境内及境外市场，面临境内及境外市场波动带来的风险。影响金融市场波动的因素比较复杂，包括经济发展、政策变化、资金供求、公司盈利的变化、利率汇率波动等，都将影响基金净值的升跌。此外，基金投资的境外证券市场可能对每日证券交易价格并无涨跌幅上下限的规定，因此对于无涨跌幅上下限规定的证券市场的证券，每日涨跌幅空间相对较大。这一因素可能会带来市场的急剧下跌</w:t>
      </w:r>
      <w:r>
        <w:rPr>
          <w:rFonts w:hint="eastAsia" w:ascii="宋体" w:hAnsi="宋体" w:cs="宋体"/>
          <w:sz w:val="24"/>
          <w:szCs w:val="24"/>
        </w:rPr>
        <w:t>，</w:t>
      </w:r>
      <w:r>
        <w:rPr>
          <w:rFonts w:ascii="宋体" w:hAnsi="宋体" w:cs="宋体"/>
          <w:sz w:val="24"/>
          <w:szCs w:val="24"/>
        </w:rPr>
        <w:t>从而带来投资风险的增加。</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kern w:val="0"/>
          <w:sz w:val="24"/>
          <w:szCs w:val="24"/>
        </w:rPr>
        <w:t>、行业集中风险</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本基金主要投资于港股及境外市场中与消费主题相关的股票，投资于消费主题相关资产的比例不低于非现金基金资产的80%。本基金因此面临因消费行业整体景气度波动、政策调整（如消费补贴退坡、平台经济监管变化）、居民可支配收入预期变化或消费偏好迁移（如从实物消费转向服务消费）而引发的系统性风险。若消费板块出现阶段性回调或结构性分化，基金净值可能因行业集中度较高而承受显著波动。此外，部分重仓标的客户集中度高，亦可能放大单一企业经营风险对基金的影响。</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w:t>
      </w:r>
      <w:r>
        <w:rPr>
          <w:rFonts w:ascii="宋体" w:hAnsi="宋体" w:cs="宋体"/>
          <w:sz w:val="24"/>
          <w:szCs w:val="24"/>
        </w:rPr>
        <w:t>本基金投资境内特定品种的特有风险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（1）本基金可投资创业板股票，创业板个股上市后的前五个交易日不设价格涨跌幅限制，第六个交易日开始涨跌幅限制比例为20%。</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（2）投资股指期货的特定风险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kern w:val="0"/>
          <w:sz w:val="24"/>
          <w:szCs w:val="24"/>
        </w:rPr>
        <w:t>）市场风险是指由于股指期货价格变动而给投资者带来的风险。市场风险是股指期货投资中最主要的风险。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w:t>
      </w:r>
      <w:r>
        <w:rPr>
          <w:rFonts w:hAnsi="宋体"/>
          <w:kern w:val="0"/>
          <w:sz w:val="24"/>
          <w:szCs w:val="24"/>
        </w:rPr>
        <w:t>）流动性风险是指由于股指期货合约无法及时变现所带来的风险。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w:t>
      </w:r>
      <w:r>
        <w:rPr>
          <w:rFonts w:hAnsi="宋体"/>
          <w:kern w:val="0"/>
          <w:sz w:val="24"/>
          <w:szCs w:val="24"/>
        </w:rPr>
        <w:t>）基差风险是指股指期货合约价格和指数价格之间的价格差的波动所造成的风险，以及不同股指期货合约价格之间价格差的波动所造成的期现价差风险。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w:t>
      </w:r>
      <w:r>
        <w:rPr>
          <w:rFonts w:hAnsi="宋体"/>
          <w:kern w:val="0"/>
          <w:sz w:val="24"/>
          <w:szCs w:val="24"/>
        </w:rPr>
        <w:t>）保证金风险是指由于无法及时筹措资金满足建立或者维持股指期货合约头寸所要求的保证金而带来的风险。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w:t>
      </w:r>
      <w:r>
        <w:rPr>
          <w:rFonts w:hAnsi="宋体"/>
          <w:kern w:val="0"/>
          <w:sz w:val="24"/>
          <w:szCs w:val="24"/>
        </w:rPr>
        <w:t>）信用风险是指期货经纪公司违约而产生损失的风险。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w:t>
      </w:r>
      <w:r>
        <w:rPr>
          <w:rFonts w:hAnsi="宋体"/>
          <w:kern w:val="0"/>
          <w:sz w:val="24"/>
          <w:szCs w:val="24"/>
        </w:rPr>
        <w:t>）操作风险是指由于内部流程的不完善，业务人员出现差错或者疏漏，或者系统出现故障等原因造成损失的风险。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此外，由于衍生品通常具有杠杆效应，价格波动比标的工具更为剧烈，并且其定价相当复杂，不适当的估值也有可能使基金资产面临损失风险。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（3）投资股票期权的特定风险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w:t>
      </w:r>
      <w:r>
        <w:rPr>
          <w:rFonts w:hAnsi="宋体"/>
          <w:kern w:val="0"/>
          <w:sz w:val="24"/>
          <w:szCs w:val="24"/>
        </w:rPr>
        <w:t>可投资于</w:t>
      </w:r>
      <w:r>
        <w:rPr>
          <w:rFonts w:hint="eastAsia" w:hAnsi="宋体"/>
          <w:kern w:val="0"/>
          <w:sz w:val="24"/>
          <w:szCs w:val="24"/>
        </w:rPr>
        <w:t>股票期权，股票期权的风险主要包括市场风险、流动性风险、保证金风险、信用风险和操作风险等。市场风险指由于标的价格变动而产生的衍生品的价格波动。流动性风险指当期权交易量大于市场可报价的交易量而产生的风险。保证金风险指由于无法及时筹措资金满足建立或者维持衍生品合约头寸所要求的保证金而带来的风险。信用风险指交易对手不愿或无法履行契约的风险。操作风险则指因交易过程、交易系统、人员疏失或其他不可预期事件所导致的损失。</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（4）投资境内资产支持证券的特定风险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w:t>
      </w:r>
      <w:r>
        <w:rPr>
          <w:rFonts w:ascii="宋体" w:hAnsi="宋体" w:cs="宋体"/>
          <w:sz w:val="24"/>
          <w:szCs w:val="24"/>
        </w:rPr>
        <w:t>通过港股通交易机制投资境外的风险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本基金通过港股通交易机制投资于香港市场，会面临因投资环境、投资标的、市场制度以及交易规则等差异带来的特有风险，具体如下：</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1）港股交易失败风险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2）汇率风险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3）境外市场的风险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①本基金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②香港市场交易规则有别于内地A股市场规则，此外，在“内地与香港股票市场交易互联互通机制”下参与香港股票投资还将面临包括但不限于如下特殊风险：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a.香港市场实行T+0回转交易机制（即当日买入的股票，在交收前可以于当日卖出），且证券交易价格并无涨跌幅上下限的规定，因此每日涨跌幅空间相对较大，可能表现出比A股更为剧烈的股价波动；</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c.香港出现香港联合交易所规定的相关情形时，香港联合交易所将可能停市，本基金将面临在停市期间无法进行港股通交易的风险；出现内地证券交易服务公司认定的交易异常情况时，内地证券交易服务公司将可能暂停提供部分或者全部港股通服务，将面临在暂停服务期间无法进行港股通交易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d.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以上所述因素可能会给本基金投资带来特殊交易风险。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w:t>
      </w:r>
      <w:r>
        <w:rPr>
          <w:rFonts w:ascii="宋体" w:hAnsi="宋体" w:cs="宋体"/>
          <w:sz w:val="24"/>
          <w:szCs w:val="24"/>
        </w:rPr>
        <w:t xml:space="preserve">境内发行的存托凭证投资风险 </w:t>
      </w:r>
    </w:p>
    <w:p>
      <w:pPr>
        <w:widowControl/>
        <w:adjustRightInd w:val="0"/>
        <w:snapToGrid w:val="0"/>
        <w:spacing w:line="360" w:lineRule="auto"/>
        <w:ind w:firstLine="480" w:firstLineChars="200"/>
        <w:rPr>
          <w:rFonts w:hAnsi="宋体"/>
          <w:kern w:val="0"/>
          <w:sz w:val="24"/>
          <w:szCs w:val="24"/>
        </w:rPr>
      </w:pPr>
      <w:r>
        <w:rPr>
          <w:rFonts w:ascii="宋体" w:hAnsi="宋体" w:cs="宋体"/>
          <w:sz w:val="24"/>
          <w:szCs w:val="24"/>
        </w:rPr>
        <w:t>本基金的投资范围包括存托凭证，除与其他仅投资于境内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（7）投资科创板股票的特定风险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1）市场风险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科创板个股上市后的前五个交易日无涨跌停限制，其后涨跌幅限制为20%，科创板股票上市首日即可作为融资融券标的，可能导致较大的股票价格波动。</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2）流动性风险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科创板整体投资门槛较高，二级市场上个人投资者参与度相对较低，机构持有个股大量流通盘导致个股流动性较差，基金组合存在无法及时变现及其他相关流动性风险。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3）退市风险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科创板退市制度较主板更为严格，且不再设置暂停上市、恢复上市和重新上市环节，上市公司退市风险更大。</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4）系统性风险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科创板企业均为市场认可度较高的科技创新企业，在企业经营及盈利模式上存在趋同，所以科创板个股相关性较高，市场表现不佳时，系统性风险将更为显著。</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5）政策风险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国家对高新技术产业扶持力度及重视程度的变化会对科创板企业带来较大影响，国际经济形势变化对战略新兴产业及科创板个股也会带来政策影响。</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、境外投资风险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亦可投资于境外市场的其他资产，除了需要承担与投资境内证券类似的市场波动风险等一般投资风险之外，本基金还面临汇率风险等境外市场投资所面临的特别投资风险，主要包括境外市场风险、流动性风险、境外上市公司经营风险、利率风险、衍生品风险、会计核算风险、税务风险、法律和政府管制风险、政治风险、信用风险、交易结算风险、引入境外托管人的风险、境外投资额度不足或受政策影响可能产生的风险、参与境外证券借贷、正逆回购的风险等。</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（1）汇率风险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以人民币募集和计价，但本基金通过港股通或QDII额度投资于境外市场。外币相对于人民币的汇率变化将会影响本基金以人民币计价的基金资产价值，从而导致基金资产面临潜在风险。人民币对相关币种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（2）境外市场风险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境外市场风险是指由于境外市场因素如基础利率、汇率、股票价格和商品价格的变化或由于这些境外市场因素的波动率的变化而引起的证券价格的非预期变化，并产生损失的可能性。</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境外投资受到所投市场宏观经济运行情况、货币政策、财政政策、产业政策、税法、汇率、交易规则、结算、托管以及其他运作风险等多种因素的影响，上述因素的波动和变化可能会使基金资产面临潜在风险。此外，境外投资的成本、境外市场的波动性也可能高于国内A股市场，存在一定的市场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由于本基金将投资于境外市场，因此一方面基金净值会因全球股市的整体变化而出现价格波动。另一方面，各国各地区处于不同的产业经济循环周期之中，这也将对基金的投资绩效产生影响。具体而言，境外证券市场对于特定事件的反应各不相同；各国对上市公司的会计准则和信息披露要求均存在较大的区别；各国或地区有其独特的政治因素、法律法规、市场状况、经济发展趋势；并且美国、香港等证券交易市场对每日证券交易价格并无涨跌幅上下限的规定，使得这些国家或地区证券的每日涨跌幅空间相对较大。以上所述因素都可能会带来市场的急剧下跌，从而导致投资风险的增加。</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（3）流动性风险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流动性风险是指因市场交易量不足，导致不能以适当价格及时进行境外证券交易的风险，或基金无法应付基金赎回支付的要求所引起的风险。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（4）境外上市公司经营风险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境外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（5）利率风险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利率风险是指境外证券投资基金投资的各类境外债券受利率波动影响而引起基金资产波动，使基金资产面临的风险。利率风险是债券投资所面临的主要风险，息票利率、期限和到期收益率水平都将影响债券的利率风险水平。国家或地区的利率变动还将影响该地区的经济与汇率等。</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（6）衍生品风险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衍生品风险是指期货、期权、互换等金融衍生品的价格剧烈波动以及交易保证金变化而引起基金资产波动，使基金资产面临的风险。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7</w:t>
      </w:r>
      <w:r>
        <w:rPr>
          <w:rFonts w:hint="eastAsia" w:hAnsi="宋体"/>
          <w:kern w:val="0"/>
          <w:sz w:val="24"/>
          <w:szCs w:val="24"/>
        </w:rPr>
        <w:t>）会计核算风险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由于各个国家或地区对上市公司日常经营活动的会计处理、财务报表披露等会计核算标准的规定存在一定差异，可能给本基金投资带来潜在风险。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8</w:t>
      </w:r>
      <w:r>
        <w:rPr>
          <w:rFonts w:hint="eastAsia" w:hAnsi="宋体"/>
          <w:kern w:val="0"/>
          <w:sz w:val="24"/>
          <w:szCs w:val="24"/>
        </w:rPr>
        <w:t>）税务风险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由于各个国家或地区税务法律法规的不同，可能会要求基金就股息、利息、资本利得等收益向当地税务机构缴纳税金，该行为可能会使得投资收益受到一定影响。另外，各国的税收法律法规的规定可能变化，或者加以具有追溯力的修订，所以可能须向其缴纳本基金销售、估值或者投资日并未预计的额外税项，从而可能对本基金收益造成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9</w:t>
      </w:r>
      <w:r>
        <w:rPr>
          <w:rFonts w:hint="eastAsia" w:hAnsi="宋体"/>
          <w:kern w:val="0"/>
          <w:sz w:val="24"/>
          <w:szCs w:val="24"/>
        </w:rPr>
        <w:t>）法律和政府管制风险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由于各国的法律法规与中国不同的原因，可能导致本基金的某些投资行为受到限制或合同不能正常执行，从而使得基金资产面临损失的可能性。此外，基金所投资的国家/地区可能会不时采取某些管制措施，如资本或外汇管制、对公司或行业的国有化、没收资产以及征收高额税收等，从而对基金收益以及基金资产带来不利影响。政府管制风险是指由于在所投资国家或地区中，新兴市场国家一般对外汇的管制较严格，因此存在一定的外汇管制风险，可能导致汇兑损益产生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10</w:t>
      </w:r>
      <w:r>
        <w:rPr>
          <w:rFonts w:hint="eastAsia" w:hAnsi="宋体"/>
          <w:kern w:val="0"/>
          <w:sz w:val="24"/>
          <w:szCs w:val="24"/>
        </w:rPr>
        <w:t>）政治风险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政治风险国家或地区的财政政策、货币政策、产业政策、地区发展政策等宏观政策发生变化，导致市场波动从而影响基金收益产生的风险。例如新政府或许会拒绝承担前任政府的债务。</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11</w:t>
      </w:r>
      <w:r>
        <w:rPr>
          <w:rFonts w:hint="eastAsia" w:hAnsi="宋体"/>
          <w:kern w:val="0"/>
          <w:sz w:val="24"/>
          <w:szCs w:val="24"/>
        </w:rPr>
        <w:t>）信用风险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主要投资于香港及境外消费相关资产，其底层资产的稳定性与主要投资地的主权信用状况密切相关。境外消费企业高度依赖美国、欧盟等经济体的居民消费能力，若上述国家因主权债务高企、利率高企或财政紧缩导致消费疲软，将直接影响基金持仓企业的收入与估值。如果全球信用分层加剧，本基金所持境外消费类资产可能面临因主权信用风险外溢导致的融资成本上升与流动性收缩压力。</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kern w:val="0"/>
          <w:sz w:val="24"/>
          <w:szCs w:val="24"/>
        </w:rPr>
        <w:t>2</w:t>
      </w:r>
      <w:r>
        <w:rPr>
          <w:rFonts w:hint="eastAsia" w:hAnsi="宋体"/>
          <w:kern w:val="0"/>
          <w:sz w:val="24"/>
          <w:szCs w:val="24"/>
        </w:rPr>
        <w:t>）交易结算风险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境外的证券交易佣金可能比国内高。境外股票交易所、货币市场、证券交易体系以及证券经纪商的监管体系和制度与国内不同。证券交易交割时间、资金清算时间有可能比国内需要更长时间。此外，在基金的投资交易中，因交易的对手方无法履行对一位或多位的交易对手的支付义务而使得基金在投资交易中蒙受损失。</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int="eastAsia" w:hAnsi="宋体"/>
          <w:kern w:val="0"/>
          <w:sz w:val="24"/>
          <w:szCs w:val="24"/>
          <w:lang w:val="en-US" w:eastAsia="zh-CN"/>
        </w:rPr>
        <w:t>3</w:t>
      </w:r>
      <w:r>
        <w:rPr>
          <w:rFonts w:hint="eastAsia" w:hAnsi="宋体"/>
          <w:kern w:val="0"/>
          <w:sz w:val="24"/>
          <w:szCs w:val="24"/>
        </w:rPr>
        <w:t>）引入境外托管人的风险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由境外托管人提供境外资产托管服务，存在因适用法律不同导致基金资产损失的风险：由于境外所适用法律法规与中国法律法规有所不同的原因，可能导致本基金的某些投资及运作行为在境外受到限制或合同不能正常执行，从而使得基金资产面临损失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int="eastAsia" w:hAnsi="宋体"/>
          <w:kern w:val="0"/>
          <w:sz w:val="24"/>
          <w:szCs w:val="24"/>
          <w:lang w:val="en-US" w:eastAsia="zh-CN"/>
        </w:rPr>
        <w:t>4</w:t>
      </w:r>
      <w:r>
        <w:rPr>
          <w:rFonts w:hint="eastAsia" w:hAnsi="宋体"/>
          <w:kern w:val="0"/>
          <w:sz w:val="24"/>
          <w:szCs w:val="24"/>
        </w:rPr>
        <w:t>）境外投资额度不足或受政策影响可能产生的风险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在本基金运作过程中，本基金通过合格境内机构投资者境外投资额度投资于境外市场将受到境外投资额度制约，或受限于境外市场相关政策，由此可能影响本基金投资策略的实现，从而对基金资产带来不利影响。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int="eastAsia" w:hAnsi="宋体"/>
          <w:kern w:val="0"/>
          <w:sz w:val="24"/>
          <w:szCs w:val="24"/>
          <w:lang w:val="en-US" w:eastAsia="zh-CN"/>
        </w:rPr>
        <w:t>5</w:t>
      </w:r>
      <w:r>
        <w:rPr>
          <w:rFonts w:hint="eastAsia" w:hAnsi="宋体"/>
          <w:kern w:val="0"/>
          <w:sz w:val="24"/>
          <w:szCs w:val="24"/>
        </w:rPr>
        <w:t>）参与境外证券借贷、正逆回购的风险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境外证券借贷、正逆回购的主要风险在于交易对手风险。对于证券借贷，作为证券借出方，如果交易对手方（即证券借入方）违约，则基金可能面临到期无法获得证券借贷收入甚至借出证券无法归还的风险，从而导致基金资产发生损失；对于正回购，</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交易期满时，可能会出现交易对手方未如约卖回已买入证券未如支付售出证券产生的所有股息、利息和分红的风险；对于逆回购，交易期满时，可能会出现交易对手方未如约买回已售出证券的风险。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、投资流通受限证券的特定风险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Ansi="宋体"/>
          <w:kern w:val="0"/>
          <w:sz w:val="24"/>
          <w:szCs w:val="24"/>
        </w:rPr>
      </w:pPr>
    </w:p>
    <w:p>
      <w:pPr>
        <w:widowControl/>
        <w:adjustRightInd w:val="0"/>
        <w:snapToGrid w:val="0"/>
        <w:spacing w:line="360" w:lineRule="auto"/>
        <w:ind w:firstLine="482" w:firstLineChars="200"/>
        <w:outlineLvl w:val="1"/>
        <w:rPr>
          <w:rFonts w:hAnsi="宋体"/>
          <w:b/>
          <w:kern w:val="0"/>
          <w:sz w:val="24"/>
          <w:szCs w:val="24"/>
        </w:rPr>
      </w:pPr>
      <w:r>
        <w:rPr>
          <w:rFonts w:hint="eastAsia" w:hAnsi="宋体"/>
          <w:b/>
          <w:kern w:val="0"/>
          <w:sz w:val="24"/>
          <w:szCs w:val="24"/>
        </w:rPr>
        <w:t>（六）</w:t>
      </w:r>
      <w:r>
        <w:rPr>
          <w:rFonts w:hAnsi="宋体"/>
          <w:b/>
          <w:kern w:val="0"/>
          <w:sz w:val="24"/>
          <w:szCs w:val="24"/>
        </w:rPr>
        <w:t>本基金法律文件风险收益特征表述与销售机构基金风险评价可能不一致的风险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widowControl/>
        <w:adjustRightInd w:val="0"/>
        <w:snapToGrid w:val="0"/>
        <w:spacing w:line="360" w:lineRule="auto"/>
        <w:ind w:firstLine="482" w:firstLineChars="200"/>
        <w:outlineLvl w:val="1"/>
        <w:rPr>
          <w:b/>
          <w:kern w:val="0"/>
          <w:sz w:val="24"/>
          <w:szCs w:val="24"/>
        </w:rPr>
      </w:pPr>
      <w:r>
        <w:rPr>
          <w:rFonts w:hint="eastAsia" w:hAnsi="宋体"/>
          <w:b/>
          <w:kern w:val="0"/>
          <w:sz w:val="24"/>
          <w:szCs w:val="24"/>
        </w:rPr>
        <w:t>（七）其他风险</w:t>
      </w:r>
    </w:p>
    <w:p>
      <w:pPr>
        <w:widowControl/>
        <w:adjustRightInd w:val="0"/>
        <w:snapToGrid w:val="0"/>
        <w:spacing w:line="360" w:lineRule="auto"/>
        <w:ind w:firstLine="480" w:firstLineChars="200"/>
        <w:rPr>
          <w:kern w:val="0"/>
          <w:sz w:val="24"/>
          <w:szCs w:val="24"/>
        </w:rPr>
      </w:pPr>
      <w:r>
        <w:rPr>
          <w:rFonts w:hint="eastAsia"/>
          <w:kern w:val="0"/>
          <w:sz w:val="24"/>
          <w:szCs w:val="24"/>
        </w:rPr>
        <w:t>1、</w:t>
      </w:r>
      <w:r>
        <w:rPr>
          <w:rFonts w:hAnsi="宋体"/>
          <w:kern w:val="0"/>
          <w:sz w:val="24"/>
          <w:szCs w:val="24"/>
        </w:rPr>
        <w:t>因技术因素而产生的风险，如电脑系统不可靠产生的风险；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2、</w:t>
      </w:r>
      <w:r>
        <w:rPr>
          <w:rFonts w:hAnsi="宋体"/>
          <w:kern w:val="0"/>
          <w:sz w:val="24"/>
          <w:szCs w:val="24"/>
        </w:rPr>
        <w:t>因基金业务快速发展，在制度建设、人员配备、内控制度建立等方面的不完善产生的风险；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3、</w:t>
      </w:r>
      <w:r>
        <w:rPr>
          <w:rFonts w:hAnsi="宋体"/>
          <w:kern w:val="0"/>
          <w:sz w:val="24"/>
          <w:szCs w:val="24"/>
        </w:rPr>
        <w:t>因人为因素而产生的风险、如内幕交易、欺诈行为等产生的风险；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4、</w:t>
      </w:r>
      <w:r>
        <w:rPr>
          <w:rFonts w:hAnsi="宋体"/>
          <w:kern w:val="0"/>
          <w:sz w:val="24"/>
          <w:szCs w:val="24"/>
        </w:rPr>
        <w:t>对主要业务人员如基金经理的依赖而可能产生的风险；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5、</w:t>
      </w:r>
      <w:r>
        <w:rPr>
          <w:rFonts w:hAnsi="宋体"/>
          <w:kern w:val="0"/>
          <w:sz w:val="24"/>
          <w:szCs w:val="24"/>
        </w:rPr>
        <w:t>因业务竞争压力可能产生的风险；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6、</w:t>
      </w:r>
      <w:r>
        <w:rPr>
          <w:rFonts w:hAnsi="宋体"/>
          <w:kern w:val="0"/>
          <w:sz w:val="24"/>
          <w:szCs w:val="24"/>
        </w:rPr>
        <w:t>战争、自然灾害等不可抗力可能导致基金财产的损失，影响基金收益水平，从而带来风险；</w:t>
      </w:r>
    </w:p>
    <w:p>
      <w:pPr>
        <w:widowControl/>
        <w:adjustRightInd w:val="0"/>
        <w:snapToGrid w:val="0"/>
        <w:spacing w:line="360" w:lineRule="auto"/>
        <w:ind w:firstLine="480" w:firstLineChars="200"/>
        <w:rPr>
          <w:rFonts w:hAnsi="宋体"/>
          <w:kern w:val="0"/>
          <w:sz w:val="24"/>
          <w:szCs w:val="24"/>
        </w:rPr>
      </w:pPr>
      <w:r>
        <w:rPr>
          <w:rFonts w:hint="eastAsia"/>
          <w:kern w:val="0"/>
          <w:sz w:val="24"/>
          <w:szCs w:val="24"/>
        </w:rPr>
        <w:t>7、</w:t>
      </w:r>
      <w:r>
        <w:rPr>
          <w:rFonts w:hAnsi="宋体"/>
          <w:kern w:val="0"/>
          <w:sz w:val="24"/>
          <w:szCs w:val="24"/>
        </w:rPr>
        <w:t>其他意外导致的风险。</w:t>
      </w:r>
    </w:p>
    <w:p>
      <w:pPr>
        <w:widowControl/>
        <w:adjustRightInd/>
        <w:snapToGrid/>
        <w:spacing w:line="240" w:lineRule="auto"/>
        <w:ind w:firstLine="0" w:firstLineChars="0"/>
        <w:rPr>
          <w:rFonts w:hAnsi="宋体"/>
          <w:kern w:val="0"/>
          <w:sz w:val="24"/>
          <w:szCs w:val="24"/>
        </w:rPr>
      </w:pPr>
      <w:r>
        <w:rPr>
          <w:rFonts w:hAnsi="宋体"/>
          <w:kern w:val="0"/>
          <w:sz w:val="24"/>
          <w:szCs w:val="24"/>
        </w:rPr>
        <w:br w:type="page"/>
      </w:r>
    </w:p>
    <w:p>
      <w:pPr>
        <w:keepNext w:val="0"/>
        <w:keepLines w:val="0"/>
        <w:widowControl w:val="0"/>
        <w:suppressLineNumbers w:val="0"/>
        <w:spacing w:before="0" w:beforeAutospacing="0" w:after="0" w:afterAutospacing="0" w:line="360" w:lineRule="auto"/>
        <w:ind w:left="0" w:right="0"/>
        <w:jc w:val="center"/>
        <w:outlineLvl w:val="0"/>
        <w:rPr>
          <w:rFonts w:hint="default" w:ascii="宋体" w:hAnsi="宋体" w:eastAsia="宋体" w:cs="Times New Roman"/>
          <w:b/>
          <w:bCs w:val="0"/>
          <w:kern w:val="0"/>
          <w:sz w:val="30"/>
          <w:szCs w:val="30"/>
          <w:lang w:val="en-US"/>
        </w:rPr>
      </w:pPr>
      <w:bookmarkStart w:id="13" w:name="_Toc19243"/>
      <w:bookmarkStart w:id="14" w:name="_Toc28209"/>
      <w:r>
        <w:rPr>
          <w:rFonts w:hint="eastAsia" w:ascii="宋体" w:hAnsi="宋体" w:cs="宋体"/>
          <w:b/>
          <w:bCs w:val="0"/>
          <w:kern w:val="0"/>
          <w:sz w:val="30"/>
          <w:szCs w:val="30"/>
          <w:lang w:val="en-US" w:eastAsia="zh-CN" w:bidi="ar"/>
        </w:rPr>
        <w:t>四</w:t>
      </w:r>
      <w:r>
        <w:rPr>
          <w:rFonts w:hint="eastAsia" w:ascii="宋体" w:hAnsi="宋体" w:eastAsia="宋体" w:cs="宋体"/>
          <w:b/>
          <w:bCs w:val="0"/>
          <w:kern w:val="0"/>
          <w:sz w:val="30"/>
          <w:szCs w:val="30"/>
          <w:lang w:val="en-US" w:eastAsia="zh-CN" w:bidi="ar"/>
        </w:rPr>
        <w:t>、基金</w:t>
      </w:r>
      <w:r>
        <w:rPr>
          <w:rFonts w:hint="eastAsia" w:ascii="宋体" w:hAnsi="宋体" w:cs="宋体"/>
          <w:b/>
          <w:bCs w:val="0"/>
          <w:kern w:val="0"/>
          <w:sz w:val="30"/>
          <w:szCs w:val="30"/>
          <w:lang w:val="en-US" w:eastAsia="zh-CN" w:bidi="ar"/>
        </w:rPr>
        <w:t>的投资</w:t>
      </w:r>
      <w:bookmarkEnd w:id="13"/>
      <w:bookmarkEnd w:id="14"/>
    </w:p>
    <w:p>
      <w:pPr>
        <w:keepNext w:val="0"/>
        <w:keepLines w:val="0"/>
        <w:widowControl w:val="0"/>
        <w:suppressLineNumbers w:val="0"/>
        <w:adjustRightInd w:val="0"/>
        <w:snapToGrid w:val="0"/>
        <w:spacing w:before="0" w:beforeAutospacing="0" w:after="0" w:afterAutospacing="0" w:line="360" w:lineRule="auto"/>
        <w:ind w:left="0" w:right="0" w:firstLine="482" w:firstLineChars="0"/>
        <w:jc w:val="both"/>
        <w:outlineLvl w:val="9"/>
        <w:rPr>
          <w:rFonts w:hint="eastAsia" w:ascii="宋体" w:hAnsi="宋体" w:eastAsia="宋体" w:cs="宋体"/>
          <w:b w:val="0"/>
          <w:bCs/>
          <w:kern w:val="2"/>
          <w:sz w:val="24"/>
          <w:szCs w:val="24"/>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1"/>
        <w:rPr>
          <w:rFonts w:hint="default" w:ascii="Times New Roman" w:hAnsi="宋体" w:eastAsia="宋体" w:cs="Times New Roman"/>
          <w:kern w:val="0"/>
          <w:sz w:val="24"/>
          <w:szCs w:val="24"/>
        </w:rPr>
      </w:pPr>
      <w:r>
        <w:rPr>
          <w:rFonts w:hint="eastAsia" w:ascii="宋体" w:hAnsi="宋体" w:eastAsia="宋体" w:cs="宋体"/>
          <w:b/>
          <w:bCs/>
          <w:kern w:val="2"/>
          <w:sz w:val="24"/>
          <w:szCs w:val="24"/>
          <w:lang w:val="en-US" w:eastAsia="zh-CN" w:bidi="ar"/>
        </w:rPr>
        <w:t>（一）投资目标</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本基金主要投资于港股消费主题相关证券资产，在合理控制风险的前提下，充分发挥专业研究与管理能力，力争为投资者提供长期稳健的投资回报。</w:t>
      </w:r>
    </w:p>
    <w:p>
      <w:pPr>
        <w:keepNext w:val="0"/>
        <w:keepLines w:val="0"/>
        <w:widowControl w:val="0"/>
        <w:suppressLineNumbers w:val="0"/>
        <w:adjustRightInd w:val="0"/>
        <w:snapToGrid w:val="0"/>
        <w:spacing w:before="0" w:beforeAutospacing="0" w:after="0" w:afterAutospacing="0" w:line="360" w:lineRule="auto"/>
        <w:ind w:left="0" w:right="0" w:firstLine="482"/>
        <w:jc w:val="both"/>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（二）投资范围</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本基金可投资于境内市场和境外市场依法发行的金融工具。</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境内市场投资工具，包括境内依法发行上市的股票（含主板、创业板、科创板及其他经中国证监会核准或注册上市的股票、存托凭证）、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股票期权以及法律法规或中国证监会允许基金投资的其他金融工具（但须符合中国证监会相关规定）。</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境外市场投资工具，包括已与中国证监会签署双边监管合作谅解备忘录的国家或地区证券市场挂牌交易的普通股、优先股、存托凭证、房地产信托凭证；港股通标的股票；在已与中国证监会签署双边监管合作谅解备忘录的国家或地区证券监管机构登记注册的公募基金（含交易型开放式基金ETF）；政府债券、公司债券、可转换债券、住房按揭支持证券、资产支持证券等及经中国证监会认可的国际金融组织发行的证券；银行存款、可转让存单、银行承兑汇票、银行票据、商业票据、回购协议、短期政府债券等货币市场工具；远期合约、互换及经中国证监会认可的境外交易所上市交易的权证、期权、期货等金融衍生产品；与固定收益、股权、信用、商品指数、基金等标的物挂钩的结构性投资产品；中国证监会允许基金投资的其他金融工具（但须符合中国证监会相关规定）。</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本基金可以进行境外证券借贷交易、境外正回购交易、逆回购交易。</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其中，在投资香港市场时，本基金可通过合格境内机构投资者（QDII）境外投资额度、内地与香港股票市场交易互联互通机制或内地与香港债券市场互联互通南向合作进行投资。</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如法律法规或监管机构以后允许基金投资其他品种，基金管理人在履行适当程序后，可以将其纳入投资范围。</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基金的投资组合比例为：股票投资（含普通股、优先股、港股通标的股票、存托凭证）占基金资产的比例为</w:t>
      </w:r>
      <w:r>
        <w:rPr>
          <w:rFonts w:hint="default" w:ascii="Times New Roman" w:hAnsi="Times New Roman" w:eastAsia="宋体" w:cs="Times New Roman"/>
          <w:bCs/>
          <w:kern w:val="2"/>
          <w:sz w:val="24"/>
          <w:szCs w:val="24"/>
          <w:lang w:val="en-US" w:eastAsia="zh-CN" w:bidi="ar"/>
        </w:rPr>
        <w:t>60%-95%</w:t>
      </w:r>
      <w:r>
        <w:rPr>
          <w:rFonts w:hint="eastAsia" w:ascii="宋体" w:hAnsi="宋体" w:eastAsia="宋体" w:cs="宋体"/>
          <w:bCs/>
          <w:kern w:val="2"/>
          <w:sz w:val="24"/>
          <w:szCs w:val="24"/>
          <w:lang w:val="en-US" w:eastAsia="zh-CN" w:bidi="ar"/>
        </w:rPr>
        <w:t>，其中投资于本基金界定的港股消费主题相关股票（含存托凭证）的比例不低于非现金基金资产的</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；每个交易日日终在扣除股指期货和股票期权合约需缴纳的交易保证金后，本基金持有的现金或者到期日在一年以内的政府债券的比例合计不低于基金资产净值的</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，其中现金不包括结算备付金、存出保证金、应收申购款等。</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如果法律法规或中国证监会变更投资品种的投资比例限制，基金管理人在履行适当程序后，可以调整上述投资品种的投资比例。</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1"/>
        <w:rPr>
          <w:rFonts w:hint="default" w:ascii="Times New Roman" w:hAnsi="宋体" w:eastAsia="宋体" w:cs="Times New Roman"/>
          <w:kern w:val="0"/>
          <w:sz w:val="24"/>
          <w:szCs w:val="24"/>
        </w:rPr>
      </w:pPr>
      <w:r>
        <w:rPr>
          <w:rFonts w:hint="eastAsia" w:ascii="宋体" w:hAnsi="宋体" w:eastAsia="宋体" w:cs="宋体"/>
          <w:b/>
          <w:bCs/>
          <w:kern w:val="2"/>
          <w:sz w:val="24"/>
          <w:szCs w:val="24"/>
          <w:lang w:val="en-US" w:eastAsia="zh-CN" w:bidi="ar"/>
        </w:rPr>
        <w:t>（三）投资策略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1、大类资产配置</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利用经交银施罗德研究团队修正后的投资时钟分析框架，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2、股票投资策略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（1）港股消费主题的界定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本基金基于行业景气度、公司竞争力进行深入研究，聚焦具有长期投资价值、符合港股消费主题的优质公司。本基金所界定的港股消费主题，指的是香港市场上市的消费主题相关行业的上市公司。本基金所指消费主题相关行业主要包括以下行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1）主要消费行业，是指提供满足居民基本生活需求的商品或服务的相关行业，包括恒生行业分类口径下的食物饮品、农业产品、消费者主要零售商等。</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可选消费行业，是指提供满足居民更高层次需求、改善生活质量的商品或服务的相关行业，包括恒生行业分类口径下的纺织及服饰、家庭电器及用品、旅游及消闲设施、媒体及娱乐、汽车、支援服务、专业零售、药品及生物科技、其他医疗保健、软件服务等。</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将对港股消费主题相关行业的发展进行密切跟踪，随着市场环境的不断变化，主题相关的上市公司的范围也会相应改变。在履行适当程序后，本基金将根据实际情况对主题的界定范围进行调整，并在招募说明书中更新并公告。</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（2）个股投资策略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1）品质筛选</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筛选出在公司治理、财务及管理品质上符合基本品质要求的公司，构建备选股票池。主要筛选指标包括：</w:t>
      </w:r>
    </w:p>
    <w:p>
      <w:pPr>
        <w:keepNext w:val="0"/>
        <w:keepLines w:val="0"/>
        <w:widowControl w:val="0"/>
        <w:numPr>
          <w:ilvl w:val="0"/>
          <w:numId w:val="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盈利能力指标：如营业利润率（OPM）、每股收益（EPS）、每股现金流（CFPS）、每股自由现金流（FCFPS）与每股息税前利润（EBITPS）等；</w:t>
      </w:r>
    </w:p>
    <w:p>
      <w:pPr>
        <w:keepNext w:val="0"/>
        <w:keepLines w:val="0"/>
        <w:widowControl w:val="0"/>
        <w:numPr>
          <w:ilvl w:val="0"/>
          <w:numId w:val="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经营效率指标：如净资产收益率（ROE）、资产收益率（ROA）、经营资产收益率（ROOA）与资产周转率（ATR）等；</w:t>
      </w:r>
    </w:p>
    <w:p>
      <w:pPr>
        <w:keepNext w:val="0"/>
        <w:keepLines w:val="0"/>
        <w:widowControl w:val="0"/>
        <w:numPr>
          <w:ilvl w:val="0"/>
          <w:numId w:val="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财务状况指标：如资产负债率（D/A）、流动比率（CR）等；</w:t>
      </w:r>
    </w:p>
    <w:p>
      <w:pPr>
        <w:keepNext w:val="0"/>
        <w:keepLines w:val="0"/>
        <w:widowControl w:val="0"/>
        <w:numPr>
          <w:ilvl w:val="0"/>
          <w:numId w:val="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研发投入指标：如研发投入与营业收入比率、科研人员数量及占比、专利数量及在同行业的占比等。</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2）价值评估</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（3）存托凭证的投资策略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本基金投资存托凭证的策略依照本基金的投资目标和股票投资策略执行。</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3、债券投资策略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本基金的债券投资采取主动的投资管理方式，获得与风险相匹配的投资收益，以实现在一定程度上规避股票市场的系统性风险和保证基金资产的流动性。</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4、资产支持证券投资策略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Times New Roman"/>
          <w:bCs/>
          <w:kern w:val="2"/>
          <w:sz w:val="24"/>
          <w:szCs w:val="24"/>
        </w:rPr>
      </w:pPr>
      <w:r>
        <w:rPr>
          <w:rFonts w:hint="eastAsia" w:ascii="宋体" w:hAnsi="宋体"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、金融衍生品投资策略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（1）股指期货投资策略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（2）股票期权投资策略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本基金参与股票期权投资将根据风险管理的原则，以套期保值为主要目的。本基金将结合投资目标、比例限制、风险收益特征以及法律法规的相关限定和要求，确定参与股票期权交易的投资时机和投资比例。</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（3）境外金融衍生品投资策略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为更好地实现本基金的投资目标，本基金将在条件允许的情况下投资于远期合约、互换及经中国证监会认可的境外交易所上市交易的权证、期权、期货等金融衍生产品，以期降低跟踪误差水平。本基金将根据风险管理的原则，以套期保值为目的，主要选择流动性好、交易活跃的金融衍生品进行交易。本基金还可通过投资外汇期货、外汇远期、外汇互换等来管理基金投资以及应对申购赎回过程中的汇率风险。</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6、境外基金投资策略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本基金可根据本基金的投资目标和股票策略，投资于与本基金有相近的投资目标的及投资策略、或有助于实现本基金投资目标的境外ETF。</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7、境外回购交易及证券借贷交易策略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为更好地实现投资目标，增加基金收益，弥补基金运作成本，本基金在控制风险的前提下还将参与境外回购交易、境外证券借贷交易等投资。</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1"/>
        <w:rPr>
          <w:rFonts w:hint="default" w:ascii="Times New Roman" w:hAnsi="宋体" w:eastAsia="宋体" w:cs="Times New Roman"/>
          <w:kern w:val="0"/>
          <w:sz w:val="24"/>
          <w:szCs w:val="24"/>
        </w:rPr>
      </w:pPr>
      <w:r>
        <w:rPr>
          <w:rFonts w:hint="eastAsia" w:ascii="宋体" w:hAnsi="宋体" w:eastAsia="宋体" w:cs="宋体"/>
          <w:b/>
          <w:bCs/>
          <w:kern w:val="2"/>
          <w:sz w:val="24"/>
          <w:szCs w:val="24"/>
          <w:lang w:val="en-US" w:eastAsia="zh-CN" w:bidi="ar"/>
        </w:rPr>
        <w:t>（四）投资限制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Times New Roman"/>
          <w:bCs/>
          <w:kern w:val="2"/>
          <w:sz w:val="24"/>
          <w:szCs w:val="24"/>
        </w:rPr>
      </w:pPr>
      <w:r>
        <w:rPr>
          <w:rFonts w:hint="eastAsia" w:ascii="宋体" w:hAnsi="宋体" w:eastAsia="宋体" w:cs="Times New Roman"/>
          <w:bCs/>
          <w:kern w:val="2"/>
          <w:sz w:val="24"/>
          <w:szCs w:val="24"/>
          <w:lang w:val="en-US" w:eastAsia="zh-CN" w:bidi="ar"/>
        </w:rPr>
        <w:t>1、组合限制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基金的投资组合应遵循以下限制：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）股票投资（含普通股、优先股、港股通标的股票、存托凭证）占基金资产的比例为</w:t>
      </w:r>
      <w:r>
        <w:rPr>
          <w:rFonts w:hint="default" w:ascii="Times New Roman" w:hAnsi="Times New Roman" w:eastAsia="宋体" w:cs="Times New Roman"/>
          <w:bCs/>
          <w:kern w:val="2"/>
          <w:sz w:val="24"/>
          <w:szCs w:val="24"/>
          <w:lang w:val="en-US" w:eastAsia="zh-CN" w:bidi="ar"/>
        </w:rPr>
        <w:t>60%-95%</w:t>
      </w:r>
      <w:r>
        <w:rPr>
          <w:rFonts w:hint="eastAsia" w:ascii="宋体" w:hAnsi="宋体" w:eastAsia="宋体" w:cs="宋体"/>
          <w:bCs/>
          <w:kern w:val="2"/>
          <w:sz w:val="24"/>
          <w:szCs w:val="24"/>
          <w:lang w:val="en-US" w:eastAsia="zh-CN" w:bidi="ar"/>
        </w:rPr>
        <w:t>，其中投资于本基金界定的港股消费主题相关股票（含存托凭证）的比例不低于非现金基金资产的</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）每个交易日日终在扣除股指期货和股票期权合约需缴纳的交易保证金后，本基金持有的现金或者到期日在一年以内的政府债券的比例合计不低于基金资产净值的</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，其中现金不包括结算备付金、存出保证金、应收申购款等；</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）本基金资产总值不得超过基金资产净值的</w:t>
      </w:r>
      <w:r>
        <w:rPr>
          <w:rFonts w:hint="default" w:ascii="Times New Roman" w:hAnsi="Times New Roman" w:eastAsia="宋体" w:cs="Times New Roman"/>
          <w:bCs/>
          <w:kern w:val="2"/>
          <w:sz w:val="24"/>
          <w:szCs w:val="24"/>
          <w:lang w:val="en-US" w:eastAsia="zh-CN" w:bidi="ar"/>
        </w:rPr>
        <w:t>140%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）本基金境内投资组合应遵循以下限制：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）本基金持有一家公司发行的证券（同一家公司在境内和境外同时上市的，持股比例合计计算），其市值不超过基金资产净值的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）本基金管理人管理的全部基金持有一家公司发行的证券（同一家公司在境内和境外同时上市的，持股比例合计计算），不超过该证券的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％，完全按照有关指数的构成比例进行证券投资的基金品种可以不受此条款规定的比例限制；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）本基金投资于同一原始权益人的各类资产支持证券的比例，不得超过基金资产净值的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）本基金持有的全部资产支持证券，其市值不得超过基金资产净值的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）本基金持有的同一（指同一信用级别）资产支持证券的比例，不得超过该资产支持证券规模的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）本基金管理人管理的全部基金投资于同一原始权益人的各类资产支持证券，不得超过其各类资产支持证券合计规模的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）本基金应投资于信用级别评级为</w:t>
      </w:r>
      <w:r>
        <w:rPr>
          <w:rFonts w:hint="default" w:ascii="Times New Roman" w:hAnsi="Times New Roman" w:eastAsia="宋体" w:cs="Times New Roman"/>
          <w:bCs/>
          <w:kern w:val="2"/>
          <w:sz w:val="24"/>
          <w:szCs w:val="24"/>
          <w:lang w:val="en-US" w:eastAsia="zh-CN" w:bidi="ar"/>
        </w:rPr>
        <w:t>BBB</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BBB</w:t>
      </w:r>
      <w:r>
        <w:rPr>
          <w:rFonts w:hint="eastAsia" w:ascii="宋体" w:hAnsi="宋体" w:eastAsia="宋体" w:cs="宋体"/>
          <w:bCs/>
          <w:kern w:val="2"/>
          <w:sz w:val="24"/>
          <w:szCs w:val="24"/>
          <w:lang w:val="en-US" w:eastAsia="zh-CN" w:bidi="ar"/>
        </w:rPr>
        <w:t>）的资产支持证券。基金持有资产支持证券期间，如果其信用等级下降、不再符合投资标准，应在评级报告发布之日起</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个月内予以全部卖出；</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）基金财产参与股票发行申购，本基金所申报的金额不超过本基金的总资产，本基金所申报的股票数量不超过拟发行股票公司本次发行股票的总量；</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）本基金管理人管理的全部开放式基金（包括开放式基金以及处于开放期的定期开放基金）持有一家上市公司发行的可流通股票，不得超过该上市公司可流通股票的</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；本基金管理人管理的全部投资组合持有一家上市公司发行的可流通股票，不得超过该上市公司可流通股票的</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；完全按照有关指数的构成比例进行证券投资的开放式基金以及中国证监会认定的特殊投资组合可不受前述比例限制；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）本基金主动投资于流动性受限资产的市值合计不得超过基金资产净值的</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；因证券市场波动、上市公司股票停牌、基金规模变动等基金管理人之外的因素致使基金不符合该比例限制的，基金管理人不得主动新增流动性受限资产的投资；</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）本基金与私募类证券资管产品及中国证监会认定的其他主体为交易对手开展逆回购交易的，可接受质押品的资质要求应当与基金合同约定的投资范围保持一致；</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）若本基金参与股指期货交易，则：</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①本基金在任何交易日日终，持有的买入股指期货合约价值，不得超过基金资产净值的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②本基金在任何交易日日终，持有的买入股指期货合约价值与有价证券市值之和，不得超过基金资产净值的</w:t>
      </w:r>
      <w:r>
        <w:rPr>
          <w:rFonts w:hint="default" w:ascii="Times New Roman" w:hAnsi="Times New Roman" w:eastAsia="宋体" w:cs="Times New Roman"/>
          <w:bCs/>
          <w:kern w:val="2"/>
          <w:sz w:val="24"/>
          <w:szCs w:val="24"/>
          <w:lang w:val="en-US" w:eastAsia="zh-CN" w:bidi="ar"/>
        </w:rPr>
        <w:t>95%</w:t>
      </w:r>
      <w:r>
        <w:rPr>
          <w:rFonts w:hint="eastAsia" w:ascii="宋体" w:hAnsi="宋体" w:eastAsia="宋体" w:cs="宋体"/>
          <w:bCs/>
          <w:kern w:val="2"/>
          <w:sz w:val="24"/>
          <w:szCs w:val="24"/>
          <w:lang w:val="en-US" w:eastAsia="zh-CN" w:bidi="ar"/>
        </w:rPr>
        <w:t>。其中，有价证券指股票、债券（不含到期日在一年以内的政府债券）、资产支持证券、买入返售金融资产（不含质押式回购）等；</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③本基金在任何交易日日终，持有的卖出股指期货合约价值不得超过基金持有的股票总市值的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④本基金所持有的股票市值和买入、卖出股指期货合约价值，合计（轧差计算）应当符合基金合同关于股票投资比例的有关约定；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⑤本基金在任何交易日内交易（不包括平仓）的股指期货合约的成交金额不得超过上一交易日基金资产净值的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）若本基金参与股票期权交易，则：</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①因未平仓的期权合约支付和收取的权利金总额不得超过基金资产净值的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②开仓卖出认购期权的，应持有足额标的证券；开仓卖出认沽期权的，应持有合约行权所需的全额现金或交易所规则认可的可冲抵期权保证金的现金等价物；</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③未平仓的期权合约面值不得超过基金资产净值的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。其中，合约面值按照行权价乘以合约乘数计算；</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）本基金投资境内存托凭证的比例限制依照境内上市交易的股票执行；</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）本基金境外投资组合应遵循以下限制：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）本基金持有同一家银行的存款不得超过基金资产净值的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，本基金的境外存款银行为中资商业银行在境外设立的分行或在最近一个会计年度达到中国证监会认可的信用评级机构评级的境外银行。存放于基金托管账户的存款可以不受上述限制；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）本基金持有同一机构（政府、国际金融组织除外）发行的证券市值不得超过基金资产净值的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。该投资比例应当合并计算同一机构境内外发行的证券总市值；</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）本基金持有与中国证监会签署双边监管合作谅解备忘录国家或地区以外的其他国家或地区证券市场挂牌交易的证券资产不得超过基金资产净值的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，其中持有任一国家或地区市场的证券资产不得超过基金资产净值的</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）本基金不得购买证券用于控制或影响发行该证券的机构或其管理层。本基金管理人管理的全部基金不得持有同一机构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以上具有投票权的证券发行总量；同一机构境内外上市的总股本应当合并计算，同时应当一并计算存托凭证所代表的基础证券，并假设对持有的股本权证行使转换；</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）本基金持有非流动性资产市值不得超过基金资产净值的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。该非流动性资产是指法律或基金合同规定的流通受限证券以及中国证监会认定的其他资产；</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）本基金持有境外基金的市值合计不得超过本基金资产净值的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，但持有货币市场基金不受此限制；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）本基金管理人所管理的全部基金持有任何一只境外基金，不超过该境外基金总份额的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）本基金投资衍生品应当仅限于投资组合避险或有效管理，不得用于投机或放大交易，投资于境外金融衍生品的，同时应当严格遵守下列规定：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①本基金的金融衍生品全部敞口不得高于基金资产净值的</w:t>
      </w:r>
      <w:r>
        <w:rPr>
          <w:rFonts w:hint="default" w:ascii="Times New Roman" w:hAnsi="Times New Roman" w:eastAsia="宋体" w:cs="Times New Roman"/>
          <w:bCs/>
          <w:kern w:val="2"/>
          <w:sz w:val="24"/>
          <w:szCs w:val="24"/>
          <w:lang w:val="en-US" w:eastAsia="zh-CN" w:bidi="ar"/>
        </w:rPr>
        <w:t>100%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②本基金投资期货支付的初始保证金、投资期权支付或收取的期权费、投资柜台交易衍生品支付的初始费用的总额不得高于基金资产净值的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③本基金投资于远期合约、互换等柜台交易金融衍生品，应当符合以下要求：</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所有参与交易的对手方（中资商业银行除外）应当具有不低于中国证监会认可的信用评级机构评级；</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b.</w:t>
      </w:r>
      <w:r>
        <w:rPr>
          <w:rFonts w:hint="eastAsia" w:ascii="宋体" w:hAnsi="宋体" w:eastAsia="宋体" w:cs="宋体"/>
          <w:bCs/>
          <w:kern w:val="2"/>
          <w:sz w:val="24"/>
          <w:szCs w:val="24"/>
          <w:lang w:val="en-US" w:eastAsia="zh-CN" w:bidi="ar"/>
        </w:rPr>
        <w:t>交易对手方应当至少每个工作日对交易进行估值，并且本基金可在任何时候以公允价值终止交易；</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任一交易对手方的市值计价敞口不得超过基金资产净值的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④本基金不得直接投资与实物商品相关的衍生品；</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⑤基金管理人应当在本基金会计年度结束后</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个工作日内向中国证监会提交包括衍生品头寸及风险分析年度报告。</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）本基金可以参与境外证券借贷交易，并且应当遵守下列规定：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①所有参与交易的对手方（中资商业银行除外）应当具有中国证监会认可的信用评级机构评级；</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②应当采取市值计价制度进行调整以确保担保物市值不低于已借出证券市值的</w:t>
      </w:r>
      <w:r>
        <w:rPr>
          <w:rFonts w:hint="default" w:ascii="Times New Roman" w:hAnsi="Times New Roman" w:eastAsia="宋体" w:cs="Times New Roman"/>
          <w:bCs/>
          <w:kern w:val="2"/>
          <w:sz w:val="24"/>
          <w:szCs w:val="24"/>
          <w:lang w:val="en-US" w:eastAsia="zh-CN" w:bidi="ar"/>
        </w:rPr>
        <w:t>102</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③借方应当在交易期内及时向本基金支付已借出证券产生的所有股息、利息和分红。一旦借方违约，本基金根据协议和有关法律有权保留和处置担保物以满足索赔需要；</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④除中国证监会另有规定外，担保物可以是以下金融工具或品种：现金、存款证明、商业票据、政府债券、中资商业银行或由不低于中国证监会认可的信用评级机构评级的境外金融机构（作为交易对手方或其关联方的除外）出具的不可撤销信用证；</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⑤本基金有权在任何时候终止证券借贷交易并在正常市场惯例的合理期限内要求归还任一或所有已借出的证券；</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）本基金可以根据正常市场惯例参与境外正回购交易、逆回购交易，并且应当遵守下列规定：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①所有参与正回购交易的对手方（中资商业银行除外）应当具有中国证监会认可的信用评级机构信用评级；</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②参与正回购交易，应当采取市值计价制度对卖出收益进行调整以确保现金不低于已售出证券市值的</w:t>
      </w:r>
      <w:r>
        <w:rPr>
          <w:rFonts w:hint="default" w:ascii="Times New Roman" w:hAnsi="Times New Roman" w:eastAsia="宋体" w:cs="Times New Roman"/>
          <w:bCs/>
          <w:kern w:val="2"/>
          <w:sz w:val="24"/>
          <w:szCs w:val="24"/>
          <w:lang w:val="en-US" w:eastAsia="zh-CN" w:bidi="ar"/>
        </w:rPr>
        <w:t>102</w:t>
      </w:r>
      <w:r>
        <w:rPr>
          <w:rFonts w:hint="eastAsia" w:ascii="宋体" w:hAnsi="宋体" w:eastAsia="宋体" w:cs="宋体"/>
          <w:bCs/>
          <w:kern w:val="2"/>
          <w:sz w:val="24"/>
          <w:szCs w:val="24"/>
          <w:lang w:val="en-US" w:eastAsia="zh-CN" w:bidi="ar"/>
        </w:rPr>
        <w:t>％。一旦买方违约，本基金根据协议和有关法律有权保留或处置卖出收益以满足索赔需要；</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③买方应当在正回购交易期内及时向本基金支付售出证券产生的所有股息、利息和分红；</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④参与逆回购交易，应当对购入证券采取市值计价制度进行调整以确保已购入证券市值不低于支付现金的</w:t>
      </w:r>
      <w:r>
        <w:rPr>
          <w:rFonts w:hint="default" w:ascii="Times New Roman" w:hAnsi="Times New Roman" w:eastAsia="宋体" w:cs="Times New Roman"/>
          <w:bCs/>
          <w:kern w:val="2"/>
          <w:sz w:val="24"/>
          <w:szCs w:val="24"/>
          <w:lang w:val="en-US" w:eastAsia="zh-CN" w:bidi="ar"/>
        </w:rPr>
        <w:t>102</w:t>
      </w:r>
      <w:r>
        <w:rPr>
          <w:rFonts w:hint="eastAsia" w:ascii="宋体" w:hAnsi="宋体" w:eastAsia="宋体" w:cs="宋体"/>
          <w:bCs/>
          <w:kern w:val="2"/>
          <w:sz w:val="24"/>
          <w:szCs w:val="24"/>
          <w:lang w:val="en-US" w:eastAsia="zh-CN" w:bidi="ar"/>
        </w:rPr>
        <w:t>％。一旦卖方违约，本基金根据协议和有关法律有权保留或处置已购入证券以满足索赔需要；</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）基金参与境外证券借贷交易、正回购交易，所有已借出而未归还证券总市值或所有已售出而未回购证券总市值均不得超过基金总资产的</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％。本项比例限制计算，基金因参与证券借贷交易、正回购交易而持有的担保物、现金不得计入基金总资产；</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）为应付赎回、交易清算等临时用途借入现金的比例不得超过基金资产净值的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）法律法规及中国证监会规定的和《基金合同》约定的其他投资限制。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因证券、期货市场波动、证券发行人合并、基金规模变动等基金管理人之外的因素致使基金投资比例不符合上述规定投资比例的，针对第（</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）项投资比例，除该项下第</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）情形之外，基金管理人应当在</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个交易日内进行调整，但中国证监会规定的特殊情形除外；若本基金投资超过第（</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）项下第</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）项投资比例规定的，基金管理人应当在超过比例后</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个交易日内采用合理的商业措施进行调整以符合投资比例要求，法律法规或中国证监会另有规定的依其规定执行。法律法规另有规定的，从其规定。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基金管理人应当自基金合同生效之日起</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个月内使基金的投资组合比例符合基金合同的有关约定。在上述期间内，本基金的投资范围、投资策略应当符合基金合同的约定。基金托管人对基金的投资的监督与检查自基金合同生效之日起开始。</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kern w:val="2"/>
          <w:sz w:val="24"/>
          <w:szCs w:val="24"/>
        </w:rPr>
      </w:pPr>
      <w:r>
        <w:rPr>
          <w:rFonts w:hint="eastAsia" w:ascii="宋体" w:hAnsi="宋体" w:eastAsia="宋体" w:cs="宋体"/>
          <w:bCs/>
          <w:kern w:val="2"/>
          <w:sz w:val="24"/>
          <w:szCs w:val="24"/>
          <w:lang w:val="en-US" w:eastAsia="zh-CN" w:bidi="ar"/>
        </w:rPr>
        <w:t>法律法规或监管部门取消或者变更上述限制，如适用于本基金，基金管理人在履行适当程序后，则本基金投资不再受相关限制或以变更后的规定为准。</w:t>
      </w:r>
    </w:p>
    <w:p>
      <w:pPr>
        <w:keepNext w:val="0"/>
        <w:keepLines w:val="0"/>
        <w:widowControl w:val="0"/>
        <w:suppressLineNumbers w:val="0"/>
        <w:snapToGrid w:val="0"/>
        <w:spacing w:before="0" w:beforeAutospacing="0" w:after="0" w:afterAutospacing="0" w:line="360" w:lineRule="auto"/>
        <w:ind w:left="0" w:right="0" w:firstLine="480" w:firstLineChars="200"/>
        <w:jc w:val="both"/>
        <w:outlineLvl w:val="2"/>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2、禁止行为</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为维护基金份额持有人的合法权益，基金财产不得用于下列投资或者活动：</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（1）承销证券；</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（2）违反规定向他人贷款或者提供担保；</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（3）从事承担无限责任的投资；</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（4）向其基金管理人、基金托管人出资；</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（5）从事内幕交易、操纵证券交易价格及其他不正当的证券交易活动；</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（6）购买不动产；</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（7）购买房地产抵押按揭；</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（8）购买贵重金属或代表贵重金属的凭证；</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（9）购买实物商品；</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（10）除应付赎回、交易清算等临时用途以外，借入现金；该临时用途借入现金的比例不得超过基金资产净值的10％；</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（11）参与境外投资时，利用融资购买证券，但投资金融衍生品以及法律法规或中国证监会另有规定的除外；</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（12）参与未持有基础资产的卖空交易；</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（13）购买证券用于控制或影响发行该证券的机构或其管理层；</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（14）直接投资与实物商品相关的衍生品；</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（15）法律、行政法规和中国证监会规定禁止的其他活动。</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如法律、行政法规或监管部门取消或变更上述规定，如适用于本基金，基金管理人在履行适当程序后，本基金可不受上述规定的限制或以变更后的规定为准。</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1"/>
        <w:rPr>
          <w:rFonts w:hint="default" w:ascii="Times New Roman" w:hAnsi="宋体" w:eastAsia="宋体" w:cs="Times New Roman"/>
          <w:kern w:val="0"/>
          <w:sz w:val="24"/>
          <w:szCs w:val="24"/>
        </w:rPr>
      </w:pPr>
      <w:r>
        <w:rPr>
          <w:rFonts w:hint="eastAsia" w:ascii="宋体" w:hAnsi="宋体" w:eastAsia="宋体" w:cs="宋体"/>
          <w:b/>
          <w:bCs/>
          <w:kern w:val="2"/>
          <w:sz w:val="24"/>
          <w:szCs w:val="24"/>
          <w:lang w:val="en-US" w:eastAsia="zh-CN" w:bidi="ar"/>
        </w:rPr>
        <w:t>（五）业绩比较基准</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本基金业绩比较基准：恒生消费指数收益率×80%+中债-综合全价（总值）指数收益率×15%+人民币活期存款基准利率×5%。</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1、业绩比较基准设定的原因</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基于基金投资范围以及预期投资的主要资产类别，本基金主要投资于港股股票、债券、货币市场工具等资产，相应选取与之匹配的港股指数、债券指数与人民币活期存款基准利率作为基准要素；同时基于基金投资股票资产（含普通股、优先股、港股通标的股票、存托凭证）占基金资产的比例为60%-95%、投资于本基金界定的港股消费主题相关股票（含存托凭证）的资产不低于非现金基金资产的80%等投资比例限制，以及预期的资产配置比例，本基金将港股股票资产、债券资产与货币市场工具所对应的基准要素权重分别设置为80%、15%与5%。</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基于基金投资目标、投资范围和投资策略，本基金的股票资产主要投向港股消费主题相关公司，并在港股消费主题相关领域中基于行业景气度、公司竞争力精选具有长期投资价值的优质公司，从而在控制风险的基础上追求超越业绩比较基准的投资回报。综合考虑基准指数与产品定位、投资风格与主题库的匹配度，同时兼顾考虑基准指数的表征性、认可度，以及指数主题界定、市值覆盖、行业与个股分布等，本基金选取恒生消费指数作为港股消费主题股票部分的基准要素，具体情况如下：</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恒生消费指数反映香港证券市场内提供与日常消费相关的消费品制造及服务的上市公司的整体表现，适合作为本基金港股消费主题股票部分的业绩比较基准要素。</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中债-综合全价（总值）指数其样本债券涵盖的范围全面，具有广泛的市场代表性，涵盖主要交易市场（银行间市场、交易所市场等）、不同发行主体（政府、企业等）和期限（长期、中期、短期等），反映境内人民币债券市场整体表现，适合作为本基金债券部分的业绩比较基准要素。</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（4）人民币活期存款基准利率具有较强的权威性和市场影响力，适合作为本基金货币市场工具部分的业绩比较基准。</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综上，本基金选取的业绩比较基准与基金投资目标、投资范围、投资策略、投资比例限制相匹配。</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2、业绩比较基准要素的基本信息</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恒生消费指数由恒生指数有限公司编制发布，指数代码为HSCGSI，指数具体信息详见恒生指数有限公司网站，网址：www.hsi.com.hk。</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中债-综合全价（总值）指数由中债金融估值中心有限公司编制发布，指数代码为CBA00203，指数具体信息详见中国债券信息网，网址：www.chinabond.com.cn。</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人民币活期存款基准利率由中国人民银行发布，具体信息详见中国人民银行网站，网址：www.pbc.gov.cn。</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3、业绩比较基准的计算方法</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本基金业绩比较基准收益率的计算方法以每日收益率为基础，以时间加权为计算原则。本基金先分别计算业绩比较基准中恒生消费指数、中债-综合全价（总值）指数、人民币活期存款基准利率的每日收益率，再按照预设权重比例计算当日组合要素基准的日收益率，并连乘每日收益率。其中，恒生消费指数收益率采用估值汇率进行调整，由港元计价折算为人民币计价后，再纳入计算。</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4、管理投资偏离业绩比较基准的定性或定量方法</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本基金管理人对基金实际投资与业绩比较基准的偏离情况进行动态跟踪与监测评估，监测指标主要包括超额收益、信息比率、跟踪误差、卡玛比率、股票配置偏离度、基准覆盖率、主动比率等，以更好管理基金实际投资与业绩比较基准的偏离情况，保持主要配置港股消费主题的上市公司，从而在控制风险的基础上追求超越业绩比较基准的投资回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5、未来可能变更业绩比较基准的情况和程序</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（2）调整业绩比较基准的要素权重、更换相同或相近特征的要素等，使新业绩比较基准代表性更强，且符合相关法律法规规定的；</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（3）中国证监会认可的其他情形。</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业绩比较基准变更涉及以下情形的，基金管理人应当按照规定履行变更注册、召开基金份额持有人大会等程序，法律法规、中国证监会另有规定的除外：</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（1）基金投资目标、投资范围、投资策略、投资比例等拟进行重大调整，并变更业绩比较基准的；</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bCs/>
          <w:kern w:val="2"/>
          <w:sz w:val="24"/>
          <w:szCs w:val="24"/>
          <w:lang w:val="en-US" w:eastAsia="zh-CN" w:bidi="ar"/>
        </w:rPr>
        <w:t>（2）其他对基金份额持有人利益产生重大实质性影响的情形。</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1"/>
        <w:rPr>
          <w:rFonts w:hint="default" w:ascii="Times New Roman" w:hAnsi="宋体" w:eastAsia="宋体" w:cs="Times New Roman"/>
          <w:kern w:val="0"/>
          <w:sz w:val="24"/>
          <w:szCs w:val="24"/>
        </w:rPr>
      </w:pPr>
      <w:r>
        <w:rPr>
          <w:rFonts w:hint="eastAsia" w:ascii="宋体" w:hAnsi="宋体" w:eastAsia="宋体" w:cs="宋体"/>
          <w:b/>
          <w:bCs/>
          <w:kern w:val="2"/>
          <w:sz w:val="24"/>
          <w:szCs w:val="24"/>
          <w:lang w:val="en-US" w:eastAsia="zh-CN" w:bidi="ar"/>
        </w:rPr>
        <w:t>（六）风险收益特征</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本基金是一只混合型基金，其预期风险和预期收益理论上高于债券型基金和货币市场基金，低于股票型基金。</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基金投资港股，需承担港股因投资环境、投资标的、市场制度以及交易规则等差异带来的特有风险。本基金投资于境外市场，除了需要承担与境内证券投资基金类似的市场波动风险等一般投资风险之外，本基金还面临汇率风险、境外市场风险、法律和政治风险、国家/地区风险、股价波动风险、税务风险、监管风险等境外证券市场投资所面临的特别投资风险。</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（七）基金管理人代表基金行使相关权利的处理原则及方法</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1、基金管理人按照国家有关规定代表基金独立行使相关权利，保护基金份额持有人的利益；</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2、不谋求对上市公司的控股；</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3、有利于基金财产的安全与增值；</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4、不通过关联交易为自身、雇员、授权代理人或任何存在利害关系的第三人牟取任何不当利益。</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1"/>
        <w:rPr>
          <w:rFonts w:hint="default" w:ascii="Times New Roman"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（八）侧袋机制的实施和投资运作安排</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侧袋机制实施期间，本部分约定的投资组合比例、投资策略、组合限制、业绩比较基准、风险收益特征等约定仅适用于主袋账户。</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pPr>
      <w:r>
        <w:rPr>
          <w:rFonts w:hint="eastAsia" w:ascii="宋体" w:hAnsi="宋体" w:eastAsia="宋体" w:cs="宋体"/>
          <w:kern w:val="2"/>
          <w:sz w:val="24"/>
          <w:szCs w:val="24"/>
          <w:lang w:val="en-US" w:eastAsia="zh-CN" w:bidi="ar"/>
        </w:rPr>
        <w:t>侧袋账户的实施条件、实施程序、运作安排、投资安排、特定资产的处置变现和支付等对投资者权益有重大影响的事项详见本招募说明书“侧袋机制”部分的规定。</w:t>
      </w:r>
    </w:p>
    <w:p>
      <w:pPr>
        <w:widowControl/>
        <w:adjustRightInd w:val="0"/>
        <w:snapToGrid w:val="0"/>
        <w:spacing w:line="360" w:lineRule="auto"/>
        <w:ind w:firstLine="480" w:firstLineChars="200"/>
        <w:rPr>
          <w:rFonts w:hAnsi="宋体"/>
          <w:kern w:val="0"/>
          <w:sz w:val="24"/>
          <w:szCs w:val="24"/>
        </w:rPr>
      </w:pPr>
    </w:p>
    <w:p>
      <w:pPr>
        <w:adjustRightInd w:val="0"/>
        <w:snapToGrid w:val="0"/>
        <w:spacing w:line="360" w:lineRule="auto"/>
        <w:ind w:firstLine="480" w:firstLineChars="200"/>
        <w:rPr>
          <w:rFonts w:hint="eastAsia"/>
          <w:bCs/>
          <w:sz w:val="24"/>
        </w:rPr>
      </w:pPr>
    </w:p>
    <w:p>
      <w:pPr>
        <w:rPr>
          <w:bCs/>
          <w:sz w:val="24"/>
        </w:rPr>
      </w:pPr>
      <w:r>
        <w:rPr>
          <w:rFonts w:hint="eastAsia"/>
          <w:bCs/>
          <w:sz w:val="24"/>
        </w:rPr>
        <w:br w:type="page"/>
      </w:r>
    </w:p>
    <w:p>
      <w:pPr>
        <w:spacing w:line="360" w:lineRule="auto"/>
        <w:jc w:val="center"/>
        <w:outlineLvl w:val="0"/>
        <w:rPr>
          <w:rFonts w:ascii="宋体" w:hAnsi="宋体"/>
          <w:b/>
          <w:kern w:val="0"/>
          <w:sz w:val="30"/>
        </w:rPr>
      </w:pPr>
      <w:bookmarkStart w:id="15" w:name="_Hlt81034163"/>
      <w:bookmarkEnd w:id="15"/>
      <w:bookmarkStart w:id="16" w:name="_Hlt80961854"/>
      <w:bookmarkEnd w:id="16"/>
      <w:bookmarkStart w:id="17" w:name="_Toc109537381"/>
      <w:bookmarkStart w:id="18" w:name="_Toc20278"/>
      <w:bookmarkStart w:id="19" w:name="_Toc5432"/>
      <w:bookmarkStart w:id="20" w:name="_Toc23712"/>
      <w:bookmarkStart w:id="21" w:name="_Toc48122004"/>
      <w:r>
        <w:rPr>
          <w:rFonts w:hint="eastAsia" w:ascii="宋体" w:hAnsi="宋体"/>
          <w:b/>
          <w:kern w:val="0"/>
          <w:sz w:val="30"/>
          <w:lang w:val="en-US" w:eastAsia="zh-CN"/>
        </w:rPr>
        <w:t>五</w:t>
      </w:r>
      <w:r>
        <w:rPr>
          <w:rFonts w:hint="eastAsia" w:ascii="宋体" w:hAnsi="宋体"/>
          <w:b/>
          <w:kern w:val="0"/>
          <w:sz w:val="30"/>
        </w:rPr>
        <w:t>、基金管理人</w:t>
      </w:r>
      <w:bookmarkEnd w:id="17"/>
      <w:bookmarkEnd w:id="18"/>
      <w:bookmarkEnd w:id="19"/>
      <w:bookmarkEnd w:id="20"/>
      <w:bookmarkEnd w:id="21"/>
    </w:p>
    <w:p>
      <w:pPr>
        <w:widowControl/>
        <w:adjustRightInd w:val="0"/>
        <w:snapToGrid w:val="0"/>
        <w:spacing w:line="360" w:lineRule="auto"/>
        <w:ind w:firstLine="482" w:firstLineChars="200"/>
        <w:outlineLvl w:val="1"/>
        <w:rPr>
          <w:rFonts w:hAnsi="宋体"/>
          <w:b/>
          <w:kern w:val="0"/>
          <w:sz w:val="24"/>
        </w:rPr>
      </w:pPr>
      <w:r>
        <w:rPr>
          <w:rFonts w:hAnsi="宋体"/>
          <w:b/>
          <w:kern w:val="0"/>
          <w:sz w:val="24"/>
        </w:rPr>
        <w:t>（一）基金管理人概况</w:t>
      </w:r>
    </w:p>
    <w:p>
      <w:pPr>
        <w:widowControl/>
        <w:adjustRightInd w:val="0"/>
        <w:snapToGrid w:val="0"/>
        <w:spacing w:line="360" w:lineRule="auto"/>
        <w:ind w:firstLine="480" w:firstLineChars="200"/>
        <w:rPr>
          <w:kern w:val="0"/>
          <w:sz w:val="24"/>
        </w:rPr>
      </w:pPr>
      <w:r>
        <w:rPr>
          <w:rFonts w:hAnsi="宋体"/>
          <w:kern w:val="0"/>
          <w:sz w:val="24"/>
        </w:rPr>
        <w:t>名称：交银施罗德基金管理有限公司</w:t>
      </w:r>
    </w:p>
    <w:p>
      <w:pPr>
        <w:widowControl/>
        <w:adjustRightInd w:val="0"/>
        <w:snapToGrid w:val="0"/>
        <w:spacing w:line="360" w:lineRule="auto"/>
        <w:ind w:firstLine="480" w:firstLineChars="200"/>
        <w:rPr>
          <w:kern w:val="0"/>
          <w:sz w:val="24"/>
        </w:rPr>
      </w:pPr>
      <w:r>
        <w:rPr>
          <w:rFonts w:hAnsi="宋体"/>
          <w:kern w:val="0"/>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贸易试验区银城中路</w:t>
      </w:r>
      <w:r>
        <w:rPr>
          <w:kern w:val="0"/>
          <w:sz w:val="24"/>
        </w:rPr>
        <w:t>188</w:t>
      </w:r>
      <w:r>
        <w:rPr>
          <w:rFonts w:hAnsi="宋体"/>
          <w:kern w:val="0"/>
          <w:sz w:val="24"/>
        </w:rPr>
        <w:t>号交通银行大楼二层（裙）</w:t>
      </w:r>
    </w:p>
    <w:p>
      <w:pPr>
        <w:widowControl/>
        <w:adjustRightInd w:val="0"/>
        <w:snapToGrid w:val="0"/>
        <w:spacing w:line="360" w:lineRule="auto"/>
        <w:ind w:firstLine="480" w:firstLineChars="200"/>
        <w:rPr>
          <w:kern w:val="0"/>
          <w:sz w:val="24"/>
        </w:rPr>
      </w:pPr>
      <w:r>
        <w:rPr>
          <w:rFonts w:hAnsi="宋体"/>
          <w:kern w:val="0"/>
          <w:sz w:val="24"/>
        </w:rPr>
        <w:t>办公地址：</w:t>
      </w:r>
      <w:r>
        <w:rPr>
          <w:rFonts w:hint="eastAsia" w:ascii="宋体" w:hAnsi="宋体" w:cs="宋体"/>
          <w:kern w:val="0"/>
          <w:sz w:val="24"/>
        </w:rPr>
        <w:t>上海市浦东</w:t>
      </w:r>
      <w:r>
        <w:rPr>
          <w:rFonts w:ascii="宋体" w:hAnsi="宋体" w:cs="宋体"/>
          <w:kern w:val="0"/>
          <w:sz w:val="24"/>
        </w:rPr>
        <w:t>新区</w:t>
      </w:r>
      <w:r>
        <w:rPr>
          <w:rFonts w:hint="eastAsia" w:ascii="宋体" w:hAnsi="宋体" w:cs="宋体"/>
          <w:kern w:val="0"/>
          <w:sz w:val="24"/>
        </w:rPr>
        <w:t>世纪大道8号国金中心二期21-22楼</w:t>
      </w:r>
    </w:p>
    <w:p>
      <w:pPr>
        <w:widowControl/>
        <w:adjustRightInd w:val="0"/>
        <w:snapToGrid w:val="0"/>
        <w:spacing w:line="360" w:lineRule="auto"/>
        <w:ind w:firstLine="480" w:firstLineChars="200"/>
        <w:rPr>
          <w:kern w:val="0"/>
          <w:sz w:val="24"/>
        </w:rPr>
      </w:pPr>
      <w:r>
        <w:rPr>
          <w:rFonts w:hAnsi="宋体"/>
          <w:sz w:val="24"/>
        </w:rPr>
        <w:t>邮政编码：</w:t>
      </w:r>
      <w:r>
        <w:rPr>
          <w:sz w:val="24"/>
        </w:rPr>
        <w:t>200120</w:t>
      </w:r>
    </w:p>
    <w:p>
      <w:pPr>
        <w:widowControl/>
        <w:adjustRightInd w:val="0"/>
        <w:snapToGrid w:val="0"/>
        <w:spacing w:line="360" w:lineRule="auto"/>
        <w:ind w:firstLine="480" w:firstLineChars="200"/>
        <w:rPr>
          <w:kern w:val="0"/>
          <w:sz w:val="24"/>
        </w:rPr>
      </w:pPr>
      <w:r>
        <w:rPr>
          <w:rFonts w:hAnsi="宋体"/>
          <w:kern w:val="0"/>
          <w:sz w:val="24"/>
        </w:rPr>
        <w:t>法定代表人：</w:t>
      </w:r>
      <w:r>
        <w:rPr>
          <w:rFonts w:hint="eastAsia" w:hAnsi="宋体"/>
          <w:kern w:val="0"/>
          <w:sz w:val="24"/>
        </w:rPr>
        <w:t>袁庆伟（代任）</w:t>
      </w:r>
    </w:p>
    <w:p>
      <w:pPr>
        <w:widowControl/>
        <w:adjustRightInd w:val="0"/>
        <w:snapToGrid w:val="0"/>
        <w:spacing w:line="360" w:lineRule="auto"/>
        <w:ind w:firstLine="480" w:firstLineChars="20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pPr>
        <w:widowControl/>
        <w:adjustRightInd w:val="0"/>
        <w:snapToGrid w:val="0"/>
        <w:spacing w:line="360" w:lineRule="auto"/>
        <w:ind w:firstLine="480" w:firstLineChars="200"/>
        <w:rPr>
          <w:kern w:val="0"/>
          <w:sz w:val="24"/>
        </w:rPr>
      </w:pPr>
      <w:r>
        <w:rPr>
          <w:rFonts w:hAnsi="宋体"/>
          <w:kern w:val="0"/>
          <w:sz w:val="24"/>
        </w:rPr>
        <w:t>注册资本：</w:t>
      </w:r>
      <w:r>
        <w:rPr>
          <w:kern w:val="0"/>
          <w:sz w:val="24"/>
        </w:rPr>
        <w:t>2</w:t>
      </w:r>
      <w:r>
        <w:rPr>
          <w:rFonts w:hAnsi="宋体"/>
          <w:kern w:val="0"/>
          <w:sz w:val="24"/>
        </w:rPr>
        <w:t>亿元人民币</w:t>
      </w:r>
    </w:p>
    <w:p>
      <w:pPr>
        <w:widowControl/>
        <w:adjustRightInd w:val="0"/>
        <w:snapToGrid w:val="0"/>
        <w:spacing w:line="360" w:lineRule="auto"/>
        <w:ind w:firstLine="480" w:firstLineChars="200"/>
        <w:rPr>
          <w:kern w:val="0"/>
          <w:sz w:val="24"/>
        </w:rPr>
      </w:pPr>
      <w:r>
        <w:rPr>
          <w:rFonts w:hAnsi="宋体"/>
          <w:kern w:val="0"/>
          <w:sz w:val="24"/>
        </w:rPr>
        <w:t>存续期间：持续经营</w:t>
      </w:r>
    </w:p>
    <w:p>
      <w:pPr>
        <w:widowControl/>
        <w:adjustRightInd w:val="0"/>
        <w:snapToGrid w:val="0"/>
        <w:spacing w:line="360" w:lineRule="auto"/>
        <w:ind w:firstLine="480" w:firstLineChars="200"/>
        <w:rPr>
          <w:kern w:val="0"/>
          <w:sz w:val="24"/>
        </w:rPr>
      </w:pPr>
      <w:r>
        <w:rPr>
          <w:rFonts w:hAnsi="宋体"/>
          <w:kern w:val="0"/>
          <w:sz w:val="24"/>
        </w:rPr>
        <w:t>联系人：</w:t>
      </w:r>
      <w:r>
        <w:rPr>
          <w:rFonts w:hint="eastAsia" w:hAnsi="宋体"/>
          <w:kern w:val="0"/>
          <w:sz w:val="24"/>
        </w:rPr>
        <w:t>何佳妮</w:t>
      </w:r>
    </w:p>
    <w:p>
      <w:pPr>
        <w:widowControl/>
        <w:adjustRightInd w:val="0"/>
        <w:snapToGrid w:val="0"/>
        <w:spacing w:line="360" w:lineRule="auto"/>
        <w:ind w:firstLine="480" w:firstLineChars="200"/>
        <w:rPr>
          <w:kern w:val="0"/>
          <w:sz w:val="24"/>
        </w:rPr>
      </w:pPr>
      <w:r>
        <w:rPr>
          <w:rFonts w:hAnsi="宋体"/>
          <w:kern w:val="0"/>
          <w:sz w:val="24"/>
        </w:rPr>
        <w:t>电话：</w:t>
      </w:r>
      <w:r>
        <w:rPr>
          <w:rFonts w:hint="eastAsia" w:hAnsi="宋体"/>
          <w:kern w:val="0"/>
          <w:sz w:val="24"/>
        </w:rPr>
        <w:t>（</w:t>
      </w:r>
      <w:r>
        <w:rPr>
          <w:kern w:val="0"/>
          <w:sz w:val="24"/>
        </w:rPr>
        <w:t>021</w:t>
      </w:r>
      <w:r>
        <w:rPr>
          <w:rFonts w:hint="eastAsia"/>
          <w:kern w:val="0"/>
          <w:sz w:val="24"/>
        </w:rPr>
        <w:t>）</w:t>
      </w:r>
      <w:r>
        <w:rPr>
          <w:kern w:val="0"/>
          <w:sz w:val="24"/>
        </w:rPr>
        <w:t>61055050</w:t>
      </w:r>
    </w:p>
    <w:p>
      <w:pPr>
        <w:widowControl/>
        <w:adjustRightInd w:val="0"/>
        <w:snapToGrid w:val="0"/>
        <w:spacing w:line="360" w:lineRule="auto"/>
        <w:ind w:firstLine="480" w:firstLineChars="200"/>
        <w:rPr>
          <w:kern w:val="0"/>
          <w:sz w:val="24"/>
        </w:rPr>
      </w:pPr>
      <w:r>
        <w:rPr>
          <w:rFonts w:hAnsi="宋体"/>
          <w:kern w:val="0"/>
          <w:sz w:val="24"/>
        </w:rPr>
        <w:t>传真：</w:t>
      </w:r>
      <w:r>
        <w:rPr>
          <w:rFonts w:hint="eastAsia" w:hAnsi="宋体"/>
          <w:kern w:val="0"/>
          <w:sz w:val="24"/>
        </w:rPr>
        <w:t>（</w:t>
      </w:r>
      <w:r>
        <w:rPr>
          <w:kern w:val="0"/>
          <w:sz w:val="24"/>
        </w:rPr>
        <w:t>021</w:t>
      </w:r>
      <w:r>
        <w:rPr>
          <w:rFonts w:hint="eastAsia"/>
          <w:kern w:val="0"/>
          <w:sz w:val="24"/>
        </w:rPr>
        <w:t>）</w:t>
      </w:r>
      <w:r>
        <w:rPr>
          <w:kern w:val="0"/>
          <w:sz w:val="24"/>
        </w:rPr>
        <w:t>61055034</w:t>
      </w:r>
    </w:p>
    <w:p>
      <w:pPr>
        <w:widowControl/>
        <w:adjustRightInd w:val="0"/>
        <w:snapToGrid w:val="0"/>
        <w:spacing w:line="360" w:lineRule="auto"/>
        <w:ind w:firstLine="480" w:firstLineChars="20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0" w:type="dxa"/>
          </w:tcPr>
          <w:p>
            <w:pPr>
              <w:widowControl/>
              <w:jc w:val="center"/>
              <w:rPr>
                <w:kern w:val="0"/>
                <w:sz w:val="24"/>
              </w:rPr>
            </w:pPr>
            <w:r>
              <w:rPr>
                <w:rFonts w:hAnsi="宋体"/>
                <w:kern w:val="0"/>
                <w:sz w:val="24"/>
              </w:rPr>
              <w:t>股东名称</w:t>
            </w:r>
          </w:p>
        </w:tc>
        <w:tc>
          <w:tcPr>
            <w:tcW w:w="3060" w:type="dxa"/>
          </w:tcPr>
          <w:p>
            <w:pPr>
              <w:widowControl/>
              <w:jc w:val="center"/>
              <w:rPr>
                <w:kern w:val="0"/>
                <w:sz w:val="24"/>
              </w:rPr>
            </w:pPr>
            <w:r>
              <w:rPr>
                <w:rFonts w:hAnsi="宋体"/>
                <w:kern w:val="0"/>
                <w:sz w:val="24"/>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00" w:type="dxa"/>
          </w:tcPr>
          <w:p>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pPr>
              <w:widowControl/>
              <w:jc w:val="center"/>
              <w:rPr>
                <w:kern w:val="0"/>
                <w:sz w:val="24"/>
              </w:rPr>
            </w:pPr>
            <w:r>
              <w:rPr>
                <w:kern w:val="0"/>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tcPr>
          <w:p>
            <w:pPr>
              <w:widowControl/>
              <w:rPr>
                <w:kern w:val="0"/>
                <w:sz w:val="24"/>
              </w:rPr>
            </w:pPr>
            <w:r>
              <w:rPr>
                <w:rFonts w:hAnsi="宋体"/>
                <w:kern w:val="0"/>
                <w:sz w:val="24"/>
              </w:rPr>
              <w:t>施罗德投资管理有限公司</w:t>
            </w:r>
          </w:p>
        </w:tc>
        <w:tc>
          <w:tcPr>
            <w:tcW w:w="3060" w:type="dxa"/>
            <w:vAlign w:val="center"/>
          </w:tcPr>
          <w:p>
            <w:pPr>
              <w:widowControl/>
              <w:jc w:val="center"/>
              <w:rPr>
                <w:kern w:val="0"/>
                <w:sz w:val="24"/>
              </w:rPr>
            </w:pPr>
            <w:r>
              <w:rPr>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00" w:type="dxa"/>
          </w:tcPr>
          <w:p>
            <w:pPr>
              <w:widowControl/>
              <w:rPr>
                <w:kern w:val="0"/>
                <w:sz w:val="24"/>
              </w:rPr>
            </w:pPr>
            <w:r>
              <w:rPr>
                <w:rFonts w:hAnsi="宋体"/>
                <w:kern w:val="0"/>
                <w:sz w:val="24"/>
              </w:rPr>
              <w:t>中国国际海运集装箱（集团）股份有限公司</w:t>
            </w:r>
          </w:p>
        </w:tc>
        <w:tc>
          <w:tcPr>
            <w:tcW w:w="3060" w:type="dxa"/>
            <w:vAlign w:val="center"/>
          </w:tcPr>
          <w:p>
            <w:pPr>
              <w:widowControl/>
              <w:jc w:val="center"/>
              <w:rPr>
                <w:kern w:val="0"/>
                <w:sz w:val="24"/>
              </w:rPr>
            </w:pPr>
            <w:r>
              <w:rPr>
                <w:kern w:val="0"/>
                <w:sz w:val="24"/>
              </w:rPr>
              <w:t>5%</w:t>
            </w:r>
          </w:p>
        </w:tc>
      </w:tr>
    </w:tbl>
    <w:p>
      <w:pPr>
        <w:adjustRightInd w:val="0"/>
        <w:snapToGrid w:val="0"/>
        <w:spacing w:line="360" w:lineRule="auto"/>
        <w:ind w:firstLine="480" w:firstLineChars="200"/>
        <w:rPr>
          <w:rFonts w:hAnsi="宋体"/>
          <w:kern w:val="0"/>
          <w:sz w:val="24"/>
        </w:rPr>
      </w:pPr>
    </w:p>
    <w:p>
      <w:pPr>
        <w:widowControl/>
        <w:adjustRightInd w:val="0"/>
        <w:snapToGrid w:val="0"/>
        <w:spacing w:line="360" w:lineRule="auto"/>
        <w:ind w:firstLine="482" w:firstLineChars="200"/>
        <w:outlineLvl w:val="1"/>
        <w:rPr>
          <w:rFonts w:hAnsi="宋体"/>
          <w:b/>
          <w:kern w:val="0"/>
          <w:sz w:val="24"/>
        </w:rPr>
      </w:pPr>
      <w:r>
        <w:rPr>
          <w:rFonts w:hAnsi="宋体"/>
          <w:b/>
          <w:kern w:val="0"/>
          <w:sz w:val="24"/>
        </w:rPr>
        <w:t>（二）主要成员情况</w:t>
      </w:r>
    </w:p>
    <w:p>
      <w:pPr>
        <w:widowControl/>
        <w:adjustRightInd w:val="0"/>
        <w:snapToGrid w:val="0"/>
        <w:spacing w:line="360" w:lineRule="auto"/>
        <w:ind w:firstLine="480" w:firstLineChars="200"/>
        <w:rPr>
          <w:sz w:val="24"/>
          <w:szCs w:val="24"/>
        </w:rPr>
      </w:pPr>
      <w:r>
        <w:rPr>
          <w:sz w:val="24"/>
          <w:szCs w:val="24"/>
        </w:rPr>
        <w:t>1、基金管理人董事会成员</w:t>
      </w:r>
    </w:p>
    <w:p>
      <w:pPr>
        <w:widowControl/>
        <w:adjustRightInd w:val="0"/>
        <w:snapToGrid w:val="0"/>
        <w:spacing w:line="360" w:lineRule="auto"/>
        <w:ind w:firstLine="480" w:firstLineChars="200"/>
        <w:rPr>
          <w:rFonts w:hint="eastAsia"/>
          <w:sz w:val="24"/>
          <w:szCs w:val="24"/>
        </w:rPr>
      </w:pPr>
      <w:r>
        <w:rPr>
          <w:rFonts w:hint="eastAsia"/>
          <w:sz w:val="24"/>
          <w:szCs w:val="24"/>
        </w:rPr>
        <w:t>袁庆伟女士，董事，总经理，代任董事长，硕士。历任交通银行乌鲁木齐分行财务会计处副处长、会计结算部高级经理，交通银行总行资产托管业务中心（资产托管部）副总裁、总裁，交通银行总行金融机构部总经理、资产管理业务中心总裁等职务。</w:t>
      </w:r>
    </w:p>
    <w:p>
      <w:pPr>
        <w:widowControl/>
        <w:adjustRightInd w:val="0"/>
        <w:snapToGrid w:val="0"/>
        <w:spacing w:line="360" w:lineRule="auto"/>
        <w:ind w:firstLine="480" w:firstLineChars="200"/>
        <w:rPr>
          <w:rFonts w:hint="eastAsia"/>
          <w:sz w:val="24"/>
          <w:szCs w:val="24"/>
        </w:rPr>
      </w:pPr>
      <w:r>
        <w:rPr>
          <w:rFonts w:hint="eastAsia"/>
          <w:sz w:val="24"/>
          <w:szCs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widowControl/>
        <w:adjustRightInd w:val="0"/>
        <w:snapToGrid w:val="0"/>
        <w:spacing w:line="360" w:lineRule="auto"/>
        <w:ind w:firstLine="480" w:firstLineChars="200"/>
        <w:rPr>
          <w:rFonts w:hint="eastAsia"/>
          <w:sz w:val="24"/>
          <w:szCs w:val="24"/>
        </w:rPr>
      </w:pPr>
      <w:r>
        <w:rPr>
          <w:rFonts w:hint="eastAsia"/>
          <w:sz w:val="24"/>
          <w:szCs w:val="24"/>
        </w:rPr>
        <w:t>Karine Szenberg女士，董事，硕士。现任施罗德投资集团执行副主席、集团执行委员会成员和施罗德投资管理（瑞士）股份有限公司董事会主席。历任施罗德投资法国主管、欧洲主管、全球产品和营销主管等。</w:t>
      </w:r>
    </w:p>
    <w:p>
      <w:pPr>
        <w:widowControl/>
        <w:adjustRightInd w:val="0"/>
        <w:snapToGrid w:val="0"/>
        <w:spacing w:line="360" w:lineRule="auto"/>
        <w:ind w:firstLine="480" w:firstLineChars="200"/>
        <w:rPr>
          <w:rFonts w:hint="eastAsia"/>
          <w:sz w:val="24"/>
          <w:szCs w:val="24"/>
        </w:rPr>
      </w:pPr>
      <w:r>
        <w:rPr>
          <w:rFonts w:hint="eastAsia"/>
          <w:sz w:val="24"/>
          <w:szCs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pPr>
        <w:widowControl/>
        <w:adjustRightInd w:val="0"/>
        <w:snapToGrid w:val="0"/>
        <w:spacing w:line="360" w:lineRule="auto"/>
        <w:ind w:firstLine="480" w:firstLineChars="200"/>
        <w:rPr>
          <w:rFonts w:hint="eastAsia"/>
          <w:sz w:val="24"/>
          <w:szCs w:val="24"/>
        </w:rPr>
      </w:pPr>
      <w:r>
        <w:rPr>
          <w:rFonts w:hint="eastAsia"/>
          <w:sz w:val="24"/>
          <w:szCs w:val="24"/>
        </w:rPr>
        <w:t>单锋先生，独立董事，博士。现任南京大学法学教授职务。历任南京大学法学院助教、讲师、副教授。</w:t>
      </w:r>
    </w:p>
    <w:p>
      <w:pPr>
        <w:widowControl/>
        <w:adjustRightInd w:val="0"/>
        <w:snapToGrid w:val="0"/>
        <w:spacing w:line="360" w:lineRule="auto"/>
        <w:ind w:firstLine="480" w:firstLineChars="200"/>
        <w:rPr>
          <w:rFonts w:hint="eastAsia"/>
          <w:sz w:val="24"/>
          <w:szCs w:val="24"/>
        </w:rPr>
      </w:pPr>
      <w:r>
        <w:rPr>
          <w:rFonts w:hint="eastAsia"/>
          <w:sz w:val="24"/>
          <w:szCs w:val="24"/>
        </w:rPr>
        <w:t>刘凤元先生，独立董事，博士。现任华东政法大学国际金融法律学院教授，资本市场研究中心主任，兼任多家香港和大陆上市公司（非证券基金经营机构）独立董事。</w:t>
      </w:r>
    </w:p>
    <w:p>
      <w:pPr>
        <w:widowControl/>
        <w:adjustRightInd w:val="0"/>
        <w:snapToGrid w:val="0"/>
        <w:spacing w:line="360" w:lineRule="auto"/>
        <w:ind w:firstLine="480" w:firstLineChars="200"/>
        <w:rPr>
          <w:sz w:val="24"/>
          <w:szCs w:val="24"/>
        </w:rPr>
      </w:pPr>
      <w:r>
        <w:rPr>
          <w:rFonts w:hint="eastAsia"/>
          <w:sz w:val="24"/>
          <w:szCs w:val="24"/>
        </w:rPr>
        <w:t>宋若坤女士，独立董事，学士。英格兰及威尔士特许会计师协会和香港会计师公会特许会计师、注册金融分析师。历任毕马威会计师事务所香港分所审计部主管副经理，摩根资产管理（香港）亚太区资产管理合规主管、董事总经理等。</w:t>
      </w:r>
    </w:p>
    <w:p>
      <w:pPr>
        <w:widowControl/>
        <w:adjustRightInd w:val="0"/>
        <w:snapToGrid w:val="0"/>
        <w:spacing w:line="360" w:lineRule="auto"/>
        <w:ind w:firstLine="480" w:firstLineChars="200"/>
        <w:rPr>
          <w:sz w:val="24"/>
          <w:szCs w:val="24"/>
        </w:rPr>
      </w:pPr>
      <w:r>
        <w:rPr>
          <w:sz w:val="24"/>
          <w:szCs w:val="24"/>
        </w:rPr>
        <w:t>2、基金管理人高级管理人员</w:t>
      </w:r>
    </w:p>
    <w:p>
      <w:pPr>
        <w:widowControl/>
        <w:adjustRightInd w:val="0"/>
        <w:snapToGrid w:val="0"/>
        <w:spacing w:line="360" w:lineRule="auto"/>
        <w:ind w:firstLine="480" w:firstLineChars="200"/>
        <w:rPr>
          <w:rFonts w:hint="eastAsia"/>
          <w:sz w:val="24"/>
          <w:szCs w:val="24"/>
        </w:rPr>
      </w:pPr>
      <w:r>
        <w:rPr>
          <w:rFonts w:hint="eastAsia"/>
          <w:sz w:val="24"/>
          <w:szCs w:val="24"/>
        </w:rPr>
        <w:t>袁庆伟女士，总经理。简历同上。</w:t>
      </w:r>
    </w:p>
    <w:p>
      <w:pPr>
        <w:widowControl/>
        <w:adjustRightInd w:val="0"/>
        <w:snapToGrid w:val="0"/>
        <w:spacing w:line="360" w:lineRule="auto"/>
        <w:ind w:firstLine="480" w:firstLineChars="200"/>
        <w:rPr>
          <w:rFonts w:hint="eastAsia"/>
          <w:sz w:val="24"/>
          <w:szCs w:val="24"/>
        </w:rPr>
      </w:pPr>
      <w:r>
        <w:rPr>
          <w:rFonts w:hint="eastAsia"/>
          <w:sz w:val="24"/>
          <w:szCs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widowControl/>
        <w:adjustRightInd w:val="0"/>
        <w:snapToGrid w:val="0"/>
        <w:spacing w:line="360" w:lineRule="auto"/>
        <w:ind w:firstLine="480" w:firstLineChars="200"/>
        <w:rPr>
          <w:rFonts w:hint="eastAsia"/>
          <w:sz w:val="24"/>
          <w:szCs w:val="24"/>
        </w:rPr>
      </w:pPr>
      <w:r>
        <w:rPr>
          <w:rFonts w:hint="eastAsia"/>
          <w:sz w:val="24"/>
          <w:szCs w:val="24"/>
        </w:rPr>
        <w:t>马俊先生，副总经理，硕士。历任交通银行总行投资管理部高级投资分析、副高级经理，交银施罗德基金管理有限公司总裁办公室总经理、研究部副总经理、研究总监、综合管理部总经理。</w:t>
      </w:r>
    </w:p>
    <w:p>
      <w:pPr>
        <w:widowControl/>
        <w:adjustRightInd w:val="0"/>
        <w:snapToGrid w:val="0"/>
        <w:spacing w:line="360" w:lineRule="auto"/>
        <w:ind w:firstLine="480" w:firstLineChars="200"/>
        <w:rPr>
          <w:sz w:val="24"/>
          <w:szCs w:val="24"/>
        </w:rPr>
      </w:pPr>
      <w:r>
        <w:rPr>
          <w:rFonts w:hint="eastAsia"/>
          <w:sz w:val="24"/>
          <w:szCs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widowControl/>
        <w:adjustRightInd w:val="0"/>
        <w:snapToGrid w:val="0"/>
        <w:spacing w:line="360" w:lineRule="auto"/>
        <w:ind w:firstLine="480" w:firstLineChars="200"/>
        <w:rPr>
          <w:sz w:val="24"/>
          <w:szCs w:val="24"/>
        </w:rPr>
      </w:pPr>
      <w:r>
        <w:rPr>
          <w:sz w:val="24"/>
          <w:szCs w:val="24"/>
        </w:rPr>
        <w:t>3、本基金基金经理</w:t>
      </w:r>
      <w:bookmarkStart w:id="161" w:name="_GoBack"/>
      <w:bookmarkEnd w:id="161"/>
    </w:p>
    <w:p>
      <w:pPr>
        <w:widowControl/>
        <w:adjustRightInd w:val="0"/>
        <w:snapToGrid w:val="0"/>
        <w:spacing w:line="360" w:lineRule="auto"/>
        <w:ind w:firstLine="480" w:firstLineChars="200"/>
        <w:rPr>
          <w:sz w:val="24"/>
          <w:szCs w:val="24"/>
        </w:rPr>
      </w:pPr>
      <w:r>
        <w:rPr>
          <w:rFonts w:hint="eastAsia"/>
          <w:sz w:val="24"/>
          <w:szCs w:val="24"/>
        </w:rPr>
        <w:t>陈舒薇女士，基金经理。宾夕法尼亚大学MBA、上海交通大学金融硕士、上海交通大学学士，17年证券投资行业从业经验。历任东方证券分析师、中金公司分析师、光大证券分析师、香港瑞士信贷分析师。2019年加入交银施罗德基金管理有限公司，现任跨境投资部基金经理。曾任交银施罗德鸿泰一年持有期混合型证券投资基金（2024年01月18日至2025年08月29日）的基金经理。现任交银施罗德环球精选价值证券投资基金（2020年01月08日至今）、交银施罗德港股通优质精选混合型证券投资基金（2025年09月23日至今）的基金经理。</w:t>
      </w:r>
    </w:p>
    <w:p>
      <w:pPr>
        <w:widowControl/>
        <w:adjustRightInd w:val="0"/>
        <w:snapToGrid w:val="0"/>
        <w:spacing w:line="360" w:lineRule="auto"/>
        <w:ind w:firstLine="480" w:firstLineChars="200"/>
        <w:rPr>
          <w:sz w:val="24"/>
          <w:szCs w:val="24"/>
        </w:rPr>
      </w:pPr>
      <w:r>
        <w:rPr>
          <w:rFonts w:hint="eastAsia"/>
          <w:sz w:val="24"/>
          <w:szCs w:val="24"/>
        </w:rPr>
        <w:t>韩威俊先生，基金经理。上海财经大学金融学硕士，21年证券投资行业从业经验。2005年至2008年担任申银万国证券研究所助理分析师，2008年至2009年担任北京鼎天资产管理有限公司董事助理，2009年至2010年担任申银万国证券研究所行业分析师，2010年至2013年担任信诚基金管理有限公司投资分析师。2013年加入交银施罗德基金管理有限公司，曾任行业分析师，现任权益部基金经理。曾任交银施罗德趋势优先混合型证券投资基金(2017年06月03日至2020年05月26日)的基金经理。现任交银施罗德策略回报灵活配置混合型证券投资基金(2016年01月20日至今)、交银施罗德股息优化混合型证券投资基金(2017年08月25日至今)、交银施罗德品质升级混合型证券投资基金(2018年02月08日至今)、交银施罗德消费新驱动股票型证券投资基金(2018年08月24日至今)、交银施罗德内需增长一年持有期混合型证券投资基金(2020年12月11日至今)、交银施罗德品质增长一年持有期混合型证券投资基金(2021年07月23日至今)的基金经理。</w:t>
      </w:r>
    </w:p>
    <w:p>
      <w:pPr>
        <w:adjustRightInd w:val="0"/>
        <w:snapToGrid w:val="0"/>
        <w:spacing w:line="360" w:lineRule="auto"/>
        <w:ind w:firstLine="480" w:firstLineChars="200"/>
        <w:rPr>
          <w:sz w:val="24"/>
          <w:szCs w:val="24"/>
        </w:rPr>
      </w:pPr>
      <w:r>
        <w:rPr>
          <w:sz w:val="24"/>
          <w:szCs w:val="24"/>
        </w:rPr>
        <w:t>4、投资决策委员会成员</w:t>
      </w:r>
    </w:p>
    <w:p>
      <w:pPr>
        <w:adjustRightInd w:val="0"/>
        <w:snapToGrid w:val="0"/>
        <w:spacing w:line="360" w:lineRule="auto"/>
        <w:ind w:firstLine="480" w:firstLineChars="200"/>
        <w:jc w:val="left"/>
        <w:rPr>
          <w:rFonts w:hint="eastAsia"/>
          <w:sz w:val="24"/>
          <w:szCs w:val="24"/>
        </w:rPr>
      </w:pPr>
      <w:r>
        <w:rPr>
          <w:rFonts w:hint="eastAsia"/>
          <w:sz w:val="24"/>
          <w:szCs w:val="24"/>
        </w:rPr>
        <w:t>委员：马俊（副总经理）</w:t>
      </w:r>
    </w:p>
    <w:p>
      <w:pPr>
        <w:adjustRightInd w:val="0"/>
        <w:snapToGrid w:val="0"/>
        <w:spacing w:line="360" w:lineRule="auto"/>
        <w:ind w:firstLine="1200" w:firstLineChars="500"/>
        <w:jc w:val="left"/>
        <w:rPr>
          <w:rFonts w:hint="eastAsia"/>
          <w:sz w:val="24"/>
          <w:szCs w:val="24"/>
        </w:rPr>
      </w:pPr>
      <w:r>
        <w:rPr>
          <w:rFonts w:hint="eastAsia"/>
          <w:sz w:val="24"/>
          <w:szCs w:val="24"/>
        </w:rPr>
        <w:t>迟鑫（权益部总经理兼任跨境投资部总经理）</w:t>
      </w:r>
    </w:p>
    <w:p>
      <w:pPr>
        <w:adjustRightInd w:val="0"/>
        <w:snapToGrid w:val="0"/>
        <w:spacing w:line="360" w:lineRule="auto"/>
        <w:ind w:firstLine="1200" w:firstLineChars="500"/>
        <w:jc w:val="left"/>
        <w:rPr>
          <w:rFonts w:hint="eastAsia"/>
          <w:sz w:val="24"/>
          <w:szCs w:val="24"/>
        </w:rPr>
      </w:pPr>
      <w:r>
        <w:rPr>
          <w:rFonts w:hint="eastAsia"/>
          <w:sz w:val="24"/>
          <w:szCs w:val="24"/>
        </w:rPr>
        <w:t>王崇（权益投资副总监、权益部一级专家、基金经理）</w:t>
      </w:r>
    </w:p>
    <w:p>
      <w:pPr>
        <w:adjustRightInd w:val="0"/>
        <w:snapToGrid w:val="0"/>
        <w:spacing w:line="360" w:lineRule="auto"/>
        <w:ind w:firstLine="1200" w:firstLineChars="500"/>
        <w:jc w:val="left"/>
        <w:rPr>
          <w:rFonts w:hint="eastAsia"/>
          <w:sz w:val="24"/>
          <w:szCs w:val="24"/>
        </w:rPr>
      </w:pPr>
      <w:r>
        <w:rPr>
          <w:rFonts w:hint="eastAsia"/>
          <w:sz w:val="24"/>
          <w:szCs w:val="24"/>
        </w:rPr>
        <w:t>于海颖（混合资产投资总监、基金经理）</w:t>
      </w:r>
    </w:p>
    <w:p>
      <w:pPr>
        <w:adjustRightInd w:val="0"/>
        <w:snapToGrid w:val="0"/>
        <w:spacing w:line="360" w:lineRule="auto"/>
        <w:ind w:firstLine="1200" w:firstLineChars="500"/>
        <w:jc w:val="left"/>
        <w:rPr>
          <w:rFonts w:hint="eastAsia"/>
          <w:sz w:val="24"/>
          <w:szCs w:val="24"/>
        </w:rPr>
      </w:pPr>
      <w:r>
        <w:rPr>
          <w:rFonts w:hint="eastAsia"/>
          <w:sz w:val="24"/>
          <w:szCs w:val="24"/>
        </w:rPr>
        <w:t>黄莹洁（固定收益（公募）投资助理总监、基金经理）</w:t>
      </w:r>
    </w:p>
    <w:p>
      <w:pPr>
        <w:adjustRightInd w:val="0"/>
        <w:snapToGrid w:val="0"/>
        <w:spacing w:line="360" w:lineRule="auto"/>
        <w:ind w:firstLine="1200" w:firstLineChars="500"/>
        <w:jc w:val="left"/>
        <w:rPr>
          <w:rFonts w:hint="eastAsia"/>
          <w:sz w:val="24"/>
          <w:szCs w:val="24"/>
        </w:rPr>
      </w:pPr>
      <w:r>
        <w:rPr>
          <w:rFonts w:hint="eastAsia"/>
          <w:sz w:val="24"/>
          <w:szCs w:val="24"/>
        </w:rPr>
        <w:t>马韬（研究总监）</w:t>
      </w:r>
    </w:p>
    <w:p>
      <w:pPr>
        <w:adjustRightInd w:val="0"/>
        <w:snapToGrid w:val="0"/>
        <w:spacing w:line="360" w:lineRule="auto"/>
        <w:ind w:firstLine="1200" w:firstLineChars="500"/>
        <w:rPr>
          <w:rFonts w:hint="eastAsia"/>
          <w:sz w:val="24"/>
          <w:szCs w:val="24"/>
        </w:rPr>
      </w:pPr>
      <w:r>
        <w:rPr>
          <w:rFonts w:hint="eastAsia"/>
          <w:sz w:val="24"/>
          <w:szCs w:val="24"/>
        </w:rPr>
        <w:t>樊继拓（多资产研究部副总经理）</w:t>
      </w:r>
    </w:p>
    <w:p>
      <w:pPr>
        <w:adjustRightInd w:val="0"/>
        <w:snapToGrid w:val="0"/>
        <w:spacing w:line="360" w:lineRule="auto"/>
        <w:ind w:firstLine="480" w:firstLineChars="200"/>
        <w:rPr>
          <w:rFonts w:ascii="宋体" w:hAnsi="宋体"/>
          <w:kern w:val="0"/>
          <w:sz w:val="24"/>
        </w:rPr>
      </w:pPr>
      <w:r>
        <w:rPr>
          <w:rFonts w:hint="eastAsia" w:ascii="宋体" w:hAnsi="宋体"/>
          <w:kern w:val="0"/>
          <w:sz w:val="24"/>
        </w:rPr>
        <w:t>5、</w:t>
      </w:r>
      <w:r>
        <w:rPr>
          <w:rFonts w:ascii="宋体" w:hAnsi="宋体"/>
          <w:kern w:val="0"/>
          <w:sz w:val="24"/>
        </w:rPr>
        <w:t>上述人员之间</w:t>
      </w:r>
      <w:r>
        <w:rPr>
          <w:rFonts w:hint="eastAsia" w:ascii="宋体" w:hAnsi="宋体"/>
          <w:kern w:val="0"/>
          <w:sz w:val="24"/>
        </w:rPr>
        <w:t>不存在</w:t>
      </w:r>
      <w:r>
        <w:rPr>
          <w:rFonts w:ascii="宋体" w:hAnsi="宋体"/>
          <w:kern w:val="0"/>
          <w:sz w:val="24"/>
        </w:rPr>
        <w:t>近亲属关系。</w:t>
      </w:r>
    </w:p>
    <w:p>
      <w:pPr>
        <w:widowControl/>
        <w:adjustRightInd w:val="0"/>
        <w:snapToGrid w:val="0"/>
        <w:spacing w:line="360" w:lineRule="auto"/>
        <w:ind w:firstLine="482" w:firstLineChars="200"/>
        <w:outlineLvl w:val="1"/>
        <w:rPr>
          <w:b/>
          <w:kern w:val="0"/>
          <w:sz w:val="24"/>
        </w:rPr>
      </w:pPr>
      <w:r>
        <w:rPr>
          <w:rFonts w:hAnsi="宋体"/>
          <w:b/>
          <w:kern w:val="0"/>
          <w:sz w:val="24"/>
        </w:rPr>
        <w:t>（三）基金管理人的职责</w:t>
      </w:r>
    </w:p>
    <w:p>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pPr>
        <w:adjustRightInd w:val="0"/>
        <w:snapToGrid w:val="0"/>
        <w:spacing w:line="360" w:lineRule="auto"/>
        <w:ind w:firstLine="480" w:firstLineChars="200"/>
        <w:rPr>
          <w:sz w:val="24"/>
          <w:szCs w:val="24"/>
        </w:rPr>
      </w:pPr>
      <w:r>
        <w:rPr>
          <w:sz w:val="24"/>
          <w:szCs w:val="24"/>
        </w:rPr>
        <w:t>2、办理基金备案手续；</w:t>
      </w:r>
    </w:p>
    <w:p>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pPr>
        <w:adjustRightInd w:val="0"/>
        <w:snapToGrid w:val="0"/>
        <w:spacing w:line="360" w:lineRule="auto"/>
        <w:ind w:firstLine="480" w:firstLineChars="200"/>
        <w:rPr>
          <w:sz w:val="24"/>
          <w:szCs w:val="24"/>
        </w:rPr>
      </w:pPr>
      <w:r>
        <w:rPr>
          <w:sz w:val="24"/>
          <w:szCs w:val="24"/>
        </w:rPr>
        <w:t>5、进行基金会计核算并编制基金财务会计报告；</w:t>
      </w:r>
    </w:p>
    <w:p>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pPr>
        <w:adjustRightInd w:val="0"/>
        <w:snapToGrid w:val="0"/>
        <w:spacing w:line="360" w:lineRule="auto"/>
        <w:ind w:firstLine="480" w:firstLineChars="200"/>
        <w:rPr>
          <w:sz w:val="24"/>
          <w:szCs w:val="24"/>
        </w:rPr>
      </w:pPr>
      <w:r>
        <w:rPr>
          <w:sz w:val="24"/>
          <w:szCs w:val="24"/>
        </w:rPr>
        <w:t>8、办理与基金财产管理业务活动有关的信息披露事项；</w:t>
      </w:r>
    </w:p>
    <w:p>
      <w:pPr>
        <w:adjustRightInd w:val="0"/>
        <w:snapToGrid w:val="0"/>
        <w:spacing w:line="360" w:lineRule="auto"/>
        <w:ind w:firstLine="480" w:firstLineChars="200"/>
        <w:rPr>
          <w:sz w:val="24"/>
          <w:szCs w:val="24"/>
        </w:rPr>
      </w:pPr>
      <w:r>
        <w:rPr>
          <w:sz w:val="24"/>
          <w:szCs w:val="24"/>
        </w:rPr>
        <w:t>9、按照规定召集基金份额持有人大会；</w:t>
      </w:r>
    </w:p>
    <w:p>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pPr>
        <w:adjustRightInd w:val="0"/>
        <w:snapToGrid w:val="0"/>
        <w:spacing w:line="360" w:lineRule="auto"/>
        <w:ind w:firstLine="480" w:firstLineChars="200"/>
        <w:rPr>
          <w:sz w:val="24"/>
          <w:szCs w:val="24"/>
        </w:rPr>
      </w:pPr>
      <w:r>
        <w:rPr>
          <w:sz w:val="24"/>
          <w:szCs w:val="24"/>
        </w:rPr>
        <w:t>12、有关法律法规和中国证监会规定的其他职责。</w:t>
      </w:r>
    </w:p>
    <w:p>
      <w:pPr>
        <w:widowControl/>
        <w:adjustRightInd w:val="0"/>
        <w:snapToGrid w:val="0"/>
        <w:spacing w:line="360" w:lineRule="auto"/>
        <w:ind w:firstLine="482" w:firstLineChars="200"/>
        <w:jc w:val="left"/>
        <w:outlineLvl w:val="1"/>
        <w:rPr>
          <w:b/>
          <w:kern w:val="0"/>
          <w:sz w:val="24"/>
        </w:rPr>
      </w:pPr>
      <w:r>
        <w:rPr>
          <w:rFonts w:hAnsi="宋体"/>
          <w:b/>
          <w:kern w:val="0"/>
          <w:sz w:val="24"/>
        </w:rPr>
        <w:t>（四）基金管理人的承诺</w:t>
      </w:r>
    </w:p>
    <w:p>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pPr>
        <w:adjustRightInd w:val="0"/>
        <w:snapToGrid w:val="0"/>
        <w:spacing w:line="360" w:lineRule="auto"/>
        <w:ind w:firstLine="480" w:firstLineChars="200"/>
        <w:rPr>
          <w:sz w:val="24"/>
          <w:szCs w:val="24"/>
        </w:rPr>
      </w:pPr>
      <w:r>
        <w:rPr>
          <w:sz w:val="24"/>
          <w:szCs w:val="24"/>
        </w:rPr>
        <w:t>（2）不公平地对待管理的不同基金财产；</w:t>
      </w:r>
    </w:p>
    <w:p>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pPr>
        <w:adjustRightInd w:val="0"/>
        <w:snapToGrid w:val="0"/>
        <w:spacing w:line="360" w:lineRule="auto"/>
        <w:ind w:firstLine="480" w:firstLineChars="200"/>
        <w:rPr>
          <w:sz w:val="24"/>
          <w:szCs w:val="24"/>
        </w:rPr>
      </w:pPr>
      <w:r>
        <w:rPr>
          <w:sz w:val="24"/>
          <w:szCs w:val="24"/>
        </w:rPr>
        <w:t>（4）向基金份额持有人违规承诺收益或者承担损失；</w:t>
      </w:r>
    </w:p>
    <w:p>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pPr>
        <w:adjustRightInd w:val="0"/>
        <w:snapToGrid w:val="0"/>
        <w:spacing w:line="360" w:lineRule="auto"/>
        <w:ind w:firstLine="480" w:firstLineChars="200"/>
        <w:rPr>
          <w:sz w:val="24"/>
          <w:szCs w:val="24"/>
        </w:rPr>
      </w:pPr>
      <w:r>
        <w:rPr>
          <w:sz w:val="24"/>
          <w:szCs w:val="24"/>
        </w:rPr>
        <w:t>5、基金管理人承诺不从事其他法规规定禁止从事的行为。</w:t>
      </w:r>
    </w:p>
    <w:p>
      <w:pPr>
        <w:widowControl/>
        <w:adjustRightInd w:val="0"/>
        <w:snapToGrid w:val="0"/>
        <w:spacing w:line="360" w:lineRule="auto"/>
        <w:ind w:firstLine="482" w:firstLineChars="200"/>
        <w:jc w:val="left"/>
        <w:outlineLvl w:val="1"/>
        <w:rPr>
          <w:b/>
          <w:kern w:val="0"/>
          <w:sz w:val="24"/>
        </w:rPr>
      </w:pPr>
      <w:r>
        <w:rPr>
          <w:rFonts w:hAnsi="宋体"/>
          <w:b/>
          <w:kern w:val="0"/>
          <w:sz w:val="24"/>
        </w:rPr>
        <w:t>（五）基金经理承诺</w:t>
      </w:r>
    </w:p>
    <w:p>
      <w:pPr>
        <w:adjustRightInd w:val="0"/>
        <w:snapToGrid w:val="0"/>
        <w:spacing w:line="360" w:lineRule="auto"/>
        <w:ind w:firstLine="480" w:firstLineChars="200"/>
        <w:rPr>
          <w:sz w:val="24"/>
          <w:szCs w:val="24"/>
        </w:rPr>
      </w:pPr>
      <w:r>
        <w:rPr>
          <w:sz w:val="24"/>
          <w:szCs w:val="24"/>
        </w:rPr>
        <w:t>1、依照有关法律法规和基金合同的规定，本着谨慎的原则为基金份额持有人谋取最大利益；</w:t>
      </w:r>
    </w:p>
    <w:p>
      <w:pPr>
        <w:adjustRightInd w:val="0"/>
        <w:snapToGrid w:val="0"/>
        <w:spacing w:line="360" w:lineRule="auto"/>
        <w:ind w:firstLine="480" w:firstLineChars="200"/>
        <w:rPr>
          <w:sz w:val="24"/>
          <w:szCs w:val="24"/>
        </w:rPr>
      </w:pPr>
      <w:r>
        <w:rPr>
          <w:sz w:val="24"/>
          <w:szCs w:val="24"/>
        </w:rPr>
        <w:t>2、不利用职务之便为自己、受雇人或任何第三者谋取利益；</w:t>
      </w:r>
    </w:p>
    <w:p>
      <w:pPr>
        <w:widowControl/>
        <w:adjustRightInd w:val="0"/>
        <w:snapToGrid w:val="0"/>
        <w:spacing w:line="360" w:lineRule="auto"/>
        <w:ind w:firstLine="480" w:firstLineChars="200"/>
        <w:rPr>
          <w:sz w:val="24"/>
          <w:szCs w:val="24"/>
        </w:rPr>
      </w:pPr>
      <w:r>
        <w:rPr>
          <w:sz w:val="24"/>
          <w:szCs w:val="24"/>
        </w:rPr>
        <w:t>3、不泄露在任职期间知悉的有关证券、基金的商业秘密，尚未依法公开的基金投资内容、基金投资计划等信息，或利用该信息从事或者明示、暗示他人从事相关的交易活动；</w:t>
      </w:r>
    </w:p>
    <w:p>
      <w:pPr>
        <w:widowControl/>
        <w:adjustRightInd w:val="0"/>
        <w:snapToGrid w:val="0"/>
        <w:spacing w:line="360" w:lineRule="auto"/>
        <w:ind w:firstLine="480" w:firstLineChars="200"/>
        <w:rPr>
          <w:kern w:val="0"/>
          <w:sz w:val="24"/>
          <w:szCs w:val="24"/>
        </w:rPr>
      </w:pPr>
      <w:r>
        <w:rPr>
          <w:sz w:val="24"/>
          <w:szCs w:val="24"/>
        </w:rPr>
        <w:t>4、不以任何形式为其他组织或个人进行证券交易。</w:t>
      </w:r>
    </w:p>
    <w:p>
      <w:pPr>
        <w:widowControl/>
        <w:adjustRightInd w:val="0"/>
        <w:snapToGrid w:val="0"/>
        <w:spacing w:line="360" w:lineRule="auto"/>
        <w:ind w:firstLine="482" w:firstLineChars="200"/>
        <w:outlineLvl w:val="1"/>
        <w:rPr>
          <w:b/>
          <w:kern w:val="0"/>
          <w:sz w:val="24"/>
        </w:rPr>
      </w:pPr>
      <w:r>
        <w:rPr>
          <w:rFonts w:hAnsi="宋体"/>
          <w:b/>
          <w:kern w:val="0"/>
          <w:sz w:val="24"/>
        </w:rPr>
        <w:t>（六）基金管理人的内部控制制度</w:t>
      </w:r>
    </w:p>
    <w:p>
      <w:pPr>
        <w:widowControl/>
        <w:adjustRightInd w:val="0"/>
        <w:snapToGrid w:val="0"/>
        <w:spacing w:line="360" w:lineRule="auto"/>
        <w:ind w:firstLine="480" w:firstLineChars="200"/>
        <w:rPr>
          <w:kern w:val="0"/>
          <w:sz w:val="24"/>
          <w:szCs w:val="24"/>
        </w:rPr>
      </w:pPr>
      <w:r>
        <w:rPr>
          <w:rFonts w:hint="eastAsia"/>
          <w:kern w:val="0"/>
          <w:sz w:val="24"/>
          <w:szCs w:val="24"/>
        </w:rPr>
        <w:t>1、内部控制的原则</w:t>
      </w:r>
    </w:p>
    <w:p>
      <w:pPr>
        <w:widowControl/>
        <w:adjustRightInd w:val="0"/>
        <w:snapToGrid w:val="0"/>
        <w:spacing w:line="360" w:lineRule="auto"/>
        <w:ind w:firstLine="480" w:firstLineChars="200"/>
        <w:rPr>
          <w:kern w:val="0"/>
          <w:sz w:val="24"/>
          <w:szCs w:val="24"/>
        </w:rPr>
      </w:pPr>
      <w:r>
        <w:rPr>
          <w:rFonts w:hint="eastAsia"/>
          <w:kern w:val="0"/>
          <w:sz w:val="24"/>
          <w:szCs w:val="24"/>
        </w:rPr>
        <w:t>（1）健全性原则</w:t>
      </w:r>
    </w:p>
    <w:p>
      <w:pPr>
        <w:widowControl/>
        <w:adjustRightInd w:val="0"/>
        <w:snapToGrid w:val="0"/>
        <w:spacing w:line="360" w:lineRule="auto"/>
        <w:ind w:firstLine="480" w:firstLineChars="200"/>
        <w:rPr>
          <w:kern w:val="0"/>
          <w:sz w:val="24"/>
          <w:szCs w:val="24"/>
        </w:rPr>
      </w:pPr>
      <w:r>
        <w:rPr>
          <w:rFonts w:hint="eastAsia"/>
          <w:kern w:val="0"/>
          <w:sz w:val="24"/>
          <w:szCs w:val="24"/>
        </w:rPr>
        <w:t>内部控制应当包括公司的各项业务、各个部门或机构和各级人员, 并涵盖到决策、执行、监督、反馈等各个环节。</w:t>
      </w:r>
    </w:p>
    <w:p>
      <w:pPr>
        <w:widowControl/>
        <w:adjustRightInd w:val="0"/>
        <w:snapToGrid w:val="0"/>
        <w:spacing w:line="360" w:lineRule="auto"/>
        <w:ind w:firstLine="480" w:firstLineChars="200"/>
        <w:rPr>
          <w:kern w:val="0"/>
          <w:sz w:val="24"/>
          <w:szCs w:val="24"/>
        </w:rPr>
      </w:pPr>
      <w:r>
        <w:rPr>
          <w:rFonts w:hint="eastAsia"/>
          <w:kern w:val="0"/>
          <w:sz w:val="24"/>
          <w:szCs w:val="24"/>
        </w:rPr>
        <w:t>（2）有效性原则</w:t>
      </w:r>
    </w:p>
    <w:p>
      <w:pPr>
        <w:widowControl/>
        <w:adjustRightInd w:val="0"/>
        <w:snapToGrid w:val="0"/>
        <w:spacing w:line="360" w:lineRule="auto"/>
        <w:ind w:firstLine="480" w:firstLineChars="200"/>
        <w:rPr>
          <w:kern w:val="0"/>
          <w:sz w:val="24"/>
          <w:szCs w:val="24"/>
        </w:rPr>
      </w:pPr>
      <w:r>
        <w:rPr>
          <w:rFonts w:hint="eastAsia"/>
          <w:kern w:val="0"/>
          <w:sz w:val="24"/>
          <w:szCs w:val="24"/>
        </w:rPr>
        <w:t>通过科学的内控手段和方法，建立合理的内控程序，维护内控制度的有效执行。</w:t>
      </w:r>
    </w:p>
    <w:p>
      <w:pPr>
        <w:widowControl/>
        <w:adjustRightInd w:val="0"/>
        <w:snapToGrid w:val="0"/>
        <w:spacing w:line="360" w:lineRule="auto"/>
        <w:ind w:firstLine="480" w:firstLineChars="200"/>
        <w:rPr>
          <w:kern w:val="0"/>
          <w:sz w:val="24"/>
          <w:szCs w:val="24"/>
        </w:rPr>
      </w:pPr>
      <w:r>
        <w:rPr>
          <w:rFonts w:hint="eastAsia"/>
          <w:kern w:val="0"/>
          <w:sz w:val="24"/>
          <w:szCs w:val="24"/>
        </w:rPr>
        <w:t>（3）独立性原则</w:t>
      </w:r>
    </w:p>
    <w:p>
      <w:pPr>
        <w:widowControl/>
        <w:adjustRightInd w:val="0"/>
        <w:snapToGrid w:val="0"/>
        <w:spacing w:line="360" w:lineRule="auto"/>
        <w:ind w:firstLine="480" w:firstLineChars="200"/>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pPr>
        <w:widowControl/>
        <w:adjustRightInd w:val="0"/>
        <w:snapToGrid w:val="0"/>
        <w:spacing w:line="360" w:lineRule="auto"/>
        <w:ind w:firstLine="480" w:firstLineChars="200"/>
        <w:rPr>
          <w:kern w:val="0"/>
          <w:sz w:val="24"/>
          <w:szCs w:val="24"/>
        </w:rPr>
      </w:pPr>
      <w:r>
        <w:rPr>
          <w:rFonts w:hint="eastAsia"/>
          <w:kern w:val="0"/>
          <w:sz w:val="24"/>
          <w:szCs w:val="24"/>
        </w:rPr>
        <w:t>（4）相互制约原则</w:t>
      </w:r>
    </w:p>
    <w:p>
      <w:pPr>
        <w:widowControl/>
        <w:adjustRightInd w:val="0"/>
        <w:snapToGrid w:val="0"/>
        <w:spacing w:line="360" w:lineRule="auto"/>
        <w:ind w:firstLine="480" w:firstLineChars="200"/>
        <w:rPr>
          <w:kern w:val="0"/>
          <w:sz w:val="24"/>
          <w:szCs w:val="24"/>
        </w:rPr>
      </w:pPr>
      <w:r>
        <w:rPr>
          <w:rFonts w:hint="eastAsia"/>
          <w:kern w:val="0"/>
          <w:sz w:val="24"/>
          <w:szCs w:val="24"/>
        </w:rPr>
        <w:t>公司内部部门和岗位的设置应当体现权责分明、相互制衡。</w:t>
      </w:r>
    </w:p>
    <w:p>
      <w:pPr>
        <w:widowControl/>
        <w:adjustRightInd w:val="0"/>
        <w:snapToGrid w:val="0"/>
        <w:spacing w:line="360" w:lineRule="auto"/>
        <w:ind w:firstLine="480" w:firstLineChars="200"/>
        <w:rPr>
          <w:kern w:val="0"/>
          <w:sz w:val="24"/>
          <w:szCs w:val="24"/>
        </w:rPr>
      </w:pPr>
      <w:r>
        <w:rPr>
          <w:rFonts w:hint="eastAsia"/>
          <w:kern w:val="0"/>
          <w:sz w:val="24"/>
          <w:szCs w:val="24"/>
        </w:rPr>
        <w:t>（5）成本效益原则</w:t>
      </w:r>
    </w:p>
    <w:p>
      <w:pPr>
        <w:widowControl/>
        <w:adjustRightInd w:val="0"/>
        <w:snapToGrid w:val="0"/>
        <w:spacing w:line="360" w:lineRule="auto"/>
        <w:ind w:firstLine="480" w:firstLineChars="200"/>
        <w:rPr>
          <w:kern w:val="0"/>
          <w:sz w:val="24"/>
          <w:szCs w:val="24"/>
        </w:rPr>
      </w:pPr>
      <w:r>
        <w:rPr>
          <w:rFonts w:hint="eastAsia"/>
          <w:kern w:val="0"/>
          <w:sz w:val="24"/>
          <w:szCs w:val="24"/>
        </w:rPr>
        <w:t>公司运用科学化的经营管理方法降低运作成本，提高经济效益，力争以合理的控制成本达到最佳的内部控制效果。</w:t>
      </w:r>
    </w:p>
    <w:p>
      <w:pPr>
        <w:widowControl/>
        <w:adjustRightInd w:val="0"/>
        <w:snapToGrid w:val="0"/>
        <w:spacing w:line="360" w:lineRule="auto"/>
        <w:ind w:firstLine="480" w:firstLineChars="200"/>
        <w:rPr>
          <w:kern w:val="0"/>
          <w:sz w:val="24"/>
          <w:szCs w:val="24"/>
        </w:rPr>
      </w:pPr>
      <w:r>
        <w:rPr>
          <w:rFonts w:hint="eastAsia"/>
          <w:kern w:val="0"/>
          <w:sz w:val="24"/>
          <w:szCs w:val="24"/>
        </w:rPr>
        <w:t>2、风险管理和内部风险控制体系结构</w:t>
      </w:r>
    </w:p>
    <w:p>
      <w:pPr>
        <w:widowControl/>
        <w:adjustRightInd w:val="0"/>
        <w:snapToGrid w:val="0"/>
        <w:spacing w:line="360" w:lineRule="auto"/>
        <w:ind w:firstLine="480" w:firstLineChars="200"/>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widowControl/>
        <w:adjustRightInd w:val="0"/>
        <w:snapToGrid w:val="0"/>
        <w:spacing w:line="360" w:lineRule="auto"/>
        <w:ind w:firstLine="480" w:firstLineChars="200"/>
        <w:rPr>
          <w:kern w:val="0"/>
          <w:sz w:val="24"/>
          <w:szCs w:val="24"/>
        </w:rPr>
      </w:pPr>
      <w:r>
        <w:rPr>
          <w:rFonts w:hint="eastAsia"/>
          <w:kern w:val="0"/>
          <w:sz w:val="24"/>
          <w:szCs w:val="24"/>
        </w:rPr>
        <w:t>（1）董事会</w:t>
      </w:r>
    </w:p>
    <w:p>
      <w:pPr>
        <w:widowControl/>
        <w:adjustRightInd w:val="0"/>
        <w:snapToGrid w:val="0"/>
        <w:spacing w:line="360" w:lineRule="auto"/>
        <w:ind w:firstLine="480" w:firstLineChars="200"/>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pPr>
        <w:widowControl/>
        <w:adjustRightInd w:val="0"/>
        <w:snapToGrid w:val="0"/>
        <w:spacing w:line="360" w:lineRule="auto"/>
        <w:ind w:firstLine="480" w:firstLineChars="200"/>
        <w:rPr>
          <w:kern w:val="0"/>
          <w:sz w:val="24"/>
          <w:szCs w:val="24"/>
        </w:rPr>
      </w:pPr>
      <w:r>
        <w:rPr>
          <w:rFonts w:hint="eastAsia"/>
          <w:kern w:val="0"/>
          <w:sz w:val="24"/>
          <w:szCs w:val="24"/>
        </w:rPr>
        <w:t>（2）合规风险及审计委员会</w:t>
      </w:r>
    </w:p>
    <w:p>
      <w:pPr>
        <w:widowControl/>
        <w:adjustRightInd w:val="0"/>
        <w:snapToGrid w:val="0"/>
        <w:spacing w:line="360" w:lineRule="auto"/>
        <w:ind w:firstLine="480" w:firstLineChars="200"/>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widowControl/>
        <w:adjustRightInd w:val="0"/>
        <w:snapToGrid w:val="0"/>
        <w:spacing w:line="360" w:lineRule="auto"/>
        <w:ind w:firstLine="480" w:firstLineChars="200"/>
        <w:rPr>
          <w:kern w:val="0"/>
          <w:sz w:val="24"/>
          <w:szCs w:val="24"/>
        </w:rPr>
      </w:pPr>
      <w:r>
        <w:rPr>
          <w:rFonts w:hint="eastAsia"/>
          <w:kern w:val="0"/>
          <w:sz w:val="24"/>
          <w:szCs w:val="24"/>
        </w:rPr>
        <w:t>（3）风险控制委员会</w:t>
      </w:r>
    </w:p>
    <w:p>
      <w:pPr>
        <w:widowControl/>
        <w:adjustRightInd w:val="0"/>
        <w:snapToGrid w:val="0"/>
        <w:spacing w:line="360" w:lineRule="auto"/>
        <w:ind w:firstLine="480" w:firstLineChars="200"/>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widowControl/>
        <w:adjustRightInd w:val="0"/>
        <w:snapToGrid w:val="0"/>
        <w:spacing w:line="360" w:lineRule="auto"/>
        <w:ind w:firstLine="480" w:firstLineChars="200"/>
        <w:rPr>
          <w:kern w:val="0"/>
          <w:sz w:val="24"/>
          <w:szCs w:val="24"/>
        </w:rPr>
      </w:pPr>
      <w:r>
        <w:rPr>
          <w:rFonts w:hint="eastAsia"/>
          <w:kern w:val="0"/>
          <w:sz w:val="24"/>
          <w:szCs w:val="24"/>
        </w:rPr>
        <w:t>（4）督察长</w:t>
      </w:r>
    </w:p>
    <w:p>
      <w:pPr>
        <w:widowControl/>
        <w:adjustRightInd w:val="0"/>
        <w:snapToGrid w:val="0"/>
        <w:spacing w:line="360" w:lineRule="auto"/>
        <w:ind w:firstLine="480" w:firstLineChars="200"/>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pPr>
        <w:widowControl/>
        <w:adjustRightInd w:val="0"/>
        <w:snapToGrid w:val="0"/>
        <w:spacing w:line="360" w:lineRule="auto"/>
        <w:ind w:firstLine="480" w:firstLineChars="200"/>
        <w:rPr>
          <w:kern w:val="0"/>
          <w:sz w:val="24"/>
          <w:szCs w:val="24"/>
        </w:rPr>
      </w:pPr>
      <w:r>
        <w:rPr>
          <w:rFonts w:hint="eastAsia"/>
          <w:kern w:val="0"/>
          <w:sz w:val="24"/>
          <w:szCs w:val="24"/>
        </w:rPr>
        <w:t>（5）风险管理部</w:t>
      </w:r>
    </w:p>
    <w:p>
      <w:pPr>
        <w:widowControl/>
        <w:adjustRightInd w:val="0"/>
        <w:snapToGrid w:val="0"/>
        <w:spacing w:line="360" w:lineRule="auto"/>
        <w:ind w:firstLine="480" w:firstLineChars="200"/>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pPr>
        <w:widowControl/>
        <w:adjustRightInd w:val="0"/>
        <w:snapToGrid w:val="0"/>
        <w:spacing w:line="360" w:lineRule="auto"/>
        <w:ind w:firstLine="480" w:firstLineChars="200"/>
        <w:rPr>
          <w:kern w:val="0"/>
          <w:sz w:val="24"/>
          <w:szCs w:val="24"/>
        </w:rPr>
      </w:pPr>
      <w:r>
        <w:rPr>
          <w:rFonts w:hint="eastAsia"/>
          <w:kern w:val="0"/>
          <w:sz w:val="24"/>
          <w:szCs w:val="24"/>
        </w:rPr>
        <w:t>（6）审计部</w:t>
      </w:r>
    </w:p>
    <w:p>
      <w:pPr>
        <w:widowControl/>
        <w:adjustRightInd w:val="0"/>
        <w:snapToGrid w:val="0"/>
        <w:spacing w:line="360" w:lineRule="auto"/>
        <w:ind w:firstLine="480" w:firstLineChars="200"/>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widowControl/>
        <w:adjustRightInd w:val="0"/>
        <w:snapToGrid w:val="0"/>
        <w:spacing w:line="360" w:lineRule="auto"/>
        <w:ind w:firstLine="480" w:firstLineChars="200"/>
        <w:rPr>
          <w:kern w:val="0"/>
          <w:sz w:val="24"/>
          <w:szCs w:val="24"/>
        </w:rPr>
      </w:pPr>
      <w:r>
        <w:rPr>
          <w:rFonts w:hint="eastAsia"/>
          <w:kern w:val="0"/>
          <w:sz w:val="24"/>
          <w:szCs w:val="24"/>
        </w:rPr>
        <w:t>（7）内控合规及法律事务部</w:t>
      </w:r>
    </w:p>
    <w:p>
      <w:pPr>
        <w:widowControl/>
        <w:adjustRightInd w:val="0"/>
        <w:snapToGrid w:val="0"/>
        <w:spacing w:line="360" w:lineRule="auto"/>
        <w:ind w:firstLine="480" w:firstLineChars="200"/>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widowControl/>
        <w:adjustRightInd w:val="0"/>
        <w:snapToGrid w:val="0"/>
        <w:spacing w:line="360" w:lineRule="auto"/>
        <w:ind w:firstLine="480" w:firstLineChars="200"/>
        <w:rPr>
          <w:kern w:val="0"/>
          <w:sz w:val="24"/>
          <w:szCs w:val="24"/>
        </w:rPr>
      </w:pPr>
      <w:r>
        <w:rPr>
          <w:rFonts w:hint="eastAsia"/>
          <w:kern w:val="0"/>
          <w:sz w:val="24"/>
          <w:szCs w:val="24"/>
        </w:rPr>
        <w:t>（8）业务部门</w:t>
      </w:r>
    </w:p>
    <w:p>
      <w:pPr>
        <w:widowControl/>
        <w:adjustRightInd w:val="0"/>
        <w:snapToGrid w:val="0"/>
        <w:spacing w:line="360" w:lineRule="auto"/>
        <w:ind w:firstLine="480" w:firstLineChars="200"/>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pPr>
        <w:widowControl/>
        <w:adjustRightInd w:val="0"/>
        <w:snapToGrid w:val="0"/>
        <w:spacing w:line="360" w:lineRule="auto"/>
        <w:ind w:firstLine="480" w:firstLineChars="200"/>
        <w:rPr>
          <w:kern w:val="0"/>
          <w:sz w:val="24"/>
          <w:szCs w:val="24"/>
        </w:rPr>
      </w:pPr>
      <w:r>
        <w:rPr>
          <w:rFonts w:hint="eastAsia"/>
          <w:kern w:val="0"/>
          <w:sz w:val="24"/>
          <w:szCs w:val="24"/>
        </w:rPr>
        <w:t>3、风险管理和内部风险控制的措施</w:t>
      </w:r>
    </w:p>
    <w:p>
      <w:pPr>
        <w:widowControl/>
        <w:adjustRightInd w:val="0"/>
        <w:snapToGrid w:val="0"/>
        <w:spacing w:line="360" w:lineRule="auto"/>
        <w:ind w:firstLine="480" w:firstLineChars="200"/>
        <w:rPr>
          <w:kern w:val="0"/>
          <w:sz w:val="24"/>
          <w:szCs w:val="24"/>
        </w:rPr>
      </w:pPr>
      <w:r>
        <w:rPr>
          <w:rFonts w:hint="eastAsia"/>
          <w:kern w:val="0"/>
          <w:sz w:val="24"/>
          <w:szCs w:val="24"/>
        </w:rPr>
        <w:t>（1）建立内控体系，完善内控制度</w:t>
      </w:r>
    </w:p>
    <w:p>
      <w:pPr>
        <w:widowControl/>
        <w:adjustRightInd w:val="0"/>
        <w:snapToGrid w:val="0"/>
        <w:spacing w:line="360" w:lineRule="auto"/>
        <w:ind w:firstLine="480" w:firstLineChars="200"/>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pPr>
        <w:widowControl/>
        <w:adjustRightInd w:val="0"/>
        <w:snapToGrid w:val="0"/>
        <w:spacing w:line="360" w:lineRule="auto"/>
        <w:ind w:firstLine="480" w:firstLineChars="200"/>
        <w:rPr>
          <w:kern w:val="0"/>
          <w:sz w:val="24"/>
          <w:szCs w:val="24"/>
        </w:rPr>
      </w:pPr>
      <w:r>
        <w:rPr>
          <w:rFonts w:hint="eastAsia"/>
          <w:kern w:val="0"/>
          <w:sz w:val="24"/>
          <w:szCs w:val="24"/>
        </w:rPr>
        <w:t>（2）建立相互分离、相互制衡的内控机制</w:t>
      </w:r>
    </w:p>
    <w:p>
      <w:pPr>
        <w:widowControl/>
        <w:adjustRightInd w:val="0"/>
        <w:snapToGrid w:val="0"/>
        <w:spacing w:line="360" w:lineRule="auto"/>
        <w:ind w:firstLine="480" w:firstLineChars="200"/>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pPr>
        <w:widowControl/>
        <w:adjustRightInd w:val="0"/>
        <w:snapToGrid w:val="0"/>
        <w:spacing w:line="360" w:lineRule="auto"/>
        <w:ind w:firstLine="480" w:firstLineChars="200"/>
        <w:rPr>
          <w:kern w:val="0"/>
          <w:sz w:val="24"/>
          <w:szCs w:val="24"/>
        </w:rPr>
      </w:pPr>
      <w:r>
        <w:rPr>
          <w:rFonts w:hint="eastAsia"/>
          <w:kern w:val="0"/>
          <w:sz w:val="24"/>
          <w:szCs w:val="24"/>
        </w:rPr>
        <w:t>（3）建立、健全岗位责任制</w:t>
      </w:r>
    </w:p>
    <w:p>
      <w:pPr>
        <w:widowControl/>
        <w:adjustRightInd w:val="0"/>
        <w:snapToGrid w:val="0"/>
        <w:spacing w:line="360" w:lineRule="auto"/>
        <w:ind w:firstLine="480" w:firstLineChars="200"/>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pPr>
        <w:widowControl/>
        <w:adjustRightInd w:val="0"/>
        <w:snapToGrid w:val="0"/>
        <w:spacing w:line="360" w:lineRule="auto"/>
        <w:ind w:firstLine="480" w:firstLineChars="200"/>
        <w:rPr>
          <w:kern w:val="0"/>
          <w:sz w:val="24"/>
          <w:szCs w:val="24"/>
        </w:rPr>
      </w:pPr>
      <w:r>
        <w:rPr>
          <w:rFonts w:hint="eastAsia"/>
          <w:kern w:val="0"/>
          <w:sz w:val="24"/>
          <w:szCs w:val="24"/>
        </w:rPr>
        <w:t>（4）建立风险分类、识别、评估、报告、提示程序</w:t>
      </w:r>
    </w:p>
    <w:p>
      <w:pPr>
        <w:widowControl/>
        <w:adjustRightInd w:val="0"/>
        <w:snapToGrid w:val="0"/>
        <w:spacing w:line="360" w:lineRule="auto"/>
        <w:ind w:firstLine="480" w:firstLineChars="200"/>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widowControl/>
        <w:adjustRightInd w:val="0"/>
        <w:snapToGrid w:val="0"/>
        <w:spacing w:line="360" w:lineRule="auto"/>
        <w:ind w:firstLine="480" w:firstLineChars="200"/>
        <w:rPr>
          <w:kern w:val="0"/>
          <w:sz w:val="24"/>
          <w:szCs w:val="24"/>
        </w:rPr>
      </w:pPr>
      <w:r>
        <w:rPr>
          <w:rFonts w:hint="eastAsia"/>
          <w:kern w:val="0"/>
          <w:sz w:val="24"/>
          <w:szCs w:val="24"/>
        </w:rPr>
        <w:t>（5）建立有效的内部监控系统</w:t>
      </w:r>
    </w:p>
    <w:p>
      <w:pPr>
        <w:widowControl/>
        <w:adjustRightInd w:val="0"/>
        <w:snapToGrid w:val="0"/>
        <w:spacing w:line="360" w:lineRule="auto"/>
        <w:ind w:firstLine="480" w:firstLineChars="200"/>
        <w:rPr>
          <w:kern w:val="0"/>
          <w:sz w:val="24"/>
          <w:szCs w:val="24"/>
        </w:rPr>
      </w:pPr>
      <w:r>
        <w:rPr>
          <w:rFonts w:hint="eastAsia"/>
          <w:kern w:val="0"/>
          <w:sz w:val="24"/>
          <w:szCs w:val="24"/>
        </w:rPr>
        <w:t>建立了足够、有效的内部监控系统，对可能出现的各种风险进行全面和实时的监控。</w:t>
      </w:r>
    </w:p>
    <w:p>
      <w:pPr>
        <w:widowControl/>
        <w:adjustRightInd w:val="0"/>
        <w:snapToGrid w:val="0"/>
        <w:spacing w:line="360" w:lineRule="auto"/>
        <w:ind w:firstLine="480" w:firstLineChars="200"/>
        <w:rPr>
          <w:kern w:val="0"/>
          <w:sz w:val="24"/>
          <w:szCs w:val="24"/>
        </w:rPr>
      </w:pPr>
      <w:r>
        <w:rPr>
          <w:rFonts w:hint="eastAsia"/>
          <w:kern w:val="0"/>
          <w:sz w:val="24"/>
          <w:szCs w:val="24"/>
        </w:rPr>
        <w:t>（6）使用数量化的风险管理手段</w:t>
      </w:r>
    </w:p>
    <w:p>
      <w:pPr>
        <w:widowControl/>
        <w:adjustRightInd w:val="0"/>
        <w:snapToGrid w:val="0"/>
        <w:spacing w:line="360" w:lineRule="auto"/>
        <w:ind w:firstLine="480" w:firstLineChars="200"/>
        <w:rPr>
          <w:kern w:val="0"/>
          <w:sz w:val="24"/>
          <w:szCs w:val="24"/>
        </w:rPr>
      </w:pPr>
      <w:r>
        <w:rPr>
          <w:rFonts w:hint="eastAsia"/>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pPr>
        <w:widowControl/>
        <w:adjustRightInd w:val="0"/>
        <w:snapToGrid w:val="0"/>
        <w:spacing w:line="360" w:lineRule="auto"/>
        <w:ind w:firstLine="480" w:firstLineChars="200"/>
        <w:rPr>
          <w:kern w:val="0"/>
          <w:sz w:val="24"/>
          <w:szCs w:val="24"/>
        </w:rPr>
      </w:pPr>
      <w:r>
        <w:rPr>
          <w:rFonts w:hint="eastAsia"/>
          <w:kern w:val="0"/>
          <w:sz w:val="24"/>
          <w:szCs w:val="24"/>
        </w:rPr>
        <w:t>（7）提供足够的培训</w:t>
      </w:r>
    </w:p>
    <w:p>
      <w:pPr>
        <w:widowControl/>
        <w:adjustRightInd w:val="0"/>
        <w:snapToGrid w:val="0"/>
        <w:spacing w:line="360" w:lineRule="auto"/>
        <w:ind w:firstLine="480" w:firstLineChars="200"/>
        <w:rPr>
          <w:kern w:val="0"/>
          <w:sz w:val="24"/>
          <w:szCs w:val="24"/>
        </w:rPr>
      </w:pPr>
      <w:r>
        <w:rPr>
          <w:rFonts w:hint="eastAsia"/>
          <w:kern w:val="0"/>
          <w:sz w:val="24"/>
          <w:szCs w:val="24"/>
        </w:rPr>
        <w:t>制定了完整的培训计划，为所有员工提供足够和适当的培训，使员工明确其职责所在，控制风险。</w:t>
      </w:r>
      <w:bookmarkStart w:id="22" w:name="_Toc109537382"/>
    </w:p>
    <w:bookmarkEnd w:id="22"/>
    <w:p>
      <w:pPr>
        <w:spacing w:line="360" w:lineRule="auto"/>
        <w:jc w:val="center"/>
        <w:outlineLvl w:val="0"/>
        <w:rPr>
          <w:rFonts w:ascii="宋体" w:hAnsi="宋体"/>
          <w:b/>
          <w:kern w:val="0"/>
          <w:sz w:val="30"/>
        </w:rPr>
      </w:pPr>
      <w:r>
        <w:rPr>
          <w:rFonts w:hAnsi="宋体"/>
          <w:kern w:val="0"/>
          <w:sz w:val="24"/>
        </w:rPr>
        <w:br w:type="page"/>
      </w:r>
      <w:bookmarkStart w:id="23" w:name="_Toc5986"/>
      <w:bookmarkStart w:id="24" w:name="_Toc48122007"/>
      <w:bookmarkStart w:id="25" w:name="_Toc20596"/>
      <w:bookmarkStart w:id="26" w:name="_Toc3601"/>
      <w:r>
        <w:rPr>
          <w:rFonts w:hint="eastAsia" w:ascii="宋体" w:hAnsi="宋体"/>
          <w:b/>
          <w:kern w:val="0"/>
          <w:sz w:val="30"/>
          <w:lang w:val="en-US" w:eastAsia="zh-CN"/>
        </w:rPr>
        <w:t>六</w:t>
      </w:r>
      <w:r>
        <w:rPr>
          <w:rFonts w:hint="eastAsia" w:ascii="宋体" w:hAnsi="宋体"/>
          <w:b/>
          <w:kern w:val="0"/>
          <w:sz w:val="30"/>
        </w:rPr>
        <w:t>、基金的募集</w:t>
      </w:r>
      <w:bookmarkEnd w:id="23"/>
      <w:bookmarkEnd w:id="24"/>
      <w:bookmarkEnd w:id="25"/>
      <w:bookmarkEnd w:id="26"/>
    </w:p>
    <w:p>
      <w:pPr>
        <w:adjustRightInd w:val="0"/>
        <w:snapToGrid w:val="0"/>
        <w:spacing w:line="360" w:lineRule="auto"/>
        <w:ind w:firstLine="482" w:firstLineChars="200"/>
        <w:outlineLvl w:val="1"/>
        <w:rPr>
          <w:b/>
          <w:sz w:val="24"/>
          <w:szCs w:val="24"/>
        </w:rPr>
      </w:pPr>
      <w:r>
        <w:rPr>
          <w:b/>
          <w:sz w:val="24"/>
          <w:szCs w:val="24"/>
        </w:rPr>
        <w:t>（一）基金募集的依据</w:t>
      </w:r>
    </w:p>
    <w:p>
      <w:pPr>
        <w:widowControl/>
        <w:adjustRightInd w:val="0"/>
        <w:snapToGrid w:val="0"/>
        <w:spacing w:line="360" w:lineRule="auto"/>
        <w:ind w:firstLine="480" w:firstLineChars="20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基金合同及其他有关规定，并经中国证监会</w:t>
      </w:r>
      <w:r>
        <w:rPr>
          <w:rFonts w:hint="eastAsia"/>
          <w:kern w:val="0"/>
          <w:sz w:val="24"/>
        </w:rPr>
        <w:t>2026年4月21日</w:t>
      </w:r>
      <w:r>
        <w:rPr>
          <w:kern w:val="0"/>
          <w:sz w:val="24"/>
        </w:rPr>
        <w:t>证监许可</w:t>
      </w:r>
      <w:r>
        <w:rPr>
          <w:rFonts w:hint="eastAsia"/>
          <w:kern w:val="0"/>
          <w:sz w:val="24"/>
        </w:rPr>
        <w:t>【20</w:t>
      </w:r>
      <w:r>
        <w:rPr>
          <w:rFonts w:hint="eastAsia"/>
          <w:kern w:val="0"/>
          <w:sz w:val="24"/>
          <w:lang w:val="en-US" w:eastAsia="zh-CN"/>
        </w:rPr>
        <w:t>26</w:t>
      </w:r>
      <w:r>
        <w:rPr>
          <w:rFonts w:hint="eastAsia"/>
          <w:kern w:val="0"/>
          <w:sz w:val="24"/>
        </w:rPr>
        <w:t>】</w:t>
      </w:r>
      <w:r>
        <w:rPr>
          <w:rFonts w:hint="eastAsia"/>
          <w:kern w:val="0"/>
          <w:sz w:val="24"/>
          <w:lang w:val="en-US" w:eastAsia="zh-CN"/>
        </w:rPr>
        <w:t>922</w:t>
      </w:r>
      <w:r>
        <w:rPr>
          <w:kern w:val="0"/>
          <w:sz w:val="24"/>
        </w:rPr>
        <w:t>号</w:t>
      </w:r>
      <w:r>
        <w:rPr>
          <w:rFonts w:hint="eastAsia"/>
          <w:kern w:val="0"/>
          <w:sz w:val="24"/>
        </w:rPr>
        <w:t>文准予</w:t>
      </w:r>
      <w:r>
        <w:rPr>
          <w:kern w:val="0"/>
          <w:sz w:val="24"/>
        </w:rPr>
        <w:t>募集</w:t>
      </w:r>
      <w:r>
        <w:rPr>
          <w:rFonts w:hint="eastAsia"/>
          <w:kern w:val="0"/>
          <w:sz w:val="24"/>
        </w:rPr>
        <w:t>注册</w:t>
      </w:r>
      <w:r>
        <w:rPr>
          <w:kern w:val="0"/>
          <w:sz w:val="24"/>
        </w:rPr>
        <w:t>。</w:t>
      </w:r>
    </w:p>
    <w:p>
      <w:pPr>
        <w:adjustRightInd w:val="0"/>
        <w:snapToGrid w:val="0"/>
        <w:spacing w:line="360" w:lineRule="auto"/>
        <w:ind w:firstLine="482" w:firstLineChars="200"/>
        <w:outlineLvl w:val="1"/>
        <w:rPr>
          <w:b/>
          <w:sz w:val="24"/>
          <w:szCs w:val="24"/>
        </w:rPr>
      </w:pPr>
      <w:r>
        <w:rPr>
          <w:b/>
          <w:sz w:val="24"/>
          <w:szCs w:val="24"/>
        </w:rPr>
        <w:t>（二）基金类</w:t>
      </w:r>
      <w:r>
        <w:rPr>
          <w:rFonts w:hint="eastAsia"/>
          <w:b/>
          <w:sz w:val="24"/>
          <w:szCs w:val="24"/>
        </w:rPr>
        <w:t>别</w:t>
      </w:r>
    </w:p>
    <w:p>
      <w:pPr>
        <w:widowControl/>
        <w:adjustRightInd w:val="0"/>
        <w:snapToGrid w:val="0"/>
        <w:spacing w:line="360" w:lineRule="auto"/>
        <w:ind w:firstLine="480" w:firstLineChars="200"/>
        <w:rPr>
          <w:kern w:val="0"/>
          <w:sz w:val="24"/>
        </w:rPr>
      </w:pPr>
      <w:r>
        <w:rPr>
          <w:kern w:val="0"/>
          <w:sz w:val="24"/>
        </w:rPr>
        <w:t>混合型</w:t>
      </w:r>
      <w:r>
        <w:rPr>
          <w:rFonts w:hint="eastAsia"/>
          <w:kern w:val="0"/>
          <w:sz w:val="24"/>
        </w:rPr>
        <w:t>证券投资</w:t>
      </w:r>
      <w:r>
        <w:rPr>
          <w:kern w:val="0"/>
          <w:sz w:val="24"/>
        </w:rPr>
        <w:t>基金</w:t>
      </w:r>
      <w:r>
        <w:rPr>
          <w:rFonts w:hint="eastAsia"/>
          <w:bCs/>
          <w:sz w:val="24"/>
        </w:rPr>
        <w:t>、QDII基金</w:t>
      </w:r>
    </w:p>
    <w:p>
      <w:pPr>
        <w:adjustRightInd w:val="0"/>
        <w:snapToGrid w:val="0"/>
        <w:spacing w:line="360" w:lineRule="auto"/>
        <w:ind w:firstLine="482" w:firstLineChars="200"/>
        <w:outlineLvl w:val="1"/>
        <w:rPr>
          <w:b/>
          <w:sz w:val="24"/>
          <w:szCs w:val="24"/>
        </w:rPr>
      </w:pPr>
      <w:r>
        <w:rPr>
          <w:b/>
          <w:sz w:val="24"/>
          <w:szCs w:val="24"/>
        </w:rPr>
        <w:t>（三）基金运作方式</w:t>
      </w:r>
    </w:p>
    <w:p>
      <w:pPr>
        <w:adjustRightInd w:val="0"/>
        <w:snapToGrid w:val="0"/>
        <w:spacing w:line="360" w:lineRule="auto"/>
        <w:ind w:firstLine="480" w:firstLineChars="200"/>
        <w:rPr>
          <w:sz w:val="24"/>
        </w:rPr>
      </w:pPr>
      <w:r>
        <w:rPr>
          <w:sz w:val="24"/>
        </w:rPr>
        <w:t>契约型开放式</w:t>
      </w:r>
    </w:p>
    <w:p>
      <w:pPr>
        <w:adjustRightInd w:val="0"/>
        <w:snapToGrid w:val="0"/>
        <w:spacing w:line="360" w:lineRule="auto"/>
        <w:ind w:firstLine="482" w:firstLineChars="200"/>
        <w:outlineLvl w:val="1"/>
        <w:rPr>
          <w:b/>
          <w:sz w:val="24"/>
          <w:szCs w:val="24"/>
        </w:rPr>
      </w:pPr>
      <w:bookmarkStart w:id="27" w:name="_Hlk49341725"/>
      <w:r>
        <w:rPr>
          <w:b/>
          <w:sz w:val="24"/>
          <w:szCs w:val="24"/>
        </w:rPr>
        <w:t>（四）基金存续期限</w:t>
      </w:r>
    </w:p>
    <w:p>
      <w:pPr>
        <w:adjustRightInd w:val="0"/>
        <w:snapToGrid w:val="0"/>
        <w:spacing w:line="360" w:lineRule="auto"/>
        <w:ind w:firstLine="480" w:firstLineChars="200"/>
        <w:rPr>
          <w:sz w:val="24"/>
        </w:rPr>
      </w:pPr>
      <w:r>
        <w:rPr>
          <w:sz w:val="24"/>
        </w:rPr>
        <w:t>不定期</w:t>
      </w:r>
    </w:p>
    <w:p>
      <w:pPr>
        <w:adjustRightInd w:val="0"/>
        <w:snapToGrid w:val="0"/>
        <w:spacing w:line="360" w:lineRule="auto"/>
        <w:ind w:firstLine="482" w:firstLineChars="200"/>
        <w:outlineLvl w:val="1"/>
        <w:rPr>
          <w:b/>
          <w:bCs/>
          <w:sz w:val="24"/>
        </w:rPr>
      </w:pPr>
      <w:r>
        <w:rPr>
          <w:rFonts w:hint="eastAsia"/>
          <w:b/>
          <w:bCs/>
          <w:sz w:val="24"/>
        </w:rPr>
        <w:t>（五）基金份额类别</w:t>
      </w:r>
    </w:p>
    <w:p>
      <w:pPr>
        <w:adjustRightInd w:val="0"/>
        <w:snapToGrid w:val="0"/>
        <w:spacing w:line="360" w:lineRule="auto"/>
        <w:ind w:firstLine="480" w:firstLineChars="200"/>
        <w:rPr>
          <w:sz w:val="24"/>
        </w:rPr>
      </w:pPr>
      <w:r>
        <w:rPr>
          <w:rFonts w:hint="eastAsia"/>
          <w:sz w:val="24"/>
        </w:rPr>
        <w:t>本基金根据认购/申购费用、销售服务费收取方式的不同，将基金份额分为不同的类别。在投资人认购/申购时收取认购/申购费用、不从本类别基金资产中计提销售服务费的，称为A类基金份额（其中，对于投资人通过直销机构认购/申购的A类基金份额，不收取认购/申购费用）；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后计提的销售服务费将在投资人赎回相应基金份额或基金合同终止时随赎回款或清算款一并返还给投资人）。</w:t>
      </w:r>
    </w:p>
    <w:p>
      <w:pPr>
        <w:adjustRightInd w:val="0"/>
        <w:snapToGrid w:val="0"/>
        <w:spacing w:line="360" w:lineRule="auto"/>
        <w:ind w:firstLine="480" w:firstLineChars="200"/>
        <w:rPr>
          <w:sz w:val="24"/>
        </w:rPr>
      </w:pPr>
      <w:r>
        <w:rPr>
          <w:rFonts w:hint="eastAsia"/>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sz w:val="24"/>
        </w:rPr>
      </w:pPr>
      <w:r>
        <w:rPr>
          <w:rFonts w:hint="eastAsia"/>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pPr>
        <w:adjustRightInd w:val="0"/>
        <w:snapToGrid w:val="0"/>
        <w:spacing w:line="360" w:lineRule="auto"/>
        <w:ind w:firstLine="482" w:firstLineChars="200"/>
        <w:outlineLvl w:val="1"/>
        <w:rPr>
          <w:b/>
          <w:sz w:val="24"/>
          <w:szCs w:val="24"/>
        </w:rPr>
      </w:pPr>
      <w:r>
        <w:rPr>
          <w:b/>
          <w:sz w:val="24"/>
          <w:szCs w:val="24"/>
        </w:rPr>
        <w:t>（</w:t>
      </w:r>
      <w:r>
        <w:rPr>
          <w:rFonts w:hint="eastAsia"/>
          <w:b/>
          <w:sz w:val="24"/>
          <w:szCs w:val="24"/>
        </w:rPr>
        <w:t>六</w:t>
      </w:r>
      <w:r>
        <w:rPr>
          <w:b/>
          <w:sz w:val="24"/>
          <w:szCs w:val="24"/>
        </w:rPr>
        <w:t>）基金份额的认购</w:t>
      </w:r>
    </w:p>
    <w:p>
      <w:pPr>
        <w:adjustRightInd w:val="0"/>
        <w:snapToGrid w:val="0"/>
        <w:spacing w:line="360" w:lineRule="auto"/>
        <w:ind w:firstLine="480" w:firstLineChars="200"/>
        <w:rPr>
          <w:sz w:val="24"/>
        </w:rPr>
      </w:pPr>
      <w:r>
        <w:rPr>
          <w:sz w:val="24"/>
        </w:rPr>
        <w:t>基金募集期内，基金份额通过各销售机构向投资人公开发售。募集期间个人投资者可以通过</w:t>
      </w:r>
      <w:r>
        <w:rPr>
          <w:rFonts w:hint="eastAsia"/>
          <w:sz w:val="24"/>
        </w:rPr>
        <w:t>基金管理人</w:t>
      </w:r>
      <w:r>
        <w:rPr>
          <w:sz w:val="24"/>
        </w:rPr>
        <w:t>网上直销交易平台办理开户和本基金的认购业务。具体请见</w:t>
      </w:r>
      <w:r>
        <w:rPr>
          <w:bCs/>
          <w:sz w:val="24"/>
        </w:rPr>
        <w:t>基金份额发售公告以及基金管理人</w:t>
      </w:r>
      <w:r>
        <w:rPr>
          <w:rFonts w:hint="eastAsia"/>
          <w:bCs/>
          <w:sz w:val="24"/>
        </w:rPr>
        <w:t>网站。</w:t>
      </w:r>
      <w:r>
        <w:rPr>
          <w:sz w:val="24"/>
        </w:rPr>
        <w:t>除法律法规或中国证监会另有规定外，任何与基金份额发售有关的当事人不得预留和提前发售基金份额。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1、基金份额的发售时间、方式、对象和募集规模上限</w:t>
      </w:r>
    </w:p>
    <w:p>
      <w:pPr>
        <w:adjustRightInd w:val="0"/>
        <w:snapToGrid w:val="0"/>
        <w:spacing w:line="360" w:lineRule="auto"/>
        <w:ind w:left="105" w:leftChars="50" w:firstLine="360" w:firstLineChars="150"/>
        <w:rPr>
          <w:sz w:val="24"/>
        </w:rPr>
      </w:pPr>
      <w:r>
        <w:rPr>
          <w:sz w:val="24"/>
        </w:rPr>
        <w:t>（1）募集期限：自基金份额发售之日起不超过3个月。本基金自</w:t>
      </w:r>
      <w:r>
        <w:rPr>
          <w:rFonts w:hint="eastAsia"/>
          <w:kern w:val="0"/>
          <w:sz w:val="24"/>
          <w:lang w:val="en-US" w:eastAsia="zh-CN"/>
        </w:rPr>
        <w:t>2026年7月27日</w:t>
      </w:r>
      <w:r>
        <w:rPr>
          <w:rFonts w:hint="eastAsia"/>
          <w:kern w:val="0"/>
          <w:sz w:val="24"/>
        </w:rPr>
        <w:t>起至</w:t>
      </w:r>
      <w:r>
        <w:rPr>
          <w:rFonts w:hint="eastAsia"/>
          <w:kern w:val="0"/>
          <w:sz w:val="24"/>
          <w:lang w:val="en-US" w:eastAsia="zh-CN"/>
        </w:rPr>
        <w:t>2026年8月14日</w:t>
      </w:r>
      <w:r>
        <w:rPr>
          <w:sz w:val="24"/>
        </w:rPr>
        <w:t>止通过销售机构公开发售（详见基金份额发售公告及</w:t>
      </w:r>
      <w:r>
        <w:rPr>
          <w:rFonts w:hint="eastAsia"/>
          <w:sz w:val="24"/>
        </w:rPr>
        <w:t>销售</w:t>
      </w:r>
      <w:r>
        <w:rPr>
          <w:sz w:val="24"/>
        </w:rPr>
        <w:t>机构相关公告）。</w:t>
      </w:r>
      <w:r>
        <w:rPr>
          <w:rFonts w:hint="eastAsia"/>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pPr>
        <w:adjustRightInd w:val="0"/>
        <w:snapToGrid w:val="0"/>
        <w:spacing w:line="360" w:lineRule="auto"/>
        <w:ind w:firstLine="480" w:firstLineChars="200"/>
      </w:pPr>
      <w:r>
        <w:rPr>
          <w:sz w:val="24"/>
        </w:rPr>
        <w:t>（2）销售渠道：</w:t>
      </w:r>
      <w:r>
        <w:rPr>
          <w:rFonts w:hint="eastAsia"/>
          <w:sz w:val="24"/>
        </w:rPr>
        <w:t>销售机构</w:t>
      </w:r>
      <w:r>
        <w:rPr>
          <w:sz w:val="24"/>
        </w:rPr>
        <w:t>具体名单见基金份额发售公告</w:t>
      </w:r>
      <w:r>
        <w:rPr>
          <w:rFonts w:hint="eastAsia"/>
          <w:sz w:val="24"/>
        </w:rPr>
        <w:t>以及基金管理人网站</w:t>
      </w:r>
      <w:r>
        <w:t>。</w:t>
      </w:r>
    </w:p>
    <w:p>
      <w:pPr>
        <w:adjustRightInd w:val="0"/>
        <w:snapToGrid w:val="0"/>
        <w:spacing w:line="360" w:lineRule="auto"/>
        <w:ind w:firstLine="480" w:firstLineChars="200"/>
        <w:rPr>
          <w:sz w:val="24"/>
        </w:rPr>
      </w:pPr>
      <w:r>
        <w:rPr>
          <w:sz w:val="24"/>
        </w:rPr>
        <w:t>（3）销售对象：</w:t>
      </w: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sz w:val="24"/>
        </w:rPr>
        <w:t>。</w:t>
      </w:r>
    </w:p>
    <w:p>
      <w:pPr>
        <w:adjustRightInd w:val="0"/>
        <w:snapToGrid w:val="0"/>
        <w:spacing w:line="360" w:lineRule="auto"/>
        <w:ind w:firstLine="480" w:firstLineChars="200"/>
        <w:rPr>
          <w:sz w:val="24"/>
        </w:rPr>
      </w:pPr>
      <w:r>
        <w:rPr>
          <w:rFonts w:hint="eastAsia"/>
          <w:sz w:val="24"/>
        </w:rPr>
        <w:t>（4）募集规模上限：本基金可根据中国证监会、外管局批准的境外投资额度（外汇额度需折算为人民币）或本基金的实际情况设定基金募集规模上限，对基金发售规模进行限制。具体规模限制在招募说明书、基金份额发售公告等公告中规定。基金合同生效后，基金的资产规模不受上述限制，但基金管理人有权根据基金的外汇额度或本基金的实际情况控制基金申购规模并暂停基金的申购。</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2、基金份额的认购和持有限制</w:t>
      </w:r>
    </w:p>
    <w:p>
      <w:pPr>
        <w:adjustRightInd w:val="0"/>
        <w:snapToGrid w:val="0"/>
        <w:spacing w:line="360" w:lineRule="auto"/>
        <w:ind w:firstLine="480" w:firstLineChars="200"/>
        <w:rPr>
          <w:sz w:val="24"/>
        </w:rPr>
      </w:pPr>
      <w:r>
        <w:rPr>
          <w:sz w:val="24"/>
        </w:rPr>
        <w:t>（1）基金份额的认购采用金额认购方式。</w:t>
      </w:r>
    </w:p>
    <w:p>
      <w:pPr>
        <w:adjustRightInd w:val="0"/>
        <w:snapToGrid w:val="0"/>
        <w:spacing w:line="360" w:lineRule="auto"/>
        <w:ind w:firstLine="480" w:firstLineChars="200"/>
        <w:rPr>
          <w:sz w:val="24"/>
        </w:rPr>
      </w:pPr>
      <w:r>
        <w:rPr>
          <w:sz w:val="24"/>
        </w:rPr>
        <w:t>（2）投资人认购基金份额采用全额缴款的认购方式。投资人认购</w:t>
      </w:r>
      <w:r>
        <w:rPr>
          <w:rFonts w:hint="eastAsia"/>
          <w:sz w:val="24"/>
        </w:rPr>
        <w:t>时</w:t>
      </w:r>
      <w:r>
        <w:rPr>
          <w:sz w:val="24"/>
        </w:rPr>
        <w:t>，需按销售机构规定的方式备足认购的金额。</w:t>
      </w:r>
    </w:p>
    <w:p>
      <w:pPr>
        <w:adjustRightInd w:val="0"/>
        <w:snapToGrid w:val="0"/>
        <w:spacing w:line="360" w:lineRule="auto"/>
        <w:ind w:firstLine="480" w:firstLineChars="200"/>
        <w:rPr>
          <w:sz w:val="24"/>
        </w:rPr>
      </w:pPr>
      <w:r>
        <w:rPr>
          <w:sz w:val="24"/>
        </w:rPr>
        <w:t>（3）投资人在募集期内可以多次认购基金份额，认购</w:t>
      </w:r>
      <w:r>
        <w:rPr>
          <w:rFonts w:hint="eastAsia"/>
          <w:sz w:val="24"/>
        </w:rPr>
        <w:t>申请</w:t>
      </w:r>
      <w:r>
        <w:rPr>
          <w:sz w:val="24"/>
        </w:rPr>
        <w:t>一经登记机构受理不得撤销。</w:t>
      </w:r>
    </w:p>
    <w:p>
      <w:pPr>
        <w:adjustRightInd w:val="0"/>
        <w:snapToGrid w:val="0"/>
        <w:spacing w:line="360" w:lineRule="auto"/>
        <w:ind w:firstLine="480" w:firstLineChars="200"/>
        <w:rPr>
          <w:sz w:val="24"/>
        </w:rPr>
      </w:pPr>
      <w:r>
        <w:rPr>
          <w:sz w:val="24"/>
        </w:rPr>
        <w:t>（4）直销机构接受首次认购申请的最低金额为单笔</w:t>
      </w:r>
      <w:r>
        <w:rPr>
          <w:rFonts w:hint="eastAsia"/>
          <w:sz w:val="24"/>
        </w:rPr>
        <w:t>100万元</w:t>
      </w:r>
      <w:r>
        <w:rPr>
          <w:sz w:val="24"/>
        </w:rPr>
        <w:t>，追加认购的最低金额为单笔</w:t>
      </w:r>
      <w:r>
        <w:rPr>
          <w:rFonts w:hint="eastAsia"/>
          <w:sz w:val="24"/>
        </w:rPr>
        <w:t>10万元</w:t>
      </w:r>
      <w:r>
        <w:rPr>
          <w:sz w:val="24"/>
        </w:rPr>
        <w:t>；已在直销机构有认购或申购过本基金管理人管理的其他基金记录的投资人不受首次认购最低金额的限制。通过</w:t>
      </w:r>
      <w:r>
        <w:rPr>
          <w:rFonts w:hint="eastAsia"/>
          <w:sz w:val="24"/>
        </w:rPr>
        <w:t>基金管理人</w:t>
      </w:r>
      <w:r>
        <w:rPr>
          <w:sz w:val="24"/>
        </w:rPr>
        <w:t>网上直销交易平台办理本基金认购业务的不受直销机构最低认购金额的限制，认购最低金额为单笔1元。本基金直销机构单笔认购最低金额可由基金管理人酌情调整。</w:t>
      </w:r>
      <w:r>
        <w:rPr>
          <w:rFonts w:hint="eastAsia"/>
          <w:sz w:val="24"/>
        </w:rPr>
        <w:t>其他销售</w:t>
      </w:r>
      <w:r>
        <w:rPr>
          <w:sz w:val="24"/>
        </w:rPr>
        <w:t>机构接受认购申请的最低金额为单笔1元，如果</w:t>
      </w:r>
      <w:r>
        <w:rPr>
          <w:rFonts w:hint="eastAsia"/>
          <w:sz w:val="24"/>
        </w:rPr>
        <w:t>销售</w:t>
      </w:r>
      <w:r>
        <w:rPr>
          <w:sz w:val="24"/>
        </w:rPr>
        <w:t>机构业务规则规定的最低单笔认购金额高于1元，以</w:t>
      </w:r>
      <w:r>
        <w:rPr>
          <w:rFonts w:hint="eastAsia"/>
          <w:sz w:val="24"/>
        </w:rPr>
        <w:t>该销售</w:t>
      </w:r>
      <w:r>
        <w:rPr>
          <w:sz w:val="24"/>
        </w:rPr>
        <w:t>机构的规定为准。</w:t>
      </w:r>
    </w:p>
    <w:p>
      <w:pPr>
        <w:adjustRightInd w:val="0"/>
        <w:snapToGrid w:val="0"/>
        <w:spacing w:line="360" w:lineRule="auto"/>
        <w:ind w:firstLine="480" w:firstLineChars="200"/>
        <w:rPr>
          <w:sz w:val="24"/>
        </w:rPr>
      </w:pPr>
      <w:r>
        <w:rPr>
          <w:sz w:val="24"/>
        </w:rPr>
        <w:t>（5）</w:t>
      </w:r>
      <w:r>
        <w:rPr>
          <w:rFonts w:hint="eastAsia"/>
          <w:sz w:val="24"/>
        </w:rPr>
        <w:t>基金管理人可以对募集期间的单个投资人的累计认购金额进行限制，具体限制和处理方法请参看相关公告。</w:t>
      </w:r>
    </w:p>
    <w:p>
      <w:pPr>
        <w:adjustRightInd w:val="0"/>
        <w:snapToGrid w:val="0"/>
        <w:spacing w:line="360" w:lineRule="auto"/>
        <w:ind w:firstLine="480" w:firstLineChars="200"/>
        <w:rPr>
          <w:sz w:val="24"/>
        </w:rPr>
      </w:pPr>
      <w:r>
        <w:rPr>
          <w:rFonts w:hint="eastAsia"/>
          <w:sz w:val="24"/>
        </w:rPr>
        <w:t>（6）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3、基金份额的面值、认购费用、认购价格及认购份额的计算公式</w:t>
      </w:r>
    </w:p>
    <w:p>
      <w:pPr>
        <w:adjustRightInd w:val="0"/>
        <w:snapToGrid w:val="0"/>
        <w:spacing w:line="360" w:lineRule="auto"/>
        <w:ind w:firstLine="480" w:firstLineChars="200"/>
        <w:rPr>
          <w:sz w:val="24"/>
        </w:rPr>
      </w:pPr>
      <w:r>
        <w:rPr>
          <w:sz w:val="24"/>
        </w:rPr>
        <w:t>（1）</w:t>
      </w:r>
      <w:r>
        <w:rPr>
          <w:rFonts w:hint="eastAsia"/>
          <w:sz w:val="24"/>
        </w:rPr>
        <w:t>面值、</w:t>
      </w:r>
      <w:r>
        <w:rPr>
          <w:sz w:val="24"/>
        </w:rPr>
        <w:t>认购价格：本基金</w:t>
      </w:r>
      <w:r>
        <w:rPr>
          <w:rFonts w:hint="eastAsia"/>
          <w:sz w:val="24"/>
        </w:rPr>
        <w:t>基金</w:t>
      </w:r>
      <w:r>
        <w:rPr>
          <w:sz w:val="24"/>
        </w:rPr>
        <w:t>份额的</w:t>
      </w:r>
      <w:r>
        <w:rPr>
          <w:rFonts w:hint="eastAsia"/>
          <w:sz w:val="24"/>
        </w:rPr>
        <w:t>初始面值、</w:t>
      </w:r>
      <w:r>
        <w:rPr>
          <w:sz w:val="24"/>
        </w:rPr>
        <w:t>认购价格为1.00元/份。</w:t>
      </w:r>
    </w:p>
    <w:p>
      <w:pPr>
        <w:adjustRightInd w:val="0"/>
        <w:snapToGrid w:val="0"/>
        <w:spacing w:line="360" w:lineRule="auto"/>
        <w:ind w:firstLine="480" w:firstLineChars="200"/>
        <w:rPr>
          <w:sz w:val="24"/>
        </w:rPr>
      </w:pPr>
      <w:r>
        <w:rPr>
          <w:sz w:val="24"/>
        </w:rPr>
        <w:t>（2）认购费率</w:t>
      </w:r>
    </w:p>
    <w:p>
      <w:pPr>
        <w:adjustRightInd w:val="0"/>
        <w:snapToGrid w:val="0"/>
        <w:spacing w:line="360" w:lineRule="auto"/>
        <w:ind w:firstLine="480" w:firstLineChars="200"/>
        <w:rPr>
          <w:sz w:val="24"/>
        </w:rPr>
      </w:pPr>
      <w:r>
        <w:rPr>
          <w:rFonts w:hint="eastAsia"/>
          <w:sz w:val="24"/>
        </w:rPr>
        <w:t>本基金基金份额分为A类基金份额和C类基金份额。基金投资者认购A类基金份额在认购时支付认购费用（其中，通过直销机构认购时不支付认购费用），基金投资者认购C类基金份额不支付认购费用。</w:t>
      </w:r>
    </w:p>
    <w:p>
      <w:pPr>
        <w:adjustRightInd w:val="0"/>
        <w:snapToGrid w:val="0"/>
        <w:spacing w:line="360" w:lineRule="auto"/>
        <w:ind w:firstLine="480" w:firstLineChars="200"/>
        <w:rPr>
          <w:sz w:val="24"/>
        </w:rPr>
      </w:pPr>
      <w:r>
        <w:rPr>
          <w:rFonts w:hint="eastAsia"/>
          <w:sz w:val="24"/>
        </w:rPr>
        <w:t>通过直销机构认购本基金A类基金份额不收取认购费；通过其他销售机构认购本</w:t>
      </w:r>
      <w:r>
        <w:rPr>
          <w:sz w:val="24"/>
        </w:rPr>
        <w:t>基金</w:t>
      </w:r>
      <w:r>
        <w:rPr>
          <w:rFonts w:hint="eastAsia"/>
          <w:color w:val="000000"/>
          <w:kern w:val="0"/>
          <w:sz w:val="24"/>
        </w:rPr>
        <w:t>A类基金份额的，</w:t>
      </w:r>
      <w:r>
        <w:rPr>
          <w:sz w:val="24"/>
        </w:rPr>
        <w:t>认购费用</w:t>
      </w:r>
      <w:r>
        <w:rPr>
          <w:rFonts w:hint="eastAsia"/>
          <w:sz w:val="24"/>
        </w:rPr>
        <w:t>由认购</w:t>
      </w:r>
      <w:r>
        <w:rPr>
          <w:rFonts w:hint="eastAsia"/>
          <w:color w:val="000000"/>
          <w:kern w:val="0"/>
          <w:sz w:val="24"/>
        </w:rPr>
        <w:t>A类</w:t>
      </w:r>
      <w:r>
        <w:rPr>
          <w:rFonts w:hint="eastAsia"/>
          <w:sz w:val="24"/>
        </w:rPr>
        <w:t>基金份额的投资人承担，募集期内投资人可以多次认购本基金，认购费用按A类基金份额的每笔认购申请单独计算。</w:t>
      </w:r>
      <w:r>
        <w:rPr>
          <w:sz w:val="24"/>
        </w:rPr>
        <w:t>认购费用不列入基金财产，主要用于基金的市场推广、销售等募集期间发生的各项费用</w:t>
      </w:r>
      <w:r>
        <w:rPr>
          <w:rFonts w:hint="eastAsia"/>
          <w:sz w:val="24"/>
        </w:rPr>
        <w:t>。</w:t>
      </w:r>
    </w:p>
    <w:p>
      <w:pPr>
        <w:widowControl/>
        <w:adjustRightInd w:val="0"/>
        <w:snapToGrid w:val="0"/>
        <w:spacing w:line="360" w:lineRule="auto"/>
        <w:ind w:firstLine="480" w:firstLineChars="200"/>
        <w:rPr>
          <w:kern w:val="0"/>
          <w:sz w:val="24"/>
        </w:rPr>
      </w:pPr>
      <w:r>
        <w:rPr>
          <w:rFonts w:hint="eastAsia"/>
          <w:kern w:val="0"/>
          <w:sz w:val="24"/>
        </w:rPr>
        <w:t>通过其他销售机构认购</w:t>
      </w:r>
      <w:r>
        <w:rPr>
          <w:kern w:val="0"/>
          <w:sz w:val="24"/>
        </w:rPr>
        <w:t>本基金</w:t>
      </w:r>
      <w:r>
        <w:rPr>
          <w:rFonts w:hint="eastAsia"/>
          <w:kern w:val="0"/>
          <w:sz w:val="24"/>
        </w:rPr>
        <w:t>A类基金份额的</w:t>
      </w:r>
      <w:r>
        <w:rPr>
          <w:kern w:val="0"/>
          <w:sz w:val="24"/>
        </w:rPr>
        <w:t>认购费率如下表：</w:t>
      </w:r>
    </w:p>
    <w:p>
      <w:pPr>
        <w:widowControl/>
        <w:adjustRightInd w:val="0"/>
        <w:snapToGrid w:val="0"/>
        <w:spacing w:line="360" w:lineRule="auto"/>
        <w:ind w:firstLine="480" w:firstLineChars="200"/>
        <w:rPr>
          <w:kern w:val="0"/>
          <w:sz w:val="24"/>
        </w:rPr>
      </w:pPr>
    </w:p>
    <w:tbl>
      <w:tblPr>
        <w:tblStyle w:val="28"/>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pPr>
              <w:adjustRightInd w:val="0"/>
              <w:snapToGrid w:val="0"/>
              <w:jc w:val="center"/>
              <w:rPr>
                <w:b/>
                <w:sz w:val="24"/>
              </w:rPr>
            </w:pPr>
            <w:r>
              <w:rPr>
                <w:b/>
                <w:sz w:val="24"/>
              </w:rPr>
              <w:t>认购金额（含认购费）</w:t>
            </w:r>
          </w:p>
        </w:tc>
        <w:tc>
          <w:tcPr>
            <w:tcW w:w="3598" w:type="dxa"/>
            <w:shd w:val="clear" w:color="auto" w:fill="FFFFFF"/>
            <w:vAlign w:val="center"/>
          </w:tcPr>
          <w:p>
            <w:pPr>
              <w:adjustRightInd w:val="0"/>
              <w:snapToGrid w:val="0"/>
              <w:jc w:val="center"/>
              <w:rPr>
                <w:b/>
                <w:sz w:val="24"/>
              </w:rPr>
            </w:pPr>
            <w:r>
              <w:rPr>
                <w:rFonts w:hint="eastAsia"/>
                <w:b/>
                <w:color w:val="000000"/>
                <w:kern w:val="0"/>
                <w:sz w:val="24"/>
              </w:rPr>
              <w:t>A类基金份额</w:t>
            </w:r>
            <w:r>
              <w:rPr>
                <w:b/>
                <w:sz w:val="24"/>
              </w:rPr>
              <w:t>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rFonts w:hint="eastAsia"/>
                <w:sz w:val="24"/>
              </w:rPr>
              <w:t>5</w:t>
            </w:r>
            <w:r>
              <w:rPr>
                <w:sz w:val="24"/>
              </w:rPr>
              <w:t>00万元以下</w:t>
            </w:r>
          </w:p>
        </w:tc>
        <w:tc>
          <w:tcPr>
            <w:tcW w:w="3598" w:type="dxa"/>
          </w:tcPr>
          <w:p>
            <w:pPr>
              <w:adjustRightInd w:val="0"/>
              <w:snapToGrid w:val="0"/>
              <w:jc w:val="center"/>
              <w:rPr>
                <w:sz w:val="24"/>
              </w:rPr>
            </w:pPr>
            <w:r>
              <w:rPr>
                <w:rFonts w:hint="eastAsia"/>
                <w:sz w:val="24"/>
              </w:rPr>
              <w:t>0.8</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31" w:hRule="atLeast"/>
          <w:jc w:val="center"/>
        </w:trPr>
        <w:tc>
          <w:tcPr>
            <w:tcW w:w="3528" w:type="dxa"/>
          </w:tcPr>
          <w:p>
            <w:pPr>
              <w:adjustRightInd w:val="0"/>
              <w:snapToGrid w:val="0"/>
              <w:rPr>
                <w:sz w:val="24"/>
              </w:rPr>
            </w:pPr>
            <w:r>
              <w:rPr>
                <w:sz w:val="24"/>
              </w:rPr>
              <w:t>500万元以上（含500万元）</w:t>
            </w:r>
          </w:p>
        </w:tc>
        <w:tc>
          <w:tcPr>
            <w:tcW w:w="3598" w:type="dxa"/>
          </w:tcPr>
          <w:p>
            <w:pPr>
              <w:adjustRightInd w:val="0"/>
              <w:snapToGrid w:val="0"/>
              <w:jc w:val="center"/>
              <w:rPr>
                <w:sz w:val="24"/>
              </w:rPr>
            </w:pPr>
            <w:r>
              <w:rPr>
                <w:sz w:val="24"/>
              </w:rPr>
              <w:t>每笔交易1000元</w:t>
            </w:r>
          </w:p>
        </w:tc>
      </w:tr>
    </w:tbl>
    <w:p>
      <w:pPr>
        <w:adjustRightInd w:val="0"/>
        <w:snapToGrid w:val="0"/>
        <w:spacing w:line="360" w:lineRule="auto"/>
        <w:ind w:firstLine="480" w:firstLineChars="200"/>
        <w:rPr>
          <w:sz w:val="24"/>
        </w:rPr>
      </w:pPr>
      <w:r>
        <w:rPr>
          <w:sz w:val="24"/>
        </w:rPr>
        <w:t>（3）认购份额的计算</w:t>
      </w:r>
    </w:p>
    <w:p>
      <w:pPr>
        <w:adjustRightInd w:val="0"/>
        <w:snapToGrid w:val="0"/>
        <w:spacing w:line="360" w:lineRule="auto"/>
        <w:ind w:firstLine="480" w:firstLineChars="200"/>
        <w:rPr>
          <w:sz w:val="24"/>
        </w:rPr>
      </w:pPr>
      <w:r>
        <w:rPr>
          <w:rFonts w:hint="eastAsia"/>
          <w:sz w:val="24"/>
        </w:rPr>
        <w:t>基金认购采用</w:t>
      </w:r>
      <w:r>
        <w:rPr>
          <w:sz w:val="24"/>
        </w:rPr>
        <w:t>金额</w:t>
      </w:r>
      <w:r>
        <w:rPr>
          <w:rFonts w:hint="eastAsia"/>
          <w:sz w:val="24"/>
        </w:rPr>
        <w:t>认购的方式。</w:t>
      </w:r>
    </w:p>
    <w:p>
      <w:pPr>
        <w:adjustRightInd w:val="0"/>
        <w:snapToGrid w:val="0"/>
        <w:spacing w:line="360" w:lineRule="auto"/>
        <w:ind w:firstLine="480" w:firstLineChars="200"/>
        <w:rPr>
          <w:sz w:val="24"/>
        </w:rPr>
      </w:pPr>
      <w:r>
        <w:rPr>
          <w:rFonts w:hint="eastAsia"/>
          <w:sz w:val="24"/>
        </w:rPr>
        <w:t>1）A类基金份额的认购</w:t>
      </w:r>
    </w:p>
    <w:p>
      <w:pPr>
        <w:adjustRightInd w:val="0"/>
        <w:snapToGrid w:val="0"/>
        <w:spacing w:line="360" w:lineRule="auto"/>
        <w:ind w:firstLine="480" w:firstLineChars="200"/>
        <w:rPr>
          <w:sz w:val="24"/>
        </w:rPr>
      </w:pPr>
      <w:r>
        <w:rPr>
          <w:rFonts w:hint="eastAsia"/>
          <w:sz w:val="24"/>
        </w:rPr>
        <w:t>基金的认购</w:t>
      </w:r>
      <w:r>
        <w:rPr>
          <w:sz w:val="24"/>
        </w:rPr>
        <w:t>金额</w:t>
      </w:r>
      <w:r>
        <w:rPr>
          <w:rFonts w:hint="eastAsia"/>
          <w:sz w:val="24"/>
        </w:rPr>
        <w:t>包括认购费用和净认购金额。计算公式为：</w:t>
      </w:r>
    </w:p>
    <w:p>
      <w:pPr>
        <w:adjustRightInd w:val="0"/>
        <w:snapToGrid w:val="0"/>
        <w:spacing w:line="360" w:lineRule="auto"/>
        <w:ind w:firstLine="480" w:firstLineChars="200"/>
        <w:rPr>
          <w:sz w:val="24"/>
        </w:rPr>
      </w:pPr>
      <w:r>
        <w:rPr>
          <w:sz w:val="24"/>
        </w:rPr>
        <w:t>认购总金额=申请总金额</w:t>
      </w:r>
    </w:p>
    <w:p>
      <w:pPr>
        <w:adjustRightInd w:val="0"/>
        <w:snapToGrid w:val="0"/>
        <w:spacing w:line="360" w:lineRule="auto"/>
        <w:ind w:firstLine="480" w:firstLineChars="200"/>
        <w:rPr>
          <w:sz w:val="24"/>
        </w:rPr>
      </w:pPr>
      <w:r>
        <w:rPr>
          <w:sz w:val="24"/>
        </w:rPr>
        <w:t>净认购金额=认购总金额/（1+认购费率）</w:t>
      </w:r>
    </w:p>
    <w:p>
      <w:pPr>
        <w:adjustRightInd w:val="0"/>
        <w:snapToGrid w:val="0"/>
        <w:spacing w:line="360" w:lineRule="auto"/>
        <w:ind w:firstLine="480" w:firstLineChars="200"/>
        <w:rPr>
          <w:sz w:val="24"/>
        </w:rPr>
      </w:pPr>
      <w:r>
        <w:rPr>
          <w:sz w:val="24"/>
        </w:rPr>
        <w:t>（注：</w:t>
      </w:r>
      <w:r>
        <w:rPr>
          <w:rFonts w:hint="eastAsia" w:ascii="宋体" w:hAnsi="宋体" w:cs="宋体"/>
          <w:sz w:val="24"/>
        </w:rPr>
        <w:t>①</w:t>
      </w:r>
      <w:r>
        <w:rPr>
          <w:sz w:val="24"/>
        </w:rPr>
        <w:t>对于适用固定金额认购费用的认购，净认购金额＝认购总金额－固定认购费用金额</w:t>
      </w:r>
      <w:r>
        <w:rPr>
          <w:rFonts w:hint="eastAsia"/>
          <w:sz w:val="24"/>
        </w:rPr>
        <w:t>；</w:t>
      </w:r>
      <w:r>
        <w:rPr>
          <w:rFonts w:hint="eastAsia" w:ascii="宋体" w:hAnsi="宋体" w:cs="宋体"/>
          <w:sz w:val="24"/>
        </w:rPr>
        <w:t>②</w:t>
      </w:r>
      <w:r>
        <w:rPr>
          <w:rFonts w:hint="eastAsia"/>
          <w:sz w:val="24"/>
        </w:rPr>
        <w:t>对于通过直销机构认购A类基金份额的，认购费率均为0</w:t>
      </w:r>
      <w:r>
        <w:rPr>
          <w:sz w:val="24"/>
        </w:rPr>
        <w:t>）</w:t>
      </w:r>
    </w:p>
    <w:p>
      <w:pPr>
        <w:adjustRightInd w:val="0"/>
        <w:snapToGrid w:val="0"/>
        <w:spacing w:line="360" w:lineRule="auto"/>
        <w:ind w:firstLine="480" w:firstLineChars="200"/>
        <w:rPr>
          <w:sz w:val="24"/>
        </w:rPr>
      </w:pPr>
      <w:r>
        <w:rPr>
          <w:sz w:val="24"/>
        </w:rPr>
        <w:t>认购费用=认购总金额-净认购金额</w:t>
      </w:r>
    </w:p>
    <w:p>
      <w:pPr>
        <w:adjustRightInd w:val="0"/>
        <w:snapToGrid w:val="0"/>
        <w:spacing w:line="360" w:lineRule="auto"/>
        <w:ind w:firstLine="480" w:firstLineChars="200"/>
        <w:rPr>
          <w:sz w:val="24"/>
        </w:rPr>
      </w:pPr>
      <w:r>
        <w:rPr>
          <w:sz w:val="24"/>
        </w:rPr>
        <w:t>（注：对于适用固定金额认购费用的认购，认购费用＝固定认购费用金额）</w:t>
      </w:r>
    </w:p>
    <w:p>
      <w:pPr>
        <w:adjustRightInd w:val="0"/>
        <w:snapToGrid w:val="0"/>
        <w:spacing w:line="360" w:lineRule="auto"/>
        <w:ind w:firstLine="480" w:firstLineChars="200"/>
        <w:rPr>
          <w:sz w:val="24"/>
        </w:rPr>
      </w:pPr>
      <w:r>
        <w:rPr>
          <w:sz w:val="24"/>
        </w:rPr>
        <w:t>认购份额=净认购金额/基金份额初始面值+认购</w:t>
      </w:r>
      <w:r>
        <w:rPr>
          <w:rFonts w:hint="eastAsia"/>
          <w:sz w:val="24"/>
        </w:rPr>
        <w:t>资金</w:t>
      </w:r>
      <w:r>
        <w:rPr>
          <w:sz w:val="24"/>
        </w:rPr>
        <w:t>利息/基金份额初始面值</w:t>
      </w:r>
    </w:p>
    <w:p>
      <w:pPr>
        <w:adjustRightInd w:val="0"/>
        <w:snapToGrid w:val="0"/>
        <w:spacing w:line="360" w:lineRule="auto"/>
        <w:ind w:firstLine="480" w:firstLineChars="200"/>
        <w:rPr>
          <w:sz w:val="24"/>
        </w:rPr>
      </w:pPr>
      <w:r>
        <w:rPr>
          <w:sz w:val="24"/>
        </w:rPr>
        <w:t>认购份额的计算保留到小数点后2位，小数点2位以后的部分四舍五入，由此误差产生的收益或损失由基金财产承担。</w:t>
      </w:r>
    </w:p>
    <w:p>
      <w:pPr>
        <w:adjustRightInd w:val="0"/>
        <w:snapToGrid w:val="0"/>
        <w:spacing w:line="360" w:lineRule="auto"/>
        <w:ind w:firstLine="480" w:firstLineChars="200"/>
        <w:rPr>
          <w:sz w:val="24"/>
        </w:rPr>
      </w:pPr>
      <w:r>
        <w:rPr>
          <w:rFonts w:hint="eastAsia"/>
          <w:sz w:val="24"/>
        </w:rPr>
        <w:t>例一：某投资者通过直销机构认购本基金A类基金份额100,000.00元，且该认购申请被全额确认，假定该笔认购金额产生的利息为10.00元，认购费率为0，则可认购A类基金份额为：</w:t>
      </w:r>
    </w:p>
    <w:p>
      <w:pPr>
        <w:adjustRightInd w:val="0"/>
        <w:snapToGrid w:val="0"/>
        <w:spacing w:line="360" w:lineRule="auto"/>
        <w:ind w:firstLine="480" w:firstLineChars="200"/>
        <w:rPr>
          <w:sz w:val="24"/>
        </w:rPr>
      </w:pPr>
      <w:r>
        <w:rPr>
          <w:rFonts w:hint="eastAsia"/>
          <w:sz w:val="24"/>
        </w:rPr>
        <w:t>认购总金额=100,000.00元</w:t>
      </w:r>
    </w:p>
    <w:p>
      <w:pPr>
        <w:adjustRightInd w:val="0"/>
        <w:snapToGrid w:val="0"/>
        <w:spacing w:line="360" w:lineRule="auto"/>
        <w:ind w:firstLine="480" w:firstLineChars="200"/>
        <w:rPr>
          <w:sz w:val="24"/>
        </w:rPr>
      </w:pPr>
      <w:r>
        <w:rPr>
          <w:rFonts w:hint="eastAsia"/>
          <w:sz w:val="24"/>
        </w:rPr>
        <w:t>净认购金额＝100,000.00/（1＋0）＝100,000.00元</w:t>
      </w:r>
    </w:p>
    <w:p>
      <w:pPr>
        <w:adjustRightInd w:val="0"/>
        <w:snapToGrid w:val="0"/>
        <w:spacing w:line="360" w:lineRule="auto"/>
        <w:ind w:firstLine="480" w:firstLineChars="200"/>
        <w:rPr>
          <w:sz w:val="24"/>
        </w:rPr>
      </w:pPr>
      <w:r>
        <w:rPr>
          <w:rFonts w:hint="eastAsia"/>
          <w:sz w:val="24"/>
        </w:rPr>
        <w:t>认购费用＝100,000.00-100,000.00=0.00元</w:t>
      </w:r>
    </w:p>
    <w:p>
      <w:pPr>
        <w:adjustRightInd w:val="0"/>
        <w:snapToGrid w:val="0"/>
        <w:spacing w:line="360" w:lineRule="auto"/>
        <w:ind w:firstLine="480" w:firstLineChars="200"/>
        <w:rPr>
          <w:sz w:val="24"/>
        </w:rPr>
      </w:pPr>
      <w:r>
        <w:rPr>
          <w:rFonts w:hint="eastAsia"/>
          <w:sz w:val="24"/>
        </w:rPr>
        <w:t>认购份额＝100,000.00/1.00＋10.00/1.00＝100,010.00份</w:t>
      </w:r>
    </w:p>
    <w:p>
      <w:pPr>
        <w:adjustRightInd w:val="0"/>
        <w:snapToGrid w:val="0"/>
        <w:spacing w:line="360" w:lineRule="auto"/>
        <w:ind w:firstLine="480" w:firstLineChars="200"/>
        <w:rPr>
          <w:sz w:val="24"/>
        </w:rPr>
      </w:pPr>
      <w:r>
        <w:rPr>
          <w:rFonts w:hint="eastAsia"/>
          <w:sz w:val="24"/>
        </w:rPr>
        <w:t>即：若该投资者通过直销机构认购本基金A类基金份额100,000.00元，且该认购申请被全额确认，假定该笔认购金额产生的利息为10.00元，则可得到100,010.00份A类基金份额。</w:t>
      </w:r>
    </w:p>
    <w:p>
      <w:pPr>
        <w:adjustRightInd w:val="0"/>
        <w:snapToGrid w:val="0"/>
        <w:spacing w:line="360" w:lineRule="auto"/>
        <w:ind w:firstLine="480" w:firstLineChars="200"/>
        <w:rPr>
          <w:sz w:val="24"/>
        </w:rPr>
      </w:pPr>
      <w:r>
        <w:rPr>
          <w:sz w:val="24"/>
        </w:rPr>
        <w:t>例</w:t>
      </w:r>
      <w:r>
        <w:rPr>
          <w:rFonts w:hint="eastAsia"/>
          <w:sz w:val="24"/>
        </w:rPr>
        <w:t>二</w:t>
      </w:r>
      <w:r>
        <w:rPr>
          <w:sz w:val="24"/>
        </w:rPr>
        <w:t>：</w:t>
      </w:r>
      <w:r>
        <w:rPr>
          <w:rFonts w:hint="eastAsia"/>
          <w:sz w:val="24"/>
        </w:rPr>
        <w:t>某投资者通过其他销售机构认购本基金</w:t>
      </w:r>
      <w:r>
        <w:rPr>
          <w:rFonts w:hint="eastAsia"/>
          <w:color w:val="000000"/>
          <w:kern w:val="0"/>
          <w:sz w:val="24"/>
        </w:rPr>
        <w:t>A类基金份额</w:t>
      </w:r>
      <w:r>
        <w:rPr>
          <w:rFonts w:hint="eastAsia"/>
          <w:sz w:val="24"/>
        </w:rPr>
        <w:t>100,000</w:t>
      </w:r>
      <w:r>
        <w:rPr>
          <w:rFonts w:hint="eastAsia" w:hAnsi="宋体"/>
          <w:sz w:val="24"/>
          <w:szCs w:val="24"/>
        </w:rPr>
        <w:t>.00</w:t>
      </w:r>
      <w:r>
        <w:rPr>
          <w:rFonts w:hint="eastAsia"/>
          <w:sz w:val="24"/>
        </w:rPr>
        <w:t>元，且该认购申请被全额确认，假定该笔认购金额产生的利息为10.00元，</w:t>
      </w:r>
      <w:r>
        <w:rPr>
          <w:sz w:val="24"/>
        </w:rPr>
        <w:t>认购费率为</w:t>
      </w:r>
      <w:r>
        <w:rPr>
          <w:rFonts w:hint="eastAsia"/>
          <w:sz w:val="24"/>
        </w:rPr>
        <w:t>0.8</w:t>
      </w:r>
      <w:r>
        <w:rPr>
          <w:sz w:val="24"/>
        </w:rPr>
        <w:t>%，则可认购基金份额为：</w:t>
      </w:r>
    </w:p>
    <w:p>
      <w:pPr>
        <w:adjustRightInd w:val="0"/>
        <w:snapToGrid w:val="0"/>
        <w:spacing w:line="360" w:lineRule="auto"/>
        <w:ind w:firstLine="480" w:firstLineChars="200"/>
        <w:rPr>
          <w:sz w:val="24"/>
        </w:rPr>
      </w:pPr>
      <w:r>
        <w:rPr>
          <w:sz w:val="24"/>
        </w:rPr>
        <w:t>认购总金额=100,000</w:t>
      </w:r>
      <w:r>
        <w:rPr>
          <w:rFonts w:hint="eastAsia"/>
          <w:sz w:val="24"/>
        </w:rPr>
        <w:t>.00</w:t>
      </w:r>
      <w:r>
        <w:rPr>
          <w:sz w:val="24"/>
        </w:rPr>
        <w:t>元</w:t>
      </w:r>
    </w:p>
    <w:p>
      <w:pPr>
        <w:adjustRightInd w:val="0"/>
        <w:snapToGrid w:val="0"/>
        <w:spacing w:line="360" w:lineRule="auto"/>
        <w:ind w:firstLine="480" w:firstLineChars="200"/>
        <w:rPr>
          <w:sz w:val="24"/>
        </w:rPr>
      </w:pPr>
      <w:r>
        <w:rPr>
          <w:rFonts w:hint="eastAsia"/>
          <w:sz w:val="24"/>
        </w:rPr>
        <w:t>净</w:t>
      </w:r>
      <w:r>
        <w:rPr>
          <w:sz w:val="24"/>
        </w:rPr>
        <w:t>认购金额＝100,000</w:t>
      </w:r>
      <w:r>
        <w:rPr>
          <w:rFonts w:hint="eastAsia"/>
          <w:sz w:val="24"/>
        </w:rPr>
        <w:t>.00</w:t>
      </w:r>
      <w:r>
        <w:rPr>
          <w:sz w:val="24"/>
        </w:rPr>
        <w:t>/（1＋</w:t>
      </w:r>
      <w:r>
        <w:rPr>
          <w:rFonts w:hint="eastAsia"/>
          <w:sz w:val="24"/>
        </w:rPr>
        <w:t>0.8</w:t>
      </w:r>
      <w:r>
        <w:rPr>
          <w:sz w:val="24"/>
        </w:rPr>
        <w:t>%）＝</w:t>
      </w:r>
      <w:r>
        <w:rPr>
          <w:rFonts w:hint="eastAsia"/>
          <w:sz w:val="24"/>
        </w:rPr>
        <w:t>99,206.35</w:t>
      </w:r>
      <w:r>
        <w:rPr>
          <w:sz w:val="24"/>
        </w:rPr>
        <w:t>元</w:t>
      </w:r>
    </w:p>
    <w:p>
      <w:pPr>
        <w:adjustRightInd w:val="0"/>
        <w:snapToGrid w:val="0"/>
        <w:spacing w:line="360" w:lineRule="auto"/>
        <w:ind w:firstLine="480" w:firstLineChars="200"/>
        <w:rPr>
          <w:sz w:val="24"/>
        </w:rPr>
      </w:pPr>
      <w:r>
        <w:rPr>
          <w:sz w:val="24"/>
        </w:rPr>
        <w:t>认购费用＝100,000</w:t>
      </w:r>
      <w:r>
        <w:rPr>
          <w:rFonts w:hint="eastAsia"/>
          <w:sz w:val="24"/>
        </w:rPr>
        <w:t>.00</w:t>
      </w:r>
      <w:r>
        <w:rPr>
          <w:sz w:val="24"/>
        </w:rPr>
        <w:t>-</w:t>
      </w:r>
      <w:r>
        <w:rPr>
          <w:rFonts w:hint="eastAsia"/>
          <w:sz w:val="24"/>
        </w:rPr>
        <w:t>99,206.35</w:t>
      </w:r>
      <w:r>
        <w:rPr>
          <w:sz w:val="24"/>
        </w:rPr>
        <w:t>＝</w:t>
      </w:r>
      <w:r>
        <w:rPr>
          <w:rFonts w:hint="eastAsia"/>
          <w:sz w:val="24"/>
        </w:rPr>
        <w:t>793.65</w:t>
      </w:r>
      <w:r>
        <w:rPr>
          <w:sz w:val="24"/>
        </w:rPr>
        <w:t>元</w:t>
      </w:r>
    </w:p>
    <w:p>
      <w:pPr>
        <w:adjustRightInd w:val="0"/>
        <w:snapToGrid w:val="0"/>
        <w:spacing w:line="360" w:lineRule="auto"/>
        <w:ind w:firstLine="480" w:firstLineChars="200"/>
        <w:rPr>
          <w:sz w:val="24"/>
        </w:rPr>
      </w:pPr>
      <w:r>
        <w:rPr>
          <w:sz w:val="24"/>
        </w:rPr>
        <w:t>认购份额＝</w:t>
      </w:r>
      <w:r>
        <w:rPr>
          <w:rFonts w:hint="eastAsia"/>
          <w:sz w:val="24"/>
        </w:rPr>
        <w:t>99,206.35</w:t>
      </w:r>
      <w:r>
        <w:rPr>
          <w:sz w:val="24"/>
        </w:rPr>
        <w:t>/1.00＋10.00/1.00＝</w:t>
      </w:r>
      <w:r>
        <w:rPr>
          <w:rFonts w:hint="eastAsia"/>
          <w:sz w:val="24"/>
        </w:rPr>
        <w:t>99,216.35</w:t>
      </w:r>
      <w:r>
        <w:rPr>
          <w:sz w:val="24"/>
        </w:rPr>
        <w:t>份</w:t>
      </w:r>
    </w:p>
    <w:p>
      <w:pPr>
        <w:adjustRightInd w:val="0"/>
        <w:snapToGrid w:val="0"/>
        <w:spacing w:line="360" w:lineRule="auto"/>
        <w:ind w:firstLine="480" w:firstLineChars="200"/>
        <w:rPr>
          <w:sz w:val="24"/>
        </w:rPr>
      </w:pPr>
      <w:r>
        <w:rPr>
          <w:rFonts w:hint="eastAsia"/>
          <w:sz w:val="24"/>
        </w:rPr>
        <w:t>即：若该投资者通过其他销售机构认购本基金</w:t>
      </w:r>
      <w:r>
        <w:rPr>
          <w:rFonts w:hint="eastAsia"/>
          <w:color w:val="000000"/>
          <w:kern w:val="0"/>
          <w:sz w:val="24"/>
        </w:rPr>
        <w:t>A类基金份额</w:t>
      </w:r>
      <w:r>
        <w:rPr>
          <w:rFonts w:hint="eastAsia"/>
          <w:sz w:val="24"/>
        </w:rPr>
        <w:t>100,000</w:t>
      </w:r>
      <w:r>
        <w:rPr>
          <w:rFonts w:hint="eastAsia" w:hAnsi="宋体"/>
          <w:sz w:val="24"/>
          <w:szCs w:val="24"/>
        </w:rPr>
        <w:t>.00</w:t>
      </w:r>
      <w:r>
        <w:rPr>
          <w:rFonts w:hint="eastAsia"/>
          <w:sz w:val="24"/>
        </w:rPr>
        <w:t>元，且该认购申请被全额确认，假定该笔认购金额产生的利息为10.00元，则投资100,000元本金可得到99,216.35份A类基金份额。</w:t>
      </w:r>
    </w:p>
    <w:p>
      <w:pPr>
        <w:adjustRightInd w:val="0"/>
        <w:snapToGrid w:val="0"/>
        <w:spacing w:line="360" w:lineRule="auto"/>
        <w:ind w:firstLine="480" w:firstLineChars="200"/>
        <w:rPr>
          <w:sz w:val="24"/>
        </w:rPr>
      </w:pPr>
      <w:r>
        <w:rPr>
          <w:rFonts w:hint="eastAsia"/>
          <w:sz w:val="24"/>
        </w:rPr>
        <w:t>2） C类基金份额的认购</w:t>
      </w:r>
    </w:p>
    <w:p>
      <w:pPr>
        <w:adjustRightInd w:val="0"/>
        <w:snapToGrid w:val="0"/>
        <w:spacing w:line="360" w:lineRule="auto"/>
        <w:ind w:firstLine="480" w:firstLineChars="200"/>
        <w:rPr>
          <w:sz w:val="24"/>
        </w:rPr>
      </w:pPr>
      <w:r>
        <w:rPr>
          <w:rFonts w:hint="eastAsia"/>
          <w:sz w:val="24"/>
        </w:rPr>
        <w:t>如果投资者选择认购本基金的C类基金份额，则认购份额的计算方式如下：</w:t>
      </w:r>
    </w:p>
    <w:p>
      <w:pPr>
        <w:adjustRightInd w:val="0"/>
        <w:snapToGrid w:val="0"/>
        <w:spacing w:line="360" w:lineRule="auto"/>
        <w:ind w:firstLine="480" w:firstLineChars="200"/>
        <w:rPr>
          <w:sz w:val="24"/>
        </w:rPr>
      </w:pPr>
      <w:r>
        <w:rPr>
          <w:rFonts w:hint="eastAsia"/>
          <w:sz w:val="24"/>
        </w:rPr>
        <w:t>认购总金额 = 申请总金额</w:t>
      </w:r>
    </w:p>
    <w:p>
      <w:pPr>
        <w:adjustRightInd w:val="0"/>
        <w:snapToGrid w:val="0"/>
        <w:spacing w:line="360" w:lineRule="auto"/>
        <w:ind w:firstLine="480" w:firstLineChars="200"/>
        <w:rPr>
          <w:sz w:val="24"/>
        </w:rPr>
      </w:pPr>
      <w:r>
        <w:rPr>
          <w:rFonts w:hint="eastAsia"/>
          <w:sz w:val="24"/>
        </w:rPr>
        <w:t>认购份额 = 认购总金额/基金份额初始面值＋认购利息/基金份额初始面值。</w:t>
      </w:r>
    </w:p>
    <w:p>
      <w:pPr>
        <w:adjustRightInd w:val="0"/>
        <w:snapToGrid w:val="0"/>
        <w:spacing w:line="360" w:lineRule="auto"/>
        <w:ind w:firstLine="480" w:firstLineChars="200"/>
        <w:rPr>
          <w:sz w:val="24"/>
        </w:rPr>
      </w:pPr>
      <w:r>
        <w:rPr>
          <w:rFonts w:hint="eastAsia"/>
          <w:sz w:val="24"/>
        </w:rPr>
        <w:t>认购份额计算结果保留到小数点后2位，小数点2位以后的部分四舍五入，由此误差产生的收益或损失由基金财产承担。</w:t>
      </w:r>
    </w:p>
    <w:p>
      <w:pPr>
        <w:adjustRightInd w:val="0"/>
        <w:snapToGrid w:val="0"/>
        <w:spacing w:line="360" w:lineRule="auto"/>
        <w:ind w:firstLine="480" w:firstLineChars="200"/>
        <w:rPr>
          <w:sz w:val="24"/>
        </w:rPr>
      </w:pPr>
      <w:r>
        <w:rPr>
          <w:rFonts w:hint="eastAsia"/>
          <w:sz w:val="24"/>
        </w:rPr>
        <w:t>例三：某投资者认购本基金C类基金份额100,000</w:t>
      </w:r>
      <w:r>
        <w:rPr>
          <w:rFonts w:hint="eastAsia" w:hAnsi="宋体"/>
          <w:sz w:val="24"/>
          <w:szCs w:val="24"/>
        </w:rPr>
        <w:t>.00</w:t>
      </w:r>
      <w:r>
        <w:rPr>
          <w:rFonts w:hint="eastAsia"/>
          <w:sz w:val="24"/>
        </w:rPr>
        <w:t>元，且该认购申请被全额确认。假定该笔认购金额产生利息50.00元。则认购份额为：</w:t>
      </w:r>
    </w:p>
    <w:p>
      <w:pPr>
        <w:adjustRightInd w:val="0"/>
        <w:snapToGrid w:val="0"/>
        <w:spacing w:line="360" w:lineRule="auto"/>
        <w:ind w:firstLine="480" w:firstLineChars="200"/>
        <w:rPr>
          <w:sz w:val="24"/>
        </w:rPr>
      </w:pPr>
      <w:r>
        <w:rPr>
          <w:rFonts w:hint="eastAsia"/>
          <w:sz w:val="24"/>
        </w:rPr>
        <w:t>认购总金额=100,000.00元</w:t>
      </w:r>
    </w:p>
    <w:p>
      <w:pPr>
        <w:adjustRightInd w:val="0"/>
        <w:snapToGrid w:val="0"/>
        <w:spacing w:line="360" w:lineRule="auto"/>
        <w:ind w:firstLine="480" w:firstLineChars="200"/>
        <w:rPr>
          <w:sz w:val="24"/>
        </w:rPr>
      </w:pPr>
      <w:r>
        <w:rPr>
          <w:rFonts w:hint="eastAsia"/>
          <w:sz w:val="24"/>
        </w:rPr>
        <w:t>认购份额＝100,000.00/1.00＋50.00/1.00＝100,050.00份</w:t>
      </w:r>
    </w:p>
    <w:p>
      <w:pPr>
        <w:adjustRightInd w:val="0"/>
        <w:snapToGrid w:val="0"/>
        <w:spacing w:line="360" w:lineRule="auto"/>
        <w:ind w:firstLine="480" w:firstLineChars="200"/>
        <w:rPr>
          <w:sz w:val="24"/>
        </w:rPr>
      </w:pPr>
      <w:r>
        <w:rPr>
          <w:rFonts w:hint="eastAsia"/>
          <w:sz w:val="24"/>
        </w:rPr>
        <w:t>即：若该投资者认购本基金C类基金份额100,000</w:t>
      </w:r>
      <w:r>
        <w:rPr>
          <w:rFonts w:hint="eastAsia" w:hAnsi="宋体"/>
          <w:sz w:val="24"/>
          <w:szCs w:val="24"/>
        </w:rPr>
        <w:t>.00</w:t>
      </w:r>
      <w:r>
        <w:rPr>
          <w:rFonts w:hint="eastAsia"/>
          <w:sz w:val="24"/>
        </w:rPr>
        <w:t>元，且该认购申请被全额确认。假定该笔认购金额产生利息50.00元，可得到100,050.00份C类基金份额。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4、认购的程序</w:t>
      </w:r>
    </w:p>
    <w:p>
      <w:pPr>
        <w:adjustRightInd w:val="0"/>
        <w:snapToGrid w:val="0"/>
        <w:spacing w:line="360" w:lineRule="auto"/>
        <w:ind w:firstLine="480" w:firstLineChars="200"/>
        <w:rPr>
          <w:sz w:val="24"/>
        </w:rPr>
      </w:pPr>
      <w:r>
        <w:rPr>
          <w:sz w:val="24"/>
        </w:rPr>
        <w:t>（1）申请方式：书面申请或基金管理人公告的其他方式。</w:t>
      </w:r>
    </w:p>
    <w:p>
      <w:pPr>
        <w:adjustRightInd w:val="0"/>
        <w:snapToGrid w:val="0"/>
        <w:spacing w:line="360" w:lineRule="auto"/>
        <w:ind w:firstLine="480" w:firstLineChars="200"/>
        <w:rPr>
          <w:sz w:val="24"/>
        </w:rPr>
      </w:pPr>
      <w:r>
        <w:rPr>
          <w:sz w:val="24"/>
        </w:rPr>
        <w:t>（2）认购款项支付：投资人认购时，采用全额缴款方式。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5、认购的确认</w:t>
      </w:r>
    </w:p>
    <w:p>
      <w:pPr>
        <w:widowControl/>
        <w:adjustRightInd w:val="0"/>
        <w:snapToGrid w:val="0"/>
        <w:spacing w:line="360" w:lineRule="auto"/>
        <w:ind w:firstLine="480" w:firstLineChars="200"/>
        <w:rPr>
          <w:sz w:val="24"/>
          <w:szCs w:val="21"/>
        </w:rPr>
      </w:pPr>
      <w:r>
        <w:rPr>
          <w:sz w:val="24"/>
          <w:szCs w:val="21"/>
        </w:rPr>
        <w:t>当日（T日）在规定时间内提交的申请，投资人通常可在T+2日后（包括该日）到</w:t>
      </w:r>
      <w:r>
        <w:rPr>
          <w:rFonts w:hint="eastAsia"/>
          <w:sz w:val="24"/>
          <w:szCs w:val="21"/>
        </w:rPr>
        <w:t>销售</w:t>
      </w:r>
      <w:r>
        <w:rPr>
          <w:sz w:val="24"/>
          <w:szCs w:val="21"/>
        </w:rPr>
        <w:t>网点查询交易情况。销售机构对</w:t>
      </w:r>
      <w:r>
        <w:rPr>
          <w:rFonts w:hint="eastAsia"/>
          <w:sz w:val="24"/>
          <w:szCs w:val="21"/>
        </w:rPr>
        <w:t>认购</w:t>
      </w:r>
      <w:r>
        <w:rPr>
          <w:sz w:val="24"/>
          <w:szCs w:val="21"/>
        </w:rPr>
        <w:t>申请的受理并不</w:t>
      </w:r>
      <w:r>
        <w:rPr>
          <w:rFonts w:hint="eastAsia"/>
          <w:sz w:val="24"/>
          <w:szCs w:val="21"/>
        </w:rPr>
        <w:t>代表该申请一定成功</w:t>
      </w:r>
      <w:r>
        <w:rPr>
          <w:sz w:val="24"/>
          <w:szCs w:val="21"/>
        </w:rPr>
        <w:t>，而仅代表销售机构确实接收到认购申请。</w:t>
      </w:r>
      <w:r>
        <w:rPr>
          <w:rFonts w:hint="eastAsia"/>
          <w:sz w:val="24"/>
          <w:szCs w:val="21"/>
        </w:rPr>
        <w:t>认购的确认以登记机构的确认结果为准</w:t>
      </w:r>
      <w:r>
        <w:rPr>
          <w:sz w:val="24"/>
          <w:szCs w:val="21"/>
        </w:rPr>
        <w:t>。</w:t>
      </w:r>
      <w:r>
        <w:rPr>
          <w:rFonts w:hAnsi="宋体"/>
          <w:sz w:val="24"/>
        </w:rPr>
        <w:t>对于认购申请及认购份额的确认情况，投资人应及时查询。</w:t>
      </w:r>
      <w:r>
        <w:rPr>
          <w:sz w:val="24"/>
          <w:szCs w:val="21"/>
        </w:rPr>
        <w:t>投资人可以在基金合同生效后到原认购网点打印认购成交确认凭证。</w:t>
      </w:r>
    </w:p>
    <w:p>
      <w:pPr>
        <w:widowControl/>
        <w:adjustRightInd w:val="0"/>
        <w:snapToGrid w:val="0"/>
        <w:spacing w:line="360" w:lineRule="auto"/>
        <w:ind w:firstLine="480" w:firstLineChars="200"/>
        <w:rPr>
          <w:sz w:val="24"/>
          <w:szCs w:val="21"/>
        </w:rPr>
      </w:pPr>
      <w:r>
        <w:rPr>
          <w:sz w:val="24"/>
          <w:szCs w:val="21"/>
        </w:rPr>
        <w:t>投资人开户和认购所需提交的文件和办理的具体程序，请参阅基金份额发售公告。</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6、募集期利息的处理方式</w:t>
      </w:r>
    </w:p>
    <w:p>
      <w:pPr>
        <w:widowControl/>
        <w:adjustRightInd w:val="0"/>
        <w:snapToGrid w:val="0"/>
        <w:spacing w:line="360" w:lineRule="auto"/>
        <w:ind w:firstLine="480" w:firstLineChars="200"/>
        <w:rPr>
          <w:sz w:val="24"/>
          <w:szCs w:val="21"/>
        </w:rPr>
      </w:pPr>
      <w:r>
        <w:rPr>
          <w:sz w:val="24"/>
          <w:szCs w:val="21"/>
        </w:rPr>
        <w:t>本基金基金合同生效前，投资人的有效认购款项只能存入专门账户，任何人不得动用。有效认购款项在募集期间产生的利息将折算为</w:t>
      </w:r>
      <w:r>
        <w:rPr>
          <w:rFonts w:hint="eastAsia"/>
          <w:sz w:val="24"/>
          <w:szCs w:val="21"/>
        </w:rPr>
        <w:t>相应类别的</w:t>
      </w:r>
      <w:r>
        <w:rPr>
          <w:sz w:val="24"/>
          <w:szCs w:val="21"/>
        </w:rPr>
        <w:t>基金份额归基金份额持有人所有。</w:t>
      </w:r>
    </w:p>
    <w:p>
      <w:pPr>
        <w:adjustRightInd w:val="0"/>
        <w:snapToGrid w:val="0"/>
        <w:spacing w:line="360" w:lineRule="auto"/>
        <w:ind w:firstLine="480" w:firstLineChars="20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28" w:name="_Hlt91148053"/>
      <w:bookmarkEnd w:id="28"/>
      <w:bookmarkStart w:id="29" w:name="_Hlt90801570"/>
      <w:bookmarkEnd w:id="29"/>
      <w:bookmarkStart w:id="30" w:name="_Hlt91264078"/>
      <w:bookmarkEnd w:id="30"/>
      <w:bookmarkStart w:id="31" w:name="_Hlt91264042"/>
      <w:bookmarkEnd w:id="31"/>
      <w:bookmarkStart w:id="32" w:name="_Hlt90455312"/>
      <w:bookmarkEnd w:id="32"/>
      <w:bookmarkStart w:id="33" w:name="_Toc109537384"/>
      <w:r>
        <w:rPr>
          <w:sz w:val="24"/>
          <w:szCs w:val="21"/>
        </w:rPr>
        <w:t>。</w:t>
      </w:r>
      <w:bookmarkEnd w:id="27"/>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34" w:name="_Toc28142"/>
      <w:bookmarkStart w:id="35" w:name="_Toc26565"/>
      <w:bookmarkStart w:id="36" w:name="_Toc48122008"/>
      <w:bookmarkStart w:id="37" w:name="_Toc23547"/>
      <w:r>
        <w:rPr>
          <w:rFonts w:hint="eastAsia" w:ascii="宋体" w:hAnsi="宋体"/>
          <w:b/>
          <w:kern w:val="0"/>
          <w:sz w:val="30"/>
          <w:lang w:val="en-US" w:eastAsia="zh-CN"/>
        </w:rPr>
        <w:t>七</w:t>
      </w:r>
      <w:r>
        <w:rPr>
          <w:rFonts w:hint="eastAsia" w:ascii="宋体" w:hAnsi="宋体"/>
          <w:b/>
          <w:kern w:val="0"/>
          <w:sz w:val="30"/>
        </w:rPr>
        <w:t>、基金合同的生效</w:t>
      </w:r>
      <w:bookmarkEnd w:id="34"/>
      <w:bookmarkEnd w:id="35"/>
      <w:bookmarkEnd w:id="36"/>
      <w:bookmarkEnd w:id="37"/>
    </w:p>
    <w:bookmarkEnd w:id="33"/>
    <w:p>
      <w:pPr>
        <w:pStyle w:val="4"/>
        <w:autoSpaceDE w:val="0"/>
        <w:autoSpaceDN w:val="0"/>
        <w:adjustRightInd w:val="0"/>
        <w:snapToGrid w:val="0"/>
        <w:spacing w:line="360" w:lineRule="auto"/>
        <w:ind w:firstLine="482"/>
        <w:outlineLvl w:val="1"/>
        <w:rPr>
          <w:b/>
          <w:sz w:val="24"/>
        </w:rPr>
      </w:pPr>
      <w:bookmarkStart w:id="38" w:name="_Hlt88901074"/>
      <w:bookmarkEnd w:id="38"/>
      <w:bookmarkStart w:id="39" w:name="_Toc15118260"/>
      <w:bookmarkStart w:id="40" w:name="_Toc57530272"/>
      <w:bookmarkStart w:id="41" w:name="_Toc79392603"/>
      <w:bookmarkStart w:id="42" w:name="_Toc109537386"/>
      <w:r>
        <w:rPr>
          <w:rFonts w:hAnsi="宋体"/>
          <w:b/>
          <w:sz w:val="24"/>
        </w:rPr>
        <w:t>（一）基金备案的条件</w:t>
      </w:r>
    </w:p>
    <w:p>
      <w:pPr>
        <w:pStyle w:val="4"/>
        <w:autoSpaceDE w:val="0"/>
        <w:autoSpaceDN w:val="0"/>
        <w:adjustRightInd w:val="0"/>
        <w:snapToGrid w:val="0"/>
        <w:spacing w:line="360" w:lineRule="auto"/>
        <w:ind w:firstLine="480"/>
        <w:rPr>
          <w:rFonts w:hAnsi="宋体"/>
          <w:sz w:val="24"/>
        </w:rPr>
      </w:pPr>
      <w:r>
        <w:rPr>
          <w:rFonts w:hint="eastAsia" w:hAnsi="宋体"/>
          <w:sz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adjustRightInd w:val="0"/>
        <w:snapToGrid w:val="0"/>
        <w:spacing w:line="360" w:lineRule="auto"/>
        <w:ind w:firstLine="480" w:firstLineChars="200"/>
        <w:rPr>
          <w:rFonts w:hAnsi="宋体"/>
          <w:sz w:val="24"/>
        </w:rPr>
      </w:pPr>
      <w:r>
        <w:rPr>
          <w:rFonts w:hint="eastAsia" w:hAnsi="宋体"/>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adjustRightInd w:val="0"/>
        <w:snapToGrid w:val="0"/>
        <w:spacing w:line="360" w:lineRule="auto"/>
        <w:ind w:firstLine="482" w:firstLineChars="200"/>
        <w:outlineLvl w:val="1"/>
        <w:rPr>
          <w:bCs/>
          <w:sz w:val="24"/>
        </w:rPr>
      </w:pPr>
      <w:r>
        <w:rPr>
          <w:rFonts w:hAnsi="宋体"/>
          <w:b/>
          <w:sz w:val="24"/>
        </w:rPr>
        <w:t>（二）</w:t>
      </w:r>
      <w:r>
        <w:rPr>
          <w:b/>
          <w:bCs/>
          <w:sz w:val="24"/>
        </w:rPr>
        <w:t>基金合同不能生效时募集资金的处理方式</w:t>
      </w:r>
    </w:p>
    <w:p>
      <w:pPr>
        <w:adjustRightInd w:val="0"/>
        <w:snapToGrid w:val="0"/>
        <w:spacing w:line="360" w:lineRule="auto"/>
        <w:ind w:firstLine="480" w:firstLineChars="200"/>
        <w:rPr>
          <w:rFonts w:hAnsi="宋体"/>
          <w:sz w:val="24"/>
        </w:rPr>
      </w:pPr>
      <w:r>
        <w:rPr>
          <w:rFonts w:hint="eastAsia" w:hAnsi="宋体"/>
          <w:sz w:val="24"/>
        </w:rPr>
        <w:t>如果募集期限届满，未满足基金备案条件，基金管理人应当承担下列责任：</w:t>
      </w:r>
    </w:p>
    <w:p>
      <w:pPr>
        <w:adjustRightInd w:val="0"/>
        <w:snapToGrid w:val="0"/>
        <w:spacing w:line="360" w:lineRule="auto"/>
        <w:ind w:firstLine="480" w:firstLineChars="200"/>
        <w:rPr>
          <w:rFonts w:hAnsi="宋体"/>
          <w:sz w:val="24"/>
        </w:rPr>
      </w:pPr>
      <w:r>
        <w:rPr>
          <w:rFonts w:hint="eastAsia" w:hAnsi="宋体"/>
          <w:sz w:val="24"/>
        </w:rPr>
        <w:t>1、以其固有财产承担因募集行为而产生的债务和费用；</w:t>
      </w:r>
    </w:p>
    <w:p>
      <w:pPr>
        <w:adjustRightInd w:val="0"/>
        <w:snapToGrid w:val="0"/>
        <w:spacing w:line="360" w:lineRule="auto"/>
        <w:ind w:firstLine="480" w:firstLineChars="200"/>
        <w:rPr>
          <w:rFonts w:hAnsi="宋体"/>
          <w:sz w:val="24"/>
        </w:rPr>
      </w:pPr>
      <w:r>
        <w:rPr>
          <w:rFonts w:hint="eastAsia" w:hAnsi="宋体"/>
          <w:sz w:val="24"/>
        </w:rPr>
        <w:t>2、在基金募集期限届满后30日内返还投资者已缴纳的款项，并加计银行同期活期存款利息；</w:t>
      </w:r>
    </w:p>
    <w:p>
      <w:pPr>
        <w:adjustRightInd w:val="0"/>
        <w:snapToGrid w:val="0"/>
        <w:spacing w:line="360" w:lineRule="auto"/>
        <w:ind w:firstLine="480" w:firstLineChars="200"/>
        <w:rPr>
          <w:rFonts w:hAnsi="宋体"/>
          <w:sz w:val="24"/>
        </w:rPr>
      </w:pPr>
      <w:r>
        <w:rPr>
          <w:rFonts w:hint="eastAsia" w:hAnsi="宋体"/>
          <w:sz w:val="24"/>
        </w:rPr>
        <w:t>3、如基金募集失败，基金管理人、基金托管人及销售机构不得请求报酬。基金管理人、基金托管人和销售机构为基金募集支付之一切费用应由各方各自承担。</w:t>
      </w:r>
    </w:p>
    <w:p>
      <w:pPr>
        <w:adjustRightInd w:val="0"/>
        <w:snapToGrid w:val="0"/>
        <w:spacing w:line="360" w:lineRule="auto"/>
        <w:ind w:firstLine="482" w:firstLineChars="200"/>
        <w:outlineLvl w:val="1"/>
        <w:rPr>
          <w:b/>
          <w:sz w:val="24"/>
        </w:rPr>
      </w:pPr>
      <w:r>
        <w:rPr>
          <w:rFonts w:hAnsi="宋体"/>
          <w:b/>
          <w:sz w:val="24"/>
        </w:rPr>
        <w:t>（三）基金存续期内的基金份额持有人数量和资产规模</w:t>
      </w:r>
    </w:p>
    <w:bookmarkEnd w:id="39"/>
    <w:bookmarkEnd w:id="40"/>
    <w:bookmarkEnd w:id="41"/>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widowControl/>
        <w:adjustRightInd w:val="0"/>
        <w:snapToGrid w:val="0"/>
        <w:spacing w:line="360" w:lineRule="auto"/>
        <w:ind w:firstLine="482"/>
      </w:pPr>
      <w:r>
        <w:rPr>
          <w:rFonts w:hint="eastAsia" w:ascii="宋体" w:hAnsi="宋体"/>
          <w:kern w:val="0"/>
          <w:sz w:val="24"/>
          <w:szCs w:val="24"/>
        </w:rPr>
        <w:t>法律法规或中国证监会另有规定时，从其规定。</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43" w:name="_Toc7316"/>
      <w:bookmarkStart w:id="44" w:name="_Toc48122009"/>
      <w:bookmarkStart w:id="45" w:name="_Toc29306"/>
      <w:bookmarkStart w:id="46" w:name="_Toc18228"/>
      <w:r>
        <w:rPr>
          <w:rFonts w:hint="eastAsia" w:ascii="宋体" w:hAnsi="宋体"/>
          <w:b/>
          <w:kern w:val="0"/>
          <w:sz w:val="30"/>
          <w:lang w:val="en-US" w:eastAsia="zh-CN"/>
        </w:rPr>
        <w:t>八</w:t>
      </w:r>
      <w:r>
        <w:rPr>
          <w:rFonts w:hint="eastAsia" w:ascii="宋体" w:hAnsi="宋体"/>
          <w:b/>
          <w:kern w:val="0"/>
          <w:sz w:val="30"/>
        </w:rPr>
        <w:t>、基金份额的申购与赎回</w:t>
      </w:r>
      <w:bookmarkEnd w:id="42"/>
      <w:bookmarkEnd w:id="43"/>
      <w:bookmarkEnd w:id="44"/>
      <w:bookmarkEnd w:id="45"/>
      <w:bookmarkEnd w:id="46"/>
    </w:p>
    <w:p>
      <w:pPr>
        <w:widowControl/>
        <w:adjustRightInd w:val="0"/>
        <w:snapToGrid w:val="0"/>
        <w:spacing w:line="360" w:lineRule="auto"/>
        <w:ind w:firstLine="482" w:firstLineChars="200"/>
        <w:outlineLvl w:val="1"/>
        <w:rPr>
          <w:b/>
          <w:kern w:val="0"/>
          <w:sz w:val="24"/>
          <w:szCs w:val="24"/>
        </w:rPr>
      </w:pPr>
      <w:bookmarkStart w:id="47" w:name="_Hlk49342362"/>
      <w:r>
        <w:rPr>
          <w:rFonts w:hAnsi="宋体"/>
          <w:b/>
          <w:kern w:val="0"/>
          <w:sz w:val="24"/>
          <w:szCs w:val="24"/>
        </w:rPr>
        <w:t>（一）申购和赎回的场所</w:t>
      </w:r>
    </w:p>
    <w:p>
      <w:pPr>
        <w:pStyle w:val="4"/>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pPr>
        <w:pStyle w:val="4"/>
        <w:autoSpaceDE w:val="0"/>
        <w:autoSpaceDN w:val="0"/>
        <w:adjustRightInd w:val="0"/>
        <w:snapToGrid w:val="0"/>
        <w:spacing w:line="360" w:lineRule="auto"/>
        <w:ind w:firstLine="480"/>
        <w:rPr>
          <w:rFonts w:hAnsi="宋体"/>
          <w:sz w:val="24"/>
          <w:szCs w:val="24"/>
        </w:rPr>
      </w:pPr>
      <w:r>
        <w:rPr>
          <w:rFonts w:hAnsi="宋体"/>
          <w:sz w:val="24"/>
          <w:szCs w:val="24"/>
        </w:rPr>
        <w:t>1、本基金管理人的直销机构</w:t>
      </w:r>
    </w:p>
    <w:p>
      <w:pPr>
        <w:widowControl/>
        <w:adjustRightInd w:val="0"/>
        <w:snapToGrid w:val="0"/>
        <w:spacing w:line="360" w:lineRule="auto"/>
        <w:ind w:firstLine="480" w:firstLineChars="200"/>
        <w:rPr>
          <w:kern w:val="0"/>
          <w:sz w:val="24"/>
          <w:szCs w:val="24"/>
        </w:rPr>
      </w:pPr>
      <w:r>
        <w:rPr>
          <w:rFonts w:hAnsi="宋体"/>
          <w:kern w:val="0"/>
          <w:sz w:val="24"/>
          <w:szCs w:val="24"/>
        </w:rPr>
        <w:t>本基金直销机构为</w:t>
      </w:r>
      <w:r>
        <w:rPr>
          <w:rFonts w:hint="eastAsia" w:hAnsi="宋体"/>
          <w:sz w:val="24"/>
          <w:szCs w:val="24"/>
        </w:rPr>
        <w:t>基金管理人直销柜台以及基金管理人</w:t>
      </w:r>
      <w:r>
        <w:rPr>
          <w:rFonts w:hAnsi="宋体"/>
          <w:kern w:val="0"/>
          <w:sz w:val="24"/>
          <w:szCs w:val="24"/>
        </w:rPr>
        <w:t>的网上直销交易平台。</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名称：交银施罗德基金管理有限公司</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住所：中国（上海）自由贸易试验区银城中路188号交通银行大楼二层（裙）</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办公地址：上海市浦东新区世纪大道8号国金中心二期21-22楼</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电话：（021）6105</w:t>
      </w:r>
      <w:r>
        <w:rPr>
          <w:rStyle w:val="31"/>
          <w:color w:val="auto"/>
          <w:sz w:val="24"/>
          <w:szCs w:val="24"/>
          <w:u w:val="none"/>
        </w:rPr>
        <w:t>5724</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传真：（021）61055054</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联系人：傅</w:t>
      </w:r>
      <w:r>
        <w:rPr>
          <w:rStyle w:val="31"/>
          <w:color w:val="auto"/>
          <w:sz w:val="24"/>
          <w:szCs w:val="24"/>
          <w:u w:val="none"/>
        </w:rPr>
        <w:t>鲸</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客户服务电话：400-700-5000（免长途话费），（021）61055000</w:t>
      </w:r>
    </w:p>
    <w:p>
      <w:pPr>
        <w:pStyle w:val="4"/>
        <w:autoSpaceDE w:val="0"/>
        <w:autoSpaceDN w:val="0"/>
        <w:adjustRightInd w:val="0"/>
        <w:snapToGrid w:val="0"/>
        <w:spacing w:line="360" w:lineRule="auto"/>
        <w:ind w:firstLine="480"/>
        <w:rPr>
          <w:sz w:val="24"/>
          <w:szCs w:val="24"/>
        </w:rPr>
      </w:pPr>
      <w:r>
        <w:rPr>
          <w:rStyle w:val="31"/>
          <w:rFonts w:hint="eastAsia"/>
          <w:color w:val="auto"/>
          <w:sz w:val="24"/>
          <w:szCs w:val="24"/>
          <w:u w:val="none"/>
        </w:rPr>
        <w:t>网址：www.fund001.com</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个人投资者可以通过</w:t>
      </w:r>
      <w:r>
        <w:rPr>
          <w:rFonts w:hint="eastAsia" w:hAnsi="宋体"/>
          <w:sz w:val="24"/>
          <w:szCs w:val="24"/>
        </w:rPr>
        <w:t>基金管理人</w:t>
      </w:r>
      <w:r>
        <w:rPr>
          <w:rFonts w:hAnsi="宋体"/>
          <w:kern w:val="0"/>
          <w:sz w:val="24"/>
          <w:szCs w:val="24"/>
        </w:rPr>
        <w:t>网上直销交易平台办理开户、本基金的申购、赎回等业务，具体交易细则请参阅</w:t>
      </w:r>
      <w:r>
        <w:rPr>
          <w:rFonts w:hint="eastAsia" w:hAnsi="宋体"/>
          <w:sz w:val="24"/>
          <w:szCs w:val="24"/>
        </w:rPr>
        <w:t>基金管理人</w:t>
      </w:r>
      <w:r>
        <w:rPr>
          <w:rFonts w:hAnsi="宋体"/>
          <w:kern w:val="0"/>
          <w:sz w:val="24"/>
          <w:szCs w:val="24"/>
        </w:rPr>
        <w:t>网站。</w:t>
      </w:r>
    </w:p>
    <w:p>
      <w:pPr>
        <w:pStyle w:val="4"/>
        <w:autoSpaceDE w:val="0"/>
        <w:autoSpaceDN w:val="0"/>
        <w:adjustRightInd w:val="0"/>
        <w:snapToGrid w:val="0"/>
        <w:spacing w:line="360" w:lineRule="auto"/>
        <w:ind w:firstLine="480"/>
      </w:pPr>
      <w:r>
        <w:rPr>
          <w:rFonts w:hAnsi="宋体"/>
          <w:kern w:val="0"/>
          <w:sz w:val="24"/>
          <w:szCs w:val="24"/>
        </w:rPr>
        <w:t>网上直销交易平台网址：</w:t>
      </w:r>
      <w:r>
        <w:rPr>
          <w:rStyle w:val="31"/>
          <w:color w:val="auto"/>
          <w:sz w:val="24"/>
          <w:szCs w:val="24"/>
          <w:u w:val="none"/>
        </w:rPr>
        <w:t>www.fund001.com</w:t>
      </w:r>
    </w:p>
    <w:p>
      <w:pPr>
        <w:pStyle w:val="4"/>
        <w:autoSpaceDE w:val="0"/>
        <w:autoSpaceDN w:val="0"/>
        <w:adjustRightInd w:val="0"/>
        <w:snapToGrid w:val="0"/>
        <w:spacing w:line="360" w:lineRule="auto"/>
        <w:ind w:firstLine="480"/>
        <w:rPr>
          <w:rFonts w:hAnsi="宋体"/>
          <w:sz w:val="24"/>
          <w:szCs w:val="24"/>
        </w:rPr>
      </w:pPr>
      <w:r>
        <w:rPr>
          <w:rFonts w:hAnsi="宋体"/>
          <w:sz w:val="24"/>
          <w:szCs w:val="24"/>
        </w:rPr>
        <w:t>2、除基金管理人之外的其他销售机构</w:t>
      </w:r>
    </w:p>
    <w:p>
      <w:pPr>
        <w:adjustRightInd w:val="0"/>
        <w:snapToGrid w:val="0"/>
        <w:spacing w:line="360" w:lineRule="auto"/>
        <w:ind w:firstLine="480" w:firstLineChars="20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lang w:eastAsia="zh-Hans"/>
        </w:rPr>
        <w:t>基金管理人</w:t>
      </w:r>
      <w:r>
        <w:rPr>
          <w:kern w:val="0"/>
          <w:sz w:val="24"/>
          <w:szCs w:val="24"/>
        </w:rPr>
        <w:t>客户服务电话进行咨询。</w:t>
      </w:r>
    </w:p>
    <w:p>
      <w:pPr>
        <w:adjustRightInd w:val="0"/>
        <w:snapToGrid w:val="0"/>
        <w:spacing w:line="360" w:lineRule="auto"/>
        <w:ind w:firstLine="480" w:firstLineChars="20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pPr>
        <w:adjustRightInd w:val="0"/>
        <w:snapToGrid w:val="0"/>
        <w:spacing w:line="360" w:lineRule="auto"/>
        <w:ind w:firstLine="480" w:firstLineChars="20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pPr>
        <w:adjustRightInd w:val="0"/>
        <w:snapToGrid w:val="0"/>
        <w:spacing w:line="360" w:lineRule="auto"/>
        <w:ind w:firstLine="482" w:firstLineChars="200"/>
        <w:outlineLvl w:val="1"/>
        <w:rPr>
          <w:sz w:val="24"/>
          <w:szCs w:val="24"/>
        </w:rPr>
      </w:pPr>
      <w:r>
        <w:rPr>
          <w:rFonts w:hAnsi="宋体"/>
          <w:b/>
          <w:kern w:val="0"/>
          <w:sz w:val="24"/>
          <w:szCs w:val="24"/>
        </w:rPr>
        <w:t>（二）申购和赎回的开放日及时间</w:t>
      </w:r>
    </w:p>
    <w:p>
      <w:pPr>
        <w:pStyle w:val="4"/>
        <w:autoSpaceDE w:val="0"/>
        <w:autoSpaceDN w:val="0"/>
        <w:adjustRightInd w:val="0"/>
        <w:snapToGrid w:val="0"/>
        <w:spacing w:line="360" w:lineRule="auto"/>
        <w:ind w:firstLine="480"/>
        <w:outlineLvl w:val="2"/>
        <w:rPr>
          <w:rFonts w:hAnsi="宋体"/>
          <w:sz w:val="24"/>
          <w:szCs w:val="24"/>
        </w:rPr>
      </w:pPr>
      <w:r>
        <w:rPr>
          <w:rFonts w:hAnsi="宋体"/>
          <w:sz w:val="24"/>
          <w:szCs w:val="24"/>
        </w:rPr>
        <w:t>1、开放日及开放时间</w:t>
      </w:r>
    </w:p>
    <w:p>
      <w:pPr>
        <w:adjustRightInd w:val="0"/>
        <w:snapToGrid w:val="0"/>
        <w:spacing w:line="360" w:lineRule="auto"/>
        <w:ind w:firstLine="480" w:firstLineChars="200"/>
        <w:rPr>
          <w:sz w:val="24"/>
          <w:szCs w:val="24"/>
        </w:rPr>
      </w:pPr>
      <w:r>
        <w:rPr>
          <w:rFonts w:hint="eastAsia"/>
          <w:sz w:val="24"/>
          <w:szCs w:val="24"/>
        </w:rPr>
        <w:t>投资人在开放日办理基金份额的申购和赎回，本基金的开放日为上海证券交易所、深圳证券交易所及本基金投资的主要境外市场的共同交易日（若该工作日为非港股通交易日，则本基金不开放），具体办理时间为上海证券交易所、深圳证券交易所的正常交易日的交易时间，但基金管理人根据法律法规、中国证监会的要求或基金合同的规定公告暂停申购、赎回时除外。本基金投资的主要境外市场为香港市场。</w:t>
      </w:r>
    </w:p>
    <w:p>
      <w:pPr>
        <w:adjustRightInd w:val="0"/>
        <w:snapToGrid w:val="0"/>
        <w:spacing w:line="360" w:lineRule="auto"/>
        <w:ind w:firstLine="480" w:firstLineChars="200"/>
        <w:rPr>
          <w:bCs/>
          <w:sz w:val="24"/>
          <w:szCs w:val="24"/>
        </w:rPr>
      </w:pPr>
      <w:r>
        <w:rPr>
          <w:rFonts w:hint="eastAsia"/>
          <w:sz w:val="24"/>
          <w:szCs w:val="24"/>
        </w:rPr>
        <w:t>基金合同生效后，若出现新的证券/期货交易市场、证券/期货交易所交易时间变更、港股通交易规则变更或其他特殊情况，基金管理人将视情况对前述开放日及开放时间进行相应的调整，但应在实施日前依照《信息披露办法》的有关规定在规定媒介上公告。</w:t>
      </w:r>
    </w:p>
    <w:p>
      <w:pPr>
        <w:pStyle w:val="4"/>
        <w:autoSpaceDE w:val="0"/>
        <w:autoSpaceDN w:val="0"/>
        <w:adjustRightInd w:val="0"/>
        <w:snapToGrid w:val="0"/>
        <w:spacing w:line="360" w:lineRule="auto"/>
        <w:ind w:firstLine="480"/>
        <w:outlineLvl w:val="2"/>
        <w:rPr>
          <w:rFonts w:hAnsi="宋体"/>
          <w:sz w:val="24"/>
          <w:szCs w:val="24"/>
        </w:rPr>
      </w:pPr>
      <w:r>
        <w:rPr>
          <w:rFonts w:hAnsi="宋体"/>
          <w:sz w:val="24"/>
          <w:szCs w:val="24"/>
        </w:rPr>
        <w:t>2、申购、赎回开始日及业务办理时间</w:t>
      </w:r>
    </w:p>
    <w:p>
      <w:pPr>
        <w:adjustRightInd w:val="0"/>
        <w:snapToGrid w:val="0"/>
        <w:spacing w:line="360" w:lineRule="auto"/>
        <w:ind w:firstLine="480" w:firstLineChars="200"/>
        <w:rPr>
          <w:sz w:val="24"/>
          <w:szCs w:val="24"/>
        </w:rPr>
      </w:pPr>
      <w:r>
        <w:rPr>
          <w:rFonts w:hint="eastAsia"/>
          <w:sz w:val="24"/>
          <w:szCs w:val="24"/>
        </w:rPr>
        <w:t>基金管理人可根据实际情况依法决定本基金开始办理申购的具体日期，具体业务办理时间在申购开始公告中规定。</w:t>
      </w:r>
    </w:p>
    <w:p>
      <w:pPr>
        <w:adjustRightInd w:val="0"/>
        <w:snapToGrid w:val="0"/>
        <w:spacing w:line="360" w:lineRule="auto"/>
        <w:ind w:firstLine="480" w:firstLineChars="200"/>
        <w:rPr>
          <w:sz w:val="24"/>
          <w:szCs w:val="24"/>
        </w:rPr>
      </w:pPr>
      <w:r>
        <w:rPr>
          <w:rFonts w:hint="eastAsia"/>
          <w:sz w:val="24"/>
          <w:szCs w:val="24"/>
        </w:rPr>
        <w:t>基金管理人自基金合同生效之日起不超过3个月开始办理赎回，具体业务办理时间在赎回开始公告中规定。</w:t>
      </w:r>
    </w:p>
    <w:p>
      <w:pPr>
        <w:adjustRightInd w:val="0"/>
        <w:snapToGrid w:val="0"/>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pPr>
        <w:adjustRightInd w:val="0"/>
        <w:snapToGrid w:val="0"/>
        <w:spacing w:line="360" w:lineRule="auto"/>
        <w:ind w:firstLine="480" w:firstLineChars="20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adjustRightInd w:val="0"/>
        <w:snapToGrid w:val="0"/>
        <w:spacing w:line="360" w:lineRule="auto"/>
        <w:ind w:firstLine="482" w:firstLineChars="200"/>
        <w:outlineLvl w:val="1"/>
        <w:rPr>
          <w:sz w:val="24"/>
          <w:szCs w:val="24"/>
        </w:rPr>
      </w:pPr>
      <w:r>
        <w:rPr>
          <w:rFonts w:hAnsi="宋体"/>
          <w:b/>
          <w:kern w:val="0"/>
          <w:sz w:val="24"/>
          <w:szCs w:val="24"/>
        </w:rPr>
        <w:t>（三）申购</w:t>
      </w:r>
      <w:r>
        <w:rPr>
          <w:rFonts w:hint="eastAsia" w:hAnsi="宋体"/>
          <w:b/>
          <w:kern w:val="0"/>
          <w:sz w:val="24"/>
          <w:szCs w:val="24"/>
        </w:rPr>
        <w:t>与</w:t>
      </w:r>
      <w:r>
        <w:rPr>
          <w:rFonts w:hAnsi="宋体"/>
          <w:b/>
          <w:kern w:val="0"/>
          <w:sz w:val="24"/>
          <w:szCs w:val="24"/>
        </w:rPr>
        <w:t>赎回的原则</w:t>
      </w:r>
    </w:p>
    <w:p>
      <w:pPr>
        <w:adjustRightInd w:val="0"/>
        <w:snapToGrid w:val="0"/>
        <w:spacing w:line="360" w:lineRule="auto"/>
        <w:ind w:firstLine="480" w:firstLineChars="200"/>
        <w:rPr>
          <w:sz w:val="24"/>
          <w:szCs w:val="24"/>
        </w:rPr>
      </w:pPr>
      <w:r>
        <w:rPr>
          <w:rFonts w:hint="eastAsia"/>
          <w:sz w:val="24"/>
          <w:szCs w:val="24"/>
        </w:rPr>
        <w:t>1、“未知价”原则，即申购、赎回价格以申请当日的基金份额净值为基准进行计算；</w:t>
      </w:r>
    </w:p>
    <w:p>
      <w:pPr>
        <w:adjustRightInd w:val="0"/>
        <w:snapToGrid w:val="0"/>
        <w:spacing w:line="360" w:lineRule="auto"/>
        <w:ind w:firstLine="480" w:firstLineChars="200"/>
        <w:rPr>
          <w:sz w:val="24"/>
          <w:szCs w:val="24"/>
        </w:rPr>
      </w:pPr>
      <w:r>
        <w:rPr>
          <w:rFonts w:hint="eastAsia"/>
          <w:sz w:val="24"/>
          <w:szCs w:val="24"/>
        </w:rPr>
        <w:t>2、“金额申购、份额赎回”原则，即申购以金额申请，赎回以份额申请；</w:t>
      </w:r>
    </w:p>
    <w:p>
      <w:pPr>
        <w:adjustRightInd w:val="0"/>
        <w:snapToGrid w:val="0"/>
        <w:spacing w:line="360" w:lineRule="auto"/>
        <w:ind w:firstLine="480" w:firstLineChars="200"/>
        <w:rPr>
          <w:sz w:val="24"/>
          <w:szCs w:val="24"/>
        </w:rPr>
      </w:pPr>
      <w:r>
        <w:rPr>
          <w:rFonts w:hint="eastAsia"/>
          <w:sz w:val="24"/>
          <w:szCs w:val="24"/>
        </w:rPr>
        <w:t>3、当日的申购与赎回申请可以在基金管理人规定的时间以内撤销，但申请经登记机构受理的不得撤销；</w:t>
      </w:r>
    </w:p>
    <w:p>
      <w:pPr>
        <w:adjustRightInd w:val="0"/>
        <w:snapToGrid w:val="0"/>
        <w:spacing w:line="360" w:lineRule="auto"/>
        <w:ind w:firstLine="480" w:firstLineChars="200"/>
        <w:rPr>
          <w:sz w:val="24"/>
          <w:szCs w:val="24"/>
        </w:rPr>
      </w:pPr>
      <w:r>
        <w:rPr>
          <w:rFonts w:hint="eastAsia"/>
          <w:sz w:val="24"/>
          <w:szCs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pPr>
        <w:adjustRightInd w:val="0"/>
        <w:snapToGrid w:val="0"/>
        <w:spacing w:line="360" w:lineRule="auto"/>
        <w:ind w:firstLine="480" w:firstLineChars="200"/>
        <w:rPr>
          <w:sz w:val="24"/>
          <w:szCs w:val="24"/>
        </w:rPr>
      </w:pPr>
      <w:r>
        <w:rPr>
          <w:rFonts w:hint="eastAsia"/>
          <w:sz w:val="24"/>
          <w:szCs w:val="24"/>
        </w:rPr>
        <w:t>5、办理申购、赎回业务时，应当遵循基金份额持有人利益优先原则，确保投资者的合法权益不受损害并得到公平对待。</w:t>
      </w:r>
    </w:p>
    <w:p>
      <w:pPr>
        <w:adjustRightInd w:val="0"/>
        <w:snapToGrid w:val="0"/>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（四）申购和赎回的数额限定</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、申购金额的限制</w:t>
      </w:r>
    </w:p>
    <w:p>
      <w:pPr>
        <w:widowControl/>
        <w:adjustRightInd w:val="0"/>
        <w:snapToGrid w:val="0"/>
        <w:spacing w:line="360" w:lineRule="auto"/>
        <w:ind w:firstLine="480" w:firstLineChars="200"/>
        <w:rPr>
          <w:rFonts w:ascii="宋体" w:hAnsi="宋体"/>
          <w:kern w:val="0"/>
          <w:sz w:val="24"/>
        </w:rPr>
      </w:pPr>
      <w:r>
        <w:rPr>
          <w:kern w:val="0"/>
          <w:sz w:val="24"/>
          <w:szCs w:val="24"/>
        </w:rPr>
        <w:t>直销机构首次申购的最低金额为单笔</w:t>
      </w:r>
      <w:r>
        <w:rPr>
          <w:rFonts w:hint="eastAsia"/>
          <w:kern w:val="0"/>
          <w:sz w:val="24"/>
          <w:szCs w:val="24"/>
        </w:rPr>
        <w:t>100万元</w:t>
      </w:r>
      <w:r>
        <w:rPr>
          <w:kern w:val="0"/>
          <w:sz w:val="24"/>
          <w:szCs w:val="24"/>
        </w:rPr>
        <w:t>，追加申购的最低金额为单笔</w:t>
      </w:r>
      <w:r>
        <w:rPr>
          <w:rFonts w:hint="eastAsia"/>
          <w:kern w:val="0"/>
          <w:sz w:val="24"/>
          <w:szCs w:val="24"/>
        </w:rPr>
        <w:t>10万元</w:t>
      </w:r>
      <w:r>
        <w:rPr>
          <w:kern w:val="0"/>
          <w:sz w:val="24"/>
          <w:szCs w:val="24"/>
        </w:rPr>
        <w:t>；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w:t>
      </w:r>
      <w:r>
        <w:rPr>
          <w:rFonts w:hint="eastAsia"/>
          <w:kern w:val="0"/>
          <w:sz w:val="24"/>
          <w:szCs w:val="24"/>
        </w:rPr>
        <w:t>其他销售机构</w:t>
      </w:r>
      <w:r>
        <w:rPr>
          <w:kern w:val="0"/>
          <w:sz w:val="24"/>
          <w:szCs w:val="24"/>
        </w:rPr>
        <w:t>接受申购申请的最低金额为单笔1元，如果</w:t>
      </w:r>
      <w:r>
        <w:rPr>
          <w:rFonts w:hint="eastAsia"/>
          <w:kern w:val="0"/>
          <w:sz w:val="24"/>
          <w:szCs w:val="24"/>
        </w:rPr>
        <w:t>销售</w:t>
      </w:r>
      <w:r>
        <w:rPr>
          <w:kern w:val="0"/>
          <w:sz w:val="24"/>
          <w:szCs w:val="24"/>
        </w:rPr>
        <w:t>机构业务规则规定的最低单笔申购金额高于1元，以</w:t>
      </w:r>
      <w:r>
        <w:rPr>
          <w:rFonts w:hint="eastAsia"/>
          <w:kern w:val="0"/>
          <w:sz w:val="24"/>
          <w:szCs w:val="24"/>
        </w:rPr>
        <w:t>该销售</w:t>
      </w:r>
      <w:r>
        <w:rPr>
          <w:kern w:val="0"/>
          <w:sz w:val="24"/>
          <w:szCs w:val="24"/>
        </w:rPr>
        <w:t>机构的规定为准。</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、赎回份额的限制</w:t>
      </w:r>
    </w:p>
    <w:p>
      <w:pPr>
        <w:widowControl/>
        <w:adjustRightInd w:val="0"/>
        <w:snapToGrid w:val="0"/>
        <w:spacing w:line="360" w:lineRule="auto"/>
        <w:ind w:firstLine="480" w:firstLineChars="20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int="eastAsia" w:hAnsi="宋体"/>
          <w:kern w:val="0"/>
          <w:sz w:val="24"/>
          <w:szCs w:val="24"/>
        </w:rPr>
        <w:t>，如果销售机构业务规则规定的最低单笔赎回份额高于1份，以该销售机构的规定为准。</w:t>
      </w:r>
    </w:p>
    <w:p>
      <w:pPr>
        <w:widowControl/>
        <w:adjustRightInd w:val="0"/>
        <w:snapToGrid w:val="0"/>
        <w:spacing w:line="360" w:lineRule="auto"/>
        <w:ind w:firstLine="480" w:firstLineChars="200"/>
        <w:rPr>
          <w:kern w:val="0"/>
          <w:sz w:val="24"/>
          <w:szCs w:val="24"/>
        </w:rPr>
      </w:pPr>
      <w:bookmarkStart w:id="48" w:name="OLE_LINK6"/>
      <w:r>
        <w:rPr>
          <w:kern w:val="0"/>
          <w:sz w:val="24"/>
          <w:szCs w:val="24"/>
        </w:rPr>
        <w:t>3</w:t>
      </w:r>
      <w:r>
        <w:rPr>
          <w:rFonts w:hAnsi="宋体"/>
          <w:kern w:val="0"/>
          <w:sz w:val="24"/>
          <w:szCs w:val="24"/>
        </w:rPr>
        <w:t>、最低</w:t>
      </w:r>
      <w:r>
        <w:rPr>
          <w:rFonts w:hint="eastAsia" w:hAnsi="宋体"/>
          <w:kern w:val="0"/>
          <w:sz w:val="24"/>
          <w:szCs w:val="24"/>
        </w:rPr>
        <w:t>基金份额</w:t>
      </w:r>
      <w:r>
        <w:rPr>
          <w:rFonts w:hAnsi="宋体"/>
          <w:kern w:val="0"/>
          <w:sz w:val="24"/>
          <w:szCs w:val="24"/>
        </w:rPr>
        <w:t>余额的限制</w:t>
      </w:r>
    </w:p>
    <w:bookmarkEnd w:id="48"/>
    <w:p>
      <w:pPr>
        <w:widowControl/>
        <w:adjustRightInd w:val="0"/>
        <w:snapToGrid w:val="0"/>
        <w:spacing w:line="360" w:lineRule="auto"/>
        <w:ind w:firstLine="480" w:firstLineChars="200"/>
        <w:rPr>
          <w:rFonts w:hAnsi="宋体"/>
          <w:sz w:val="24"/>
          <w:szCs w:val="24"/>
        </w:rPr>
      </w:pPr>
      <w:r>
        <w:rPr>
          <w:rFonts w:hint="eastAsia" w:hAnsi="宋体"/>
          <w:sz w:val="24"/>
          <w:szCs w:val="24"/>
        </w:rPr>
        <w:t>每个工作日投资人在单个基金交易账户保留的本基金基金份额余额少于1份时，若当日该账户同时有基金份额减少类业务（如赎回、转换出等）被确认，则基金管理人有权将投资人在该账户保留的本基金基金份额一次性全部赎回。</w:t>
      </w:r>
    </w:p>
    <w:p>
      <w:pPr>
        <w:widowControl/>
        <w:adjustRightInd w:val="0"/>
        <w:snapToGrid w:val="0"/>
        <w:spacing w:line="360" w:lineRule="auto"/>
        <w:ind w:firstLine="480" w:firstLineChars="200"/>
        <w:rPr>
          <w:rFonts w:hAnsi="宋体"/>
          <w:sz w:val="24"/>
          <w:szCs w:val="24"/>
        </w:rPr>
      </w:pPr>
      <w:r>
        <w:rPr>
          <w:rFonts w:hint="eastAsia" w:hAnsi="宋体"/>
          <w:sz w:val="24"/>
          <w:szCs w:val="24"/>
        </w:rPr>
        <w:t>4、基金管理人可以规定本基金的总规模上限、单个投资人累计持有的基金份额上限，具体规定请参见相关公告。</w:t>
      </w:r>
    </w:p>
    <w:p>
      <w:pPr>
        <w:widowControl/>
        <w:adjustRightInd w:val="0"/>
        <w:snapToGrid w:val="0"/>
        <w:spacing w:line="360" w:lineRule="auto"/>
        <w:ind w:firstLine="480" w:firstLineChars="200"/>
        <w:rPr>
          <w:rFonts w:hAnsi="宋体"/>
          <w:sz w:val="24"/>
          <w:szCs w:val="24"/>
        </w:rPr>
      </w:pPr>
      <w:r>
        <w:rPr>
          <w:rFonts w:hint="eastAsia" w:hAnsi="宋体"/>
          <w:sz w:val="24"/>
          <w:szCs w:val="24"/>
        </w:rPr>
        <w:t>5</w:t>
      </w:r>
      <w:r>
        <w:rPr>
          <w:rFonts w:hAnsi="宋体"/>
          <w:sz w:val="24"/>
          <w:szCs w:val="24"/>
        </w:rPr>
        <w:t>、</w:t>
      </w:r>
      <w:r>
        <w:rPr>
          <w:rFonts w:hint="eastAsia" w:hAnsi="宋体"/>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pPr>
        <w:widowControl/>
        <w:adjustRightInd w:val="0"/>
        <w:snapToGrid w:val="0"/>
        <w:spacing w:line="360" w:lineRule="auto"/>
        <w:ind w:firstLine="480" w:firstLineChars="200"/>
        <w:rPr>
          <w:kern w:val="0"/>
          <w:sz w:val="24"/>
          <w:szCs w:val="24"/>
        </w:rPr>
      </w:pPr>
      <w:r>
        <w:rPr>
          <w:rFonts w:hint="eastAsia"/>
          <w:kern w:val="0"/>
          <w:sz w:val="24"/>
          <w:szCs w:val="24"/>
        </w:rPr>
        <w:t>6</w:t>
      </w:r>
      <w:r>
        <w:rPr>
          <w:rFonts w:hAnsi="宋体"/>
          <w:kern w:val="0"/>
          <w:sz w:val="24"/>
          <w:szCs w:val="24"/>
        </w:rPr>
        <w:t>、</w:t>
      </w:r>
      <w:r>
        <w:rPr>
          <w:rFonts w:hint="eastAsia" w:hAnsi="宋体"/>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int="eastAsia" w:hAnsi="宋体"/>
          <w:kern w:val="0"/>
          <w:sz w:val="24"/>
          <w:szCs w:val="24"/>
        </w:rPr>
        <w:t>实施</w:t>
      </w:r>
      <w:r>
        <w:rPr>
          <w:rFonts w:hAnsi="宋体"/>
          <w:kern w:val="0"/>
          <w:sz w:val="24"/>
          <w:szCs w:val="24"/>
        </w:rPr>
        <w:t>前依照《信息披露办法》的有关规定在规定媒介上公告。</w:t>
      </w:r>
    </w:p>
    <w:p>
      <w:pPr>
        <w:adjustRightInd w:val="0"/>
        <w:snapToGrid w:val="0"/>
        <w:spacing w:line="360" w:lineRule="auto"/>
        <w:ind w:firstLine="482" w:firstLineChars="200"/>
        <w:outlineLvl w:val="1"/>
        <w:rPr>
          <w:sz w:val="24"/>
          <w:szCs w:val="24"/>
        </w:rPr>
      </w:pPr>
      <w:r>
        <w:rPr>
          <w:rFonts w:hAnsi="宋体"/>
          <w:b/>
          <w:kern w:val="0"/>
          <w:sz w:val="24"/>
          <w:szCs w:val="24"/>
        </w:rPr>
        <w:t>（五）申购和赎回的程序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sz w:val="24"/>
          <w:szCs w:val="24"/>
        </w:rPr>
        <w:t>、申购和赎回的申请方式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申购和赎回的款项支付</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投资人申购基金份额时，必须全额交付申购款项，若申购资金在规定时间内未全额到账则申购不成立。投资人全额交付申购款项，申购成立；基金登记机构确认基金份额时，申购生效。</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基金份额持有人递交赎回申请，赎回成立；基金登记机构确认赎回时，赎回生效。投资者赎回申请生效后，基金管理人将在T</w:t>
      </w:r>
      <w:r>
        <w:rPr>
          <w:rFonts w:hAnsi="宋体"/>
          <w:kern w:val="0"/>
          <w:sz w:val="24"/>
          <w:szCs w:val="24"/>
        </w:rPr>
        <w:t>+</w:t>
      </w:r>
      <w:r>
        <w:rPr>
          <w:rFonts w:hint="eastAsia" w:hAnsi="宋体"/>
          <w:kern w:val="0"/>
          <w:sz w:val="24"/>
          <w:szCs w:val="24"/>
        </w:rPr>
        <w:t>10日（包括该日）内支付赎回款项。如遇本基金投资所处的主要市场或外汇市场正常或非正常停市、外管局相关规定或本基金所投资市场的交易清算规则有变更、交易所或交易市场数据传输延迟、通讯系统故障、银行数据交换系统故障、港股通交易系统或港股通资金交收规则限制或其他非基金管理人及基金托管人所能控制的因素影响业务处理流程，则赎回款项的支付时间相应顺延。在发生巨额赎回或基金合同载明的其他暂停赎回或延缓支付赎回款项的情形时，款项的支付办法参照基金合同有关条款处理。</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kern w:val="0"/>
          <w:sz w:val="24"/>
          <w:szCs w:val="24"/>
        </w:rPr>
        <w:t>、</w:t>
      </w:r>
      <w:r>
        <w:rPr>
          <w:rFonts w:hAnsi="宋体"/>
          <w:kern w:val="0"/>
          <w:sz w:val="24"/>
          <w:szCs w:val="24"/>
        </w:rPr>
        <w:t>申购和赎回申请的确认</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或基金管理人委托的登记机构应以交易时间结束前受理有效申购和赎回申请的当天作为申购或赎回申请日（T日），在正常情况下，本基金登记机构在T+2日（包括该日）内对该交易的有效性进行确认。T日提交的有效申请，投资人应在T+3日后（包括该日）及时到销售网点柜台或以销售机构规定的其他方式查询申请的确认情况。若申购不成功，则申购款项退还给投资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基金管理人可在法律法规允许的范围内，依法对上述申购和赎回申请的确认时间进行调整，并必须在调整实施日前按照《信息披露办法》的有关规定在规定媒介上公告。</w:t>
      </w:r>
    </w:p>
    <w:p>
      <w:pPr>
        <w:pStyle w:val="4"/>
        <w:autoSpaceDE w:val="0"/>
        <w:autoSpaceDN w:val="0"/>
        <w:adjustRightInd w:val="0"/>
        <w:snapToGrid w:val="0"/>
        <w:spacing w:line="360" w:lineRule="auto"/>
        <w:ind w:firstLine="480"/>
        <w:rPr>
          <w:rFonts w:hAnsi="宋体"/>
          <w:kern w:val="0"/>
          <w:sz w:val="24"/>
          <w:szCs w:val="24"/>
        </w:rPr>
      </w:pPr>
      <w:r>
        <w:rPr>
          <w:rFonts w:hint="eastAsia" w:hAnsi="宋体"/>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w:t>
      </w:r>
      <w:r>
        <w:rPr>
          <w:rFonts w:hAnsi="宋体"/>
          <w:sz w:val="24"/>
          <w:szCs w:val="24"/>
        </w:rPr>
        <w:t>、申购和赎回的登记</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rFonts w:hint="eastAsia"/>
          <w:sz w:val="24"/>
          <w:szCs w:val="24"/>
        </w:rPr>
        <w:t>2</w:t>
      </w:r>
      <w:r>
        <w:rPr>
          <w:rFonts w:hAnsi="宋体"/>
          <w:sz w:val="24"/>
          <w:szCs w:val="24"/>
        </w:rPr>
        <w:t>日为投资人增加权益并办理登记手续</w:t>
      </w:r>
      <w:r>
        <w:rPr>
          <w:rFonts w:hint="eastAsia" w:hAnsi="宋体"/>
          <w:sz w:val="24"/>
          <w:szCs w:val="24"/>
        </w:rPr>
        <w:t>，投资人自T＋3日起（包括该日）有权赎回该部分基金份额</w:t>
      </w:r>
      <w:r>
        <w:rPr>
          <w:rFonts w:hAnsi="宋体"/>
          <w:sz w:val="24"/>
          <w:szCs w:val="24"/>
        </w:rPr>
        <w:t>。投资人应及时查询有关申请的确认情况。</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rFonts w:hint="eastAsia"/>
          <w:sz w:val="24"/>
          <w:szCs w:val="24"/>
        </w:rPr>
        <w:t>2</w:t>
      </w:r>
      <w:r>
        <w:rPr>
          <w:rFonts w:hAnsi="宋体"/>
          <w:sz w:val="24"/>
          <w:szCs w:val="24"/>
        </w:rPr>
        <w:t>日为投资人扣除权益并办理相应的登记手续。</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（六）基金的申购费和赎回费</w:t>
      </w:r>
    </w:p>
    <w:p>
      <w:pPr>
        <w:widowControl/>
        <w:adjustRightInd w:val="0"/>
        <w:snapToGrid w:val="0"/>
        <w:spacing w:line="360" w:lineRule="auto"/>
        <w:ind w:firstLine="480" w:firstLineChars="200"/>
        <w:rPr>
          <w:rFonts w:hAnsi="宋体"/>
          <w:sz w:val="24"/>
          <w:szCs w:val="24"/>
        </w:rPr>
      </w:pPr>
      <w:r>
        <w:rPr>
          <w:rFonts w:hAnsi="宋体"/>
          <w:sz w:val="24"/>
          <w:szCs w:val="24"/>
        </w:rPr>
        <w:t>1、申购费用</w:t>
      </w:r>
    </w:p>
    <w:p>
      <w:pPr>
        <w:widowControl/>
        <w:adjustRightInd w:val="0"/>
        <w:snapToGrid w:val="0"/>
        <w:spacing w:line="360" w:lineRule="auto"/>
        <w:ind w:firstLine="480" w:firstLineChars="200"/>
        <w:rPr>
          <w:rFonts w:hAnsi="宋体"/>
          <w:sz w:val="24"/>
          <w:szCs w:val="24"/>
        </w:rPr>
      </w:pPr>
      <w:r>
        <w:rPr>
          <w:rFonts w:hint="eastAsia" w:hAnsi="宋体"/>
          <w:sz w:val="24"/>
          <w:szCs w:val="24"/>
        </w:rPr>
        <w:t>本基金基金份额分为A类基金份额和C类基金份额。投资人申购A类基金份额在申购时支付申购费用（其中，通过直销机构申购时不支付申购费用），申购C类基金份额不支付申购费用。</w:t>
      </w:r>
    </w:p>
    <w:p>
      <w:pPr>
        <w:widowControl/>
        <w:adjustRightInd w:val="0"/>
        <w:snapToGrid w:val="0"/>
        <w:spacing w:line="360" w:lineRule="auto"/>
        <w:ind w:firstLine="480" w:firstLineChars="200"/>
        <w:rPr>
          <w:rFonts w:hAnsi="宋体"/>
          <w:sz w:val="24"/>
          <w:szCs w:val="24"/>
        </w:rPr>
      </w:pPr>
      <w:r>
        <w:rPr>
          <w:rFonts w:hint="eastAsia" w:hAnsi="宋体"/>
          <w:sz w:val="24"/>
          <w:szCs w:val="24"/>
        </w:rPr>
        <w:t>通过直销机构申购本基金A类基金份额不收取申购费；通过其他销售机构申购本基金A类基金份额的，申购费用由申购A类基金份额的投资人承担，投资人可以多次申购本基金，申购费用按A类基金份额的每笔申购申请单独计算。申购费用不列入基金财产，主要用于本基金的市场推广、销售等各项费用。</w:t>
      </w:r>
    </w:p>
    <w:p>
      <w:pPr>
        <w:widowControl/>
        <w:adjustRightInd w:val="0"/>
        <w:snapToGrid w:val="0"/>
        <w:spacing w:line="360" w:lineRule="auto"/>
        <w:ind w:firstLine="480" w:firstLineChars="200"/>
        <w:rPr>
          <w:rFonts w:hAnsi="宋体"/>
          <w:sz w:val="24"/>
          <w:szCs w:val="24"/>
        </w:rPr>
      </w:pPr>
      <w:r>
        <w:rPr>
          <w:rFonts w:hint="eastAsia" w:hAnsi="宋体"/>
          <w:sz w:val="24"/>
          <w:szCs w:val="24"/>
        </w:rPr>
        <w:t>通过其他销售机构申购</w:t>
      </w:r>
      <w:r>
        <w:rPr>
          <w:rFonts w:hAnsi="宋体"/>
          <w:sz w:val="24"/>
          <w:szCs w:val="24"/>
        </w:rPr>
        <w:t>本基金</w:t>
      </w:r>
      <w:r>
        <w:rPr>
          <w:rFonts w:hint="eastAsia" w:hAnsi="宋体"/>
          <w:sz w:val="24"/>
          <w:szCs w:val="24"/>
        </w:rPr>
        <w:t>A类基金份额</w:t>
      </w:r>
      <w:r>
        <w:rPr>
          <w:rFonts w:hAnsi="宋体"/>
          <w:sz w:val="24"/>
          <w:szCs w:val="24"/>
        </w:rPr>
        <w:t>的申购费率如下：</w:t>
      </w:r>
    </w:p>
    <w:tbl>
      <w:tblPr>
        <w:tblStyle w:val="28"/>
        <w:tblW w:w="7339" w:type="dxa"/>
        <w:tblInd w:w="59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260"/>
        <w:gridCol w:w="407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trPr>
        <w:tc>
          <w:tcPr>
            <w:tcW w:w="3260" w:type="dxa"/>
            <w:shd w:val="clear" w:color="auto" w:fill="FFFFFF"/>
            <w:vAlign w:val="center"/>
          </w:tcPr>
          <w:p>
            <w:pPr>
              <w:adjustRightInd w:val="0"/>
              <w:snapToGrid w:val="0"/>
              <w:jc w:val="center"/>
              <w:rPr>
                <w:b/>
                <w:sz w:val="24"/>
              </w:rPr>
            </w:pPr>
            <w:r>
              <w:rPr>
                <w:b/>
                <w:sz w:val="24"/>
              </w:rPr>
              <w:t>申购金额（含申购费）</w:t>
            </w:r>
          </w:p>
        </w:tc>
        <w:tc>
          <w:tcPr>
            <w:tcW w:w="4079" w:type="dxa"/>
            <w:shd w:val="clear" w:color="auto" w:fill="FFFFFF"/>
            <w:vAlign w:val="center"/>
          </w:tcPr>
          <w:p>
            <w:pPr>
              <w:adjustRightInd w:val="0"/>
              <w:snapToGrid w:val="0"/>
              <w:jc w:val="center"/>
              <w:rPr>
                <w:b/>
                <w:sz w:val="24"/>
              </w:rPr>
            </w:pPr>
            <w:r>
              <w:rPr>
                <w:rFonts w:hint="eastAsia"/>
                <w:b/>
                <w:sz w:val="24"/>
              </w:rPr>
              <w:t>A类基金份额</w:t>
            </w:r>
            <w:r>
              <w:rPr>
                <w:b/>
                <w:sz w:val="24"/>
              </w:rPr>
              <w:t>申购费率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rFonts w:hint="eastAsia"/>
                <w:sz w:val="24"/>
              </w:rPr>
              <w:t>5</w:t>
            </w:r>
            <w:r>
              <w:rPr>
                <w:sz w:val="24"/>
              </w:rPr>
              <w:t>00</w:t>
            </w:r>
            <w:r>
              <w:rPr>
                <w:rFonts w:hAnsi="宋体"/>
                <w:sz w:val="24"/>
              </w:rPr>
              <w:t>万元以下</w:t>
            </w:r>
          </w:p>
        </w:tc>
        <w:tc>
          <w:tcPr>
            <w:tcW w:w="4079" w:type="dxa"/>
          </w:tcPr>
          <w:p>
            <w:pPr>
              <w:adjustRightInd w:val="0"/>
              <w:snapToGrid w:val="0"/>
              <w:jc w:val="center"/>
              <w:rPr>
                <w:sz w:val="24"/>
              </w:rPr>
            </w:pPr>
            <w:r>
              <w:rPr>
                <w:rFonts w:hint="eastAsia"/>
                <w:sz w:val="24"/>
              </w:rPr>
              <w:t>0.8</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500</w:t>
            </w:r>
            <w:r>
              <w:rPr>
                <w:rFonts w:hAnsi="宋体"/>
                <w:sz w:val="24"/>
              </w:rPr>
              <w:t>万元以上（含</w:t>
            </w:r>
            <w:r>
              <w:rPr>
                <w:sz w:val="24"/>
              </w:rPr>
              <w:t>500</w:t>
            </w:r>
            <w:r>
              <w:rPr>
                <w:rFonts w:hAnsi="宋体"/>
                <w:sz w:val="24"/>
              </w:rPr>
              <w:t>万</w:t>
            </w:r>
            <w:r>
              <w:rPr>
                <w:rFonts w:hint="eastAsia" w:hAnsi="宋体"/>
                <w:sz w:val="24"/>
              </w:rPr>
              <w:t>元</w:t>
            </w:r>
            <w:r>
              <w:rPr>
                <w:rFonts w:hAnsi="宋体"/>
                <w:sz w:val="24"/>
              </w:rPr>
              <w:t>）</w:t>
            </w:r>
          </w:p>
        </w:tc>
        <w:tc>
          <w:tcPr>
            <w:tcW w:w="4079" w:type="dxa"/>
          </w:tcPr>
          <w:p>
            <w:pPr>
              <w:adjustRightInd w:val="0"/>
              <w:snapToGrid w:val="0"/>
              <w:jc w:val="center"/>
              <w:rPr>
                <w:rFonts w:hAnsi="宋体"/>
                <w:sz w:val="24"/>
              </w:rPr>
            </w:pPr>
            <w:r>
              <w:rPr>
                <w:rFonts w:hAnsi="宋体"/>
                <w:sz w:val="24"/>
              </w:rPr>
              <w:t>每笔交易</w:t>
            </w:r>
            <w:r>
              <w:rPr>
                <w:sz w:val="24"/>
              </w:rPr>
              <w:t>1000</w:t>
            </w:r>
            <w:r>
              <w:rPr>
                <w:rFonts w:hAnsi="宋体"/>
                <w:sz w:val="24"/>
              </w:rPr>
              <w:t>元</w:t>
            </w:r>
          </w:p>
        </w:tc>
      </w:tr>
    </w:tbl>
    <w:p>
      <w:pPr>
        <w:widowControl/>
        <w:adjustRightInd w:val="0"/>
        <w:snapToGrid w:val="0"/>
        <w:spacing w:line="360" w:lineRule="auto"/>
        <w:ind w:firstLine="480" w:firstLineChars="200"/>
        <w:rPr>
          <w:rFonts w:hAnsi="宋体"/>
          <w:kern w:val="0"/>
          <w:sz w:val="24"/>
          <w:szCs w:val="24"/>
        </w:rPr>
      </w:pPr>
      <w:r>
        <w:rPr>
          <w:rFonts w:hint="eastAsia" w:hAnsi="宋体"/>
          <w:sz w:val="24"/>
          <w:szCs w:val="24"/>
        </w:rPr>
        <w:t>持有A类基金份额的投资人因红利自动再投资而产生的A类基金份额，不收取相应的申购费用。</w:t>
      </w:r>
    </w:p>
    <w:p>
      <w:pPr>
        <w:widowControl/>
        <w:adjustRightInd w:val="0"/>
        <w:snapToGrid w:val="0"/>
        <w:spacing w:line="360" w:lineRule="auto"/>
        <w:ind w:firstLine="480" w:firstLineChars="200"/>
        <w:rPr>
          <w:rFonts w:hAnsi="宋体"/>
          <w:kern w:val="0"/>
          <w:sz w:val="24"/>
          <w:szCs w:val="24"/>
        </w:rPr>
      </w:pPr>
      <w:r>
        <w:rPr>
          <w:rFonts w:hAnsi="宋体"/>
          <w:sz w:val="24"/>
          <w:szCs w:val="24"/>
        </w:rPr>
        <w:t>2、赎回费用</w:t>
      </w:r>
    </w:p>
    <w:p>
      <w:pPr>
        <w:widowControl/>
        <w:adjustRightInd w:val="0"/>
        <w:snapToGrid w:val="0"/>
        <w:spacing w:line="360" w:lineRule="auto"/>
        <w:ind w:firstLine="480" w:firstLineChars="200"/>
        <w:rPr>
          <w:rFonts w:hAnsi="宋体"/>
          <w:kern w:val="0"/>
          <w:sz w:val="24"/>
          <w:szCs w:val="24"/>
        </w:rPr>
      </w:pPr>
      <w:r>
        <w:rPr>
          <w:rFonts w:hint="eastAsia" w:hAnsi="宋体"/>
          <w:sz w:val="24"/>
          <w:szCs w:val="24"/>
        </w:rPr>
        <w:t>本基金A类基金份额和C类基金份额的赎回费用由赎回该类基金份额的基金份额持有人承担，在基金份额持有人赎回基金份额时收取，赎回费用全额计入基金财产</w:t>
      </w:r>
      <w:r>
        <w:rPr>
          <w:rFonts w:hAnsi="宋体"/>
          <w:kern w:val="0"/>
          <w:sz w:val="24"/>
          <w:szCs w:val="24"/>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本基金A类基金份额和C类基金份额的赎回费率相同，具体如下：</w:t>
      </w:r>
    </w:p>
    <w:tbl>
      <w:tblPr>
        <w:tblStyle w:val="28"/>
        <w:tblW w:w="7122"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840"/>
        <w:gridCol w:w="228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hAnsi="宋体"/>
                <w:b/>
                <w:sz w:val="24"/>
                <w:szCs w:val="24"/>
              </w:rPr>
              <w:t>持有期限</w:t>
            </w:r>
          </w:p>
        </w:tc>
        <w:tc>
          <w:tcPr>
            <w:tcW w:w="2282"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hAnsi="宋体"/>
                <w:b/>
                <w:sz w:val="24"/>
                <w:szCs w:val="24"/>
              </w:rPr>
              <w:t>赎回费率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7日</w:t>
            </w:r>
            <w:r>
              <w:rPr>
                <w:rFonts w:hint="eastAsia" w:hAnsi="宋体"/>
                <w:sz w:val="24"/>
                <w:szCs w:val="24"/>
              </w:rPr>
              <w:t>以内</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1</w:t>
            </w:r>
            <w:r>
              <w:rPr>
                <w:sz w:val="24"/>
                <w:szCs w:val="24"/>
              </w:rPr>
              <w:t>.5%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7日（含）—30日</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1.0%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30日（含）—180日</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0.5%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180日</w:t>
            </w:r>
            <w:r>
              <w:rPr>
                <w:rFonts w:hint="eastAsia" w:hAnsi="宋体"/>
                <w:sz w:val="24"/>
                <w:szCs w:val="24"/>
              </w:rPr>
              <w:t>以上（含）</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sz w:val="24"/>
                <w:szCs w:val="24"/>
              </w:rPr>
              <w:t>0</w:t>
            </w:r>
          </w:p>
        </w:tc>
      </w:tr>
    </w:tbl>
    <w:p>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bCs/>
          <w:kern w:val="0"/>
          <w:sz w:val="24"/>
          <w:szCs w:val="24"/>
        </w:rPr>
        <w:t>经与基金托管人协商一致，</w:t>
      </w:r>
      <w:r>
        <w:rPr>
          <w:rFonts w:hAnsi="宋体"/>
          <w:kern w:val="0"/>
          <w:sz w:val="24"/>
          <w:szCs w:val="24"/>
        </w:rPr>
        <w:t>基金管理人可以在基金合同约定的范围内调整费率或收费方式，并最迟应于新的费率或收费方式实施日前依照《信息披露办法》的有关规定在规定媒介上公告。</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、当本基金发生大额申购或赎回情形时，基金管理人可以采用摆动定价机制，以确保基金估值的公平性。具体处理原则与操作规范遵循相关法律法规以及监管部门、自律规则的规定。</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销售服务费率。</w:t>
      </w:r>
    </w:p>
    <w:p>
      <w:pPr>
        <w:widowControl/>
        <w:adjustRightInd w:val="0"/>
        <w:snapToGrid w:val="0"/>
        <w:spacing w:line="360" w:lineRule="auto"/>
        <w:ind w:firstLine="482" w:firstLineChars="200"/>
        <w:outlineLvl w:val="1"/>
        <w:rPr>
          <w:b/>
          <w:kern w:val="0"/>
          <w:sz w:val="24"/>
          <w:szCs w:val="24"/>
        </w:rPr>
      </w:pPr>
      <w:bookmarkStart w:id="49" w:name="_Hlt81024033"/>
      <w:bookmarkEnd w:id="49"/>
      <w:bookmarkStart w:id="50" w:name="_Hlt90458725"/>
      <w:bookmarkEnd w:id="50"/>
      <w:bookmarkStart w:id="51" w:name="_Hlt91144389"/>
      <w:bookmarkEnd w:id="51"/>
      <w:r>
        <w:rPr>
          <w:rFonts w:hAnsi="宋体"/>
          <w:b/>
          <w:kern w:val="0"/>
          <w:sz w:val="24"/>
          <w:szCs w:val="24"/>
        </w:rPr>
        <w:t>（七）申购和赎回的数额和价格</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1、申购和赎回数额、余额的处理方式</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w:t>
      </w:r>
      <w:r>
        <w:rPr>
          <w:sz w:val="24"/>
        </w:rPr>
        <w:t>A</w:t>
      </w:r>
      <w:r>
        <w:rPr>
          <w:rFonts w:hAnsi="宋体"/>
          <w:sz w:val="24"/>
        </w:rPr>
        <w:t>类基金份额</w:t>
      </w:r>
      <w:r>
        <w:rPr>
          <w:rFonts w:hint="eastAsia" w:hAnsi="宋体"/>
          <w:sz w:val="24"/>
        </w:rPr>
        <w:t>或C类基金份额</w:t>
      </w:r>
      <w:r>
        <w:rPr>
          <w:rFonts w:hAnsi="宋体"/>
          <w:kern w:val="0"/>
          <w:sz w:val="24"/>
          <w:szCs w:val="24"/>
        </w:rPr>
        <w:t>的有效份额为净申购金额除以当日</w:t>
      </w:r>
      <w:r>
        <w:rPr>
          <w:rFonts w:hint="eastAsia"/>
          <w:bCs/>
          <w:sz w:val="24"/>
        </w:rPr>
        <w:t>该类基金份额</w:t>
      </w:r>
      <w:r>
        <w:rPr>
          <w:rFonts w:hAnsi="宋体"/>
          <w:kern w:val="0"/>
          <w:sz w:val="24"/>
          <w:szCs w:val="24"/>
        </w:rPr>
        <w:t>的基金份额净值，有效份额单位为份，</w:t>
      </w:r>
      <w:r>
        <w:rPr>
          <w:rFonts w:hint="eastAsia" w:hAnsi="宋体"/>
          <w:kern w:val="0"/>
          <w:sz w:val="24"/>
          <w:szCs w:val="24"/>
        </w:rPr>
        <w:t>申购份额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（2）赎回金额为按实际确认的</w:t>
      </w:r>
      <w:r>
        <w:rPr>
          <w:rFonts w:hint="eastAsia" w:hAnsi="宋体"/>
          <w:kern w:val="0"/>
          <w:sz w:val="24"/>
          <w:szCs w:val="24"/>
        </w:rPr>
        <w:t>A类基金份额或C类基金份额的</w:t>
      </w:r>
      <w:r>
        <w:rPr>
          <w:rFonts w:hAnsi="宋体"/>
          <w:kern w:val="0"/>
          <w:sz w:val="24"/>
          <w:szCs w:val="24"/>
        </w:rPr>
        <w:t>有效赎回份额乘以当日</w:t>
      </w:r>
      <w:r>
        <w:rPr>
          <w:rFonts w:hint="eastAsia"/>
          <w:bCs/>
          <w:sz w:val="24"/>
        </w:rPr>
        <w:t>该类</w:t>
      </w:r>
      <w:r>
        <w:rPr>
          <w:rFonts w:hAnsi="宋体"/>
          <w:kern w:val="0"/>
          <w:sz w:val="24"/>
          <w:szCs w:val="24"/>
        </w:rPr>
        <w:t>基金份额</w:t>
      </w:r>
      <w:r>
        <w:rPr>
          <w:rFonts w:hint="eastAsia"/>
          <w:bCs/>
          <w:sz w:val="24"/>
        </w:rPr>
        <w:t>的</w:t>
      </w:r>
      <w:r>
        <w:rPr>
          <w:rFonts w:hAnsi="宋体"/>
          <w:kern w:val="0"/>
          <w:sz w:val="24"/>
          <w:szCs w:val="24"/>
        </w:rPr>
        <w:t>基金份额净值并扣除</w:t>
      </w:r>
      <w:r>
        <w:rPr>
          <w:rFonts w:hint="eastAsia" w:hAnsi="宋体"/>
          <w:kern w:val="0"/>
          <w:sz w:val="24"/>
          <w:szCs w:val="24"/>
        </w:rPr>
        <w:t>或加上</w:t>
      </w:r>
      <w:r>
        <w:rPr>
          <w:rFonts w:hAnsi="宋体"/>
          <w:kern w:val="0"/>
          <w:sz w:val="24"/>
          <w:szCs w:val="24"/>
        </w:rPr>
        <w:t>相应的费用（如有），赎回金额单位为元。</w:t>
      </w:r>
      <w:r>
        <w:rPr>
          <w:rFonts w:hint="eastAsia" w:hAnsi="宋体"/>
          <w:kern w:val="0"/>
          <w:sz w:val="24"/>
          <w:szCs w:val="24"/>
        </w:rPr>
        <w:t>赎回金额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2、申购份额的计算</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本基金采用金额申购的方式。</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A类基金份额的申购</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净申购金额=申购总金额/（1+申购费率）</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w:t>
      </w:r>
      <w:r>
        <w:rPr>
          <w:rFonts w:hint="eastAsia" w:ascii="宋体" w:hAnsi="宋体" w:cs="宋体"/>
          <w:kern w:val="0"/>
          <w:sz w:val="24"/>
          <w:szCs w:val="24"/>
        </w:rPr>
        <w:t>①</w:t>
      </w:r>
      <w:r>
        <w:rPr>
          <w:rFonts w:hint="eastAsia" w:hAnsi="宋体"/>
          <w:kern w:val="0"/>
          <w:sz w:val="24"/>
          <w:szCs w:val="24"/>
        </w:rPr>
        <w:t>对于适用固定金额申购费用的申购，净申购金额＝申购总金额－固定申购费用金额；</w:t>
      </w:r>
      <w:r>
        <w:rPr>
          <w:rFonts w:hint="eastAsia" w:ascii="宋体" w:hAnsi="宋体" w:cs="宋体"/>
          <w:kern w:val="0"/>
          <w:sz w:val="24"/>
          <w:szCs w:val="24"/>
        </w:rPr>
        <w:t>②对于通过直销机构申购A类基金份额的，申购费率均为0</w:t>
      </w:r>
      <w:r>
        <w:rPr>
          <w:rFonts w:hint="eastAsia" w:hAnsi="宋体"/>
          <w:kern w:val="0"/>
          <w:sz w:val="24"/>
          <w:szCs w:val="24"/>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申购费用=申购总金额-净申购金额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（注：对于适用固定金额申购费用的申购，申购费用＝固定申购费用金额）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w:t>
      </w:r>
      <w:r>
        <w:rPr>
          <w:rFonts w:hint="eastAsia" w:ascii="宋体" w:hAnsi="宋体"/>
          <w:sz w:val="24"/>
        </w:rPr>
        <w:t>净申购金额</w:t>
      </w:r>
      <w:r>
        <w:rPr>
          <w:rFonts w:hint="eastAsia" w:hAnsi="宋体"/>
          <w:kern w:val="0"/>
          <w:sz w:val="24"/>
          <w:szCs w:val="24"/>
        </w:rPr>
        <w:t>/T日A类基金份额净值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例四：某投资者通过直销机构投资40,000.00元申购本基金A类基金份额，假设申购当日A类基金份额净值为1.0400元，申购费率为0，则其可得到的A类基金份额为：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净申购金额=40,000.00/（1+0）=40,000.00元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申购费用=40,000.00-40,000.00=0.00元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申购份额=40,000.00/1.0400=38,461.54份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即：该投资者通过直销机构投资40,000.00元申购本基金A类基金份额，假设申购当日A类基金份额净值为1.0400元，则其可得到38,461.54份A类基金份额。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例五：某投资者通过其他销售机构投资</w:t>
      </w:r>
      <w:r>
        <w:rPr>
          <w:rFonts w:hAnsi="宋体"/>
          <w:kern w:val="0"/>
          <w:sz w:val="24"/>
          <w:szCs w:val="24"/>
        </w:rPr>
        <w:t>40,000</w:t>
      </w:r>
      <w:r>
        <w:rPr>
          <w:rFonts w:hint="eastAsia" w:hAnsi="宋体"/>
          <w:sz w:val="24"/>
          <w:szCs w:val="24"/>
        </w:rPr>
        <w:t>.00</w:t>
      </w:r>
      <w:r>
        <w:rPr>
          <w:rFonts w:hint="eastAsia" w:hAnsi="宋体"/>
          <w:kern w:val="0"/>
          <w:sz w:val="24"/>
          <w:szCs w:val="24"/>
        </w:rPr>
        <w:t>元申购本基金A类基金份额，假设申购当日A类基金份额净值为1.04</w:t>
      </w:r>
      <w:r>
        <w:rPr>
          <w:rFonts w:hAnsi="宋体"/>
          <w:kern w:val="0"/>
          <w:sz w:val="24"/>
          <w:szCs w:val="24"/>
        </w:rPr>
        <w:t>0</w:t>
      </w:r>
      <w:r>
        <w:rPr>
          <w:rFonts w:hint="eastAsia" w:hAnsi="宋体"/>
          <w:kern w:val="0"/>
          <w:sz w:val="24"/>
          <w:szCs w:val="24"/>
        </w:rPr>
        <w:t>0元，申购费率为0.8%，则其可得到的申购份额为：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w:t>
      </w:r>
      <w:bookmarkStart w:id="52" w:name="OLE_LINK2"/>
      <w:r>
        <w:rPr>
          <w:rFonts w:hint="eastAsia" w:hAnsi="宋体"/>
          <w:kern w:val="0"/>
          <w:sz w:val="24"/>
          <w:szCs w:val="24"/>
        </w:rPr>
        <w:t>40,000.00/（1+0.8%）</w:t>
      </w:r>
      <w:bookmarkEnd w:id="52"/>
      <w:r>
        <w:rPr>
          <w:rFonts w:hint="eastAsia" w:hAnsi="宋体"/>
          <w:kern w:val="0"/>
          <w:sz w:val="24"/>
          <w:szCs w:val="24"/>
        </w:rPr>
        <w:t>=39,682.54元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w:t>
      </w:r>
      <w:bookmarkStart w:id="53" w:name="OLE_LINK3"/>
      <w:r>
        <w:rPr>
          <w:rFonts w:hint="eastAsia" w:hAnsi="宋体"/>
          <w:kern w:val="0"/>
          <w:sz w:val="24"/>
          <w:szCs w:val="24"/>
        </w:rPr>
        <w:t>40,000.00-39,682.54</w:t>
      </w:r>
      <w:bookmarkEnd w:id="53"/>
      <w:r>
        <w:rPr>
          <w:rFonts w:hint="eastAsia" w:hAnsi="宋体"/>
          <w:kern w:val="0"/>
          <w:sz w:val="24"/>
          <w:szCs w:val="24"/>
        </w:rPr>
        <w:t>=317.46元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w:t>
      </w:r>
      <w:bookmarkStart w:id="54" w:name="OLE_LINK4"/>
      <w:r>
        <w:rPr>
          <w:rFonts w:hint="eastAsia" w:hAnsi="宋体"/>
          <w:kern w:val="0"/>
          <w:sz w:val="24"/>
          <w:szCs w:val="24"/>
        </w:rPr>
        <w:t>39,682.54/1.0400</w:t>
      </w:r>
      <w:bookmarkEnd w:id="54"/>
      <w:r>
        <w:rPr>
          <w:rFonts w:hint="eastAsia" w:hAnsi="宋体"/>
          <w:kern w:val="0"/>
          <w:sz w:val="24"/>
          <w:szCs w:val="24"/>
        </w:rPr>
        <w:t>=38,156.29份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即：该投资者通过其他销售机构投资</w:t>
      </w:r>
      <w:r>
        <w:rPr>
          <w:rFonts w:hAnsi="宋体"/>
          <w:kern w:val="0"/>
          <w:sz w:val="24"/>
          <w:szCs w:val="24"/>
        </w:rPr>
        <w:t>40,000</w:t>
      </w:r>
      <w:r>
        <w:rPr>
          <w:rFonts w:hint="eastAsia" w:hAnsi="宋体"/>
          <w:sz w:val="24"/>
          <w:szCs w:val="24"/>
        </w:rPr>
        <w:t>.00</w:t>
      </w:r>
      <w:r>
        <w:rPr>
          <w:rFonts w:hint="eastAsia" w:hAnsi="宋体"/>
          <w:kern w:val="0"/>
          <w:sz w:val="24"/>
          <w:szCs w:val="24"/>
        </w:rPr>
        <w:t>元申购本基金A类基金份额，假设申购当日A类基金份额净值为1.0400元，则其可得到38,156.29份A类基金份额。</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C类基金份额的申购</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 xml:space="preserve">如果投资者选择申购C类基金份额，则申购份额的计算方法如下： </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 xml:space="preserve">申购份额=申购总金额/T日C类基金份额净值 </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例六：某投资者投资100,000</w:t>
      </w:r>
      <w:r>
        <w:rPr>
          <w:rFonts w:hint="eastAsia" w:hAnsi="宋体"/>
          <w:sz w:val="24"/>
          <w:szCs w:val="24"/>
        </w:rPr>
        <w:t>.00</w:t>
      </w:r>
      <w:r>
        <w:rPr>
          <w:rFonts w:hint="eastAsia" w:hAnsi="宋体"/>
          <w:kern w:val="0"/>
          <w:sz w:val="24"/>
          <w:szCs w:val="24"/>
        </w:rPr>
        <w:t>元申购本基金的C类基金份额，假设申购当日C类基金份额净值为1.0400元，则其可得到的申购份额为：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申购总金额=100,000.00元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申购份额＝100,000.00/1.0400＝96,153.85份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即：该投资者投资100,000</w:t>
      </w:r>
      <w:r>
        <w:rPr>
          <w:rFonts w:hint="eastAsia" w:hAnsi="宋体"/>
          <w:sz w:val="24"/>
          <w:szCs w:val="24"/>
        </w:rPr>
        <w:t>.00</w:t>
      </w:r>
      <w:r>
        <w:rPr>
          <w:rFonts w:hint="eastAsia" w:hAnsi="宋体"/>
          <w:kern w:val="0"/>
          <w:sz w:val="24"/>
          <w:szCs w:val="24"/>
        </w:rPr>
        <w:t>元申购本基金的C类基金份额，假设申购当日C类基金份额净值为1.0400元，则其可得到96,153.85份C类基金份额。</w:t>
      </w:r>
    </w:p>
    <w:p>
      <w:pPr>
        <w:widowControl/>
        <w:adjustRightInd w:val="0"/>
        <w:snapToGrid w:val="0"/>
        <w:spacing w:line="360" w:lineRule="auto"/>
        <w:ind w:firstLine="480" w:firstLineChars="200"/>
        <w:rPr>
          <w:rFonts w:hAnsi="宋体"/>
          <w:kern w:val="0"/>
          <w:sz w:val="24"/>
          <w:szCs w:val="24"/>
        </w:rPr>
      </w:pPr>
      <w:r>
        <w:rPr>
          <w:rFonts w:hAnsi="宋体"/>
          <w:sz w:val="24"/>
          <w:szCs w:val="24"/>
        </w:rPr>
        <w:t>3、</w:t>
      </w:r>
      <w:r>
        <w:rPr>
          <w:rFonts w:hint="eastAsia" w:hAnsi="宋体"/>
          <w:kern w:val="0"/>
          <w:sz w:val="24"/>
          <w:szCs w:val="24"/>
        </w:rPr>
        <w:t>赎回金额的计算</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本基金采用“份额赎回”的方式。</w:t>
      </w:r>
    </w:p>
    <w:p>
      <w:pPr>
        <w:widowControl/>
        <w:adjustRightInd w:val="0"/>
        <w:snapToGrid w:val="0"/>
        <w:spacing w:line="360" w:lineRule="auto"/>
        <w:ind w:firstLine="480" w:firstLineChars="200"/>
        <w:rPr>
          <w:rFonts w:hAnsi="宋体"/>
          <w:sz w:val="24"/>
          <w:szCs w:val="24"/>
        </w:rPr>
      </w:pPr>
      <w:r>
        <w:rPr>
          <w:rFonts w:hint="eastAsia" w:hAnsi="宋体"/>
          <w:sz w:val="24"/>
          <w:szCs w:val="24"/>
        </w:rPr>
        <w:t>如果投资者赎回基金份额，则赎回金额的计算方法如下：</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赎回费用=赎回份额×T日该类基金份额净值×赎回费率</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赎回金额=赎回份额×T日该类基金份额净值-赎回费用+该笔赎回确认应返还投资者的销售服务费（如有）</w:t>
      </w:r>
    </w:p>
    <w:p>
      <w:pPr>
        <w:widowControl/>
        <w:adjustRightInd w:val="0"/>
        <w:snapToGrid w:val="0"/>
        <w:spacing w:line="360" w:lineRule="auto"/>
        <w:ind w:firstLine="480" w:firstLineChars="200"/>
        <w:rPr>
          <w:rFonts w:hAnsi="宋体"/>
          <w:sz w:val="24"/>
          <w:szCs w:val="24"/>
        </w:rPr>
      </w:pPr>
      <w:r>
        <w:rPr>
          <w:rFonts w:hint="eastAsia" w:hAnsi="宋体"/>
          <w:sz w:val="24"/>
          <w:szCs w:val="24"/>
        </w:rPr>
        <w:t>对于投资者通过直销机构认购/申购的C类基金份额所计提的销售服务费，或者通过其他销售机构认购/申购的C类基金份额持续持有超过一年后所计提的销售服务费，都将在投资者赎回相应基金份额时随赎回款一并返还给投资者。</w:t>
      </w:r>
    </w:p>
    <w:p>
      <w:pPr>
        <w:widowControl/>
        <w:adjustRightInd w:val="0"/>
        <w:snapToGrid w:val="0"/>
        <w:spacing w:line="360" w:lineRule="auto"/>
        <w:ind w:firstLine="480" w:firstLineChars="200"/>
        <w:rPr>
          <w:rFonts w:hAnsi="宋体"/>
          <w:sz w:val="24"/>
          <w:szCs w:val="24"/>
        </w:rPr>
      </w:pPr>
      <w:r>
        <w:rPr>
          <w:rFonts w:hint="eastAsia" w:hAnsi="宋体"/>
          <w:sz w:val="24"/>
          <w:szCs w:val="24"/>
        </w:rPr>
        <w:t>例七：某投资者赎回持有的10,000.00份A类基金份额，持有期限为30日，对应的赎回费率为0.5%，假设赎回当日A类基金份额净值是1.0160元，则其可得到的赎回金额为：</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赎回费用=10,000.00×1.0160×0.5%＝50.80元</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赎回金额=10,000.00×1.0160-50.80＝10,109.20元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即：该投资者赎回本基金10,000</w:t>
      </w:r>
      <w:r>
        <w:rPr>
          <w:rFonts w:hAnsi="宋体"/>
          <w:sz w:val="24"/>
          <w:szCs w:val="24"/>
        </w:rPr>
        <w:t>.00</w:t>
      </w:r>
      <w:r>
        <w:rPr>
          <w:rFonts w:hint="eastAsia" w:hAnsi="宋体"/>
          <w:sz w:val="24"/>
          <w:szCs w:val="24"/>
        </w:rPr>
        <w:t>份A类基金份额，持有期限为30日，对应的赎回费率为0.5%，假设赎回当日A类基金份额净值是1.0160元，则其可得到的赎回金额为10,109.20元。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例八：某投资者赎回持有的10,000.00份C类基金份额（通过直销机构认购/申购获得），持有期限为30日，对应的赎回费率为0.5%，假设赎回当日C类基金份额净值是1.0160元，且假设该笔赎回确认应返还的销售服务费为5.00元（即通过直销机构认购/申购的C类基金份额所计提的销售服务费，在投资者赎回相应基金份额时随赎回款一并返还），则其可得到的赎回金额为：</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赎回费用=10,000.00×1.0160×0.5%＝50.80元</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赎回金额=10,000.00×1.0160-50.80+5.00＝10,114.20元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即：该投资者赎回本基金10,000.00份C类基金份额（通过直销机构认购/申购获得），持有期限为30日，对应的赎回费率为0.5%，假设赎回当日C类基金份额净值是1.0160元，且假设该笔赎回确认应返还的销售服务费为5.00元，则其可得到的赎回金额为10,114.20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例九：某投资者赎回持有的10,000.00份C类基金份额（通过其他销售机构认购/申购获得），持有期限为450日，</w:t>
      </w:r>
      <w:bookmarkStart w:id="55" w:name="_Hlk218934777"/>
      <w:r>
        <w:rPr>
          <w:rFonts w:hint="eastAsia" w:hAnsi="宋体"/>
          <w:sz w:val="24"/>
          <w:szCs w:val="24"/>
        </w:rPr>
        <w:t>对应的赎回费率为0，</w:t>
      </w:r>
      <w:bookmarkEnd w:id="55"/>
      <w:r>
        <w:rPr>
          <w:rFonts w:hint="eastAsia" w:hAnsi="宋体"/>
          <w:sz w:val="24"/>
          <w:szCs w:val="24"/>
        </w:rPr>
        <w:t>假设赎回当日C类基金份额净值是1.0160元，且假设该笔赎回确认应返还的销售服务费为10.00元（即通过其他销售机构认购/申购的C类基金份额持续持有超过一年后所计提的销售服务费，在投资者赎回相应基金份额时随赎回款一并返还），则其可得到的赎回金额为：</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赎回费用=10,000.00×1.0160×0＝0.00元</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赎回金额=10,000.00×1.0160-0.00+10.00＝10,170.00元</w:t>
      </w:r>
    </w:p>
    <w:p>
      <w:pPr>
        <w:widowControl/>
        <w:adjustRightInd w:val="0"/>
        <w:snapToGrid w:val="0"/>
        <w:spacing w:line="360" w:lineRule="auto"/>
        <w:ind w:firstLine="480" w:firstLineChars="200"/>
        <w:rPr>
          <w:rFonts w:hAnsi="宋体"/>
          <w:kern w:val="0"/>
          <w:sz w:val="24"/>
          <w:szCs w:val="24"/>
        </w:rPr>
      </w:pPr>
      <w:r>
        <w:rPr>
          <w:rFonts w:hint="eastAsia" w:hAnsi="宋体"/>
          <w:sz w:val="24"/>
          <w:szCs w:val="24"/>
        </w:rPr>
        <w:t>即：该投资者赎回本基金10,000.00份C类基金份额（通过其他销售机构认购/申购获得），持有期限为450日，对应的赎回费率为0，假设赎回当日C类基金份额净值是1.0160元，且假设该笔赎回确认应返还的销售服务费为10.00元，则其可得到的赎回金额为10,170.00元。</w:t>
      </w:r>
    </w:p>
    <w:p>
      <w:pPr>
        <w:widowControl/>
        <w:adjustRightInd w:val="0"/>
        <w:snapToGrid w:val="0"/>
        <w:spacing w:line="360" w:lineRule="auto"/>
        <w:ind w:firstLine="480" w:firstLineChars="200"/>
        <w:outlineLvl w:val="2"/>
        <w:rPr>
          <w:kern w:val="0"/>
          <w:sz w:val="24"/>
          <w:szCs w:val="24"/>
        </w:rPr>
      </w:pPr>
      <w:r>
        <w:rPr>
          <w:kern w:val="0"/>
          <w:sz w:val="24"/>
          <w:szCs w:val="24"/>
        </w:rPr>
        <w:t>4</w:t>
      </w:r>
      <w:r>
        <w:rPr>
          <w:rFonts w:hAnsi="宋体"/>
          <w:kern w:val="0"/>
          <w:sz w:val="24"/>
          <w:szCs w:val="24"/>
        </w:rPr>
        <w:t>、基金份额净值的计算公式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A类基金份额净值＝A类基金份额的基金资产净值总额/发行在外的A类基金份额总数</w:t>
      </w:r>
    </w:p>
    <w:p>
      <w:pPr>
        <w:widowControl/>
        <w:adjustRightInd w:val="0"/>
        <w:snapToGrid w:val="0"/>
        <w:spacing w:line="360" w:lineRule="auto"/>
        <w:ind w:firstLine="480" w:firstLineChars="200"/>
        <w:rPr>
          <w:kern w:val="0"/>
          <w:sz w:val="24"/>
          <w:szCs w:val="24"/>
        </w:rPr>
      </w:pPr>
      <w:r>
        <w:rPr>
          <w:rFonts w:hint="eastAsia" w:hAnsi="宋体"/>
          <w:kern w:val="0"/>
          <w:sz w:val="24"/>
          <w:szCs w:val="24"/>
        </w:rPr>
        <w:t>C类基金份额净值＝C类基金份额的基金资产净值总额/发行在外的C类基金份额总数</w:t>
      </w:r>
    </w:p>
    <w:p>
      <w:pPr>
        <w:widowControl/>
        <w:adjustRightInd w:val="0"/>
        <w:snapToGrid w:val="0"/>
        <w:spacing w:line="360" w:lineRule="auto"/>
        <w:ind w:firstLine="480" w:firstLineChars="200"/>
        <w:rPr>
          <w:kern w:val="0"/>
          <w:sz w:val="24"/>
          <w:szCs w:val="24"/>
        </w:rPr>
      </w:pPr>
      <w:r>
        <w:rPr>
          <w:rFonts w:hAnsi="宋体"/>
          <w:kern w:val="0"/>
          <w:sz w:val="24"/>
          <w:szCs w:val="24"/>
        </w:rPr>
        <w:t>本基金</w:t>
      </w:r>
      <w:r>
        <w:rPr>
          <w:kern w:val="0"/>
          <w:sz w:val="24"/>
          <w:szCs w:val="24"/>
        </w:rPr>
        <w:t>T</w:t>
      </w:r>
      <w:r>
        <w:rPr>
          <w:rFonts w:hAnsi="宋体"/>
          <w:kern w:val="0"/>
          <w:sz w:val="24"/>
          <w:szCs w:val="24"/>
        </w:rPr>
        <w:t>日的基金份额净值在</w:t>
      </w:r>
      <w:r>
        <w:rPr>
          <w:rFonts w:hint="eastAsia" w:hAnsi="宋体"/>
          <w:kern w:val="0"/>
          <w:sz w:val="24"/>
          <w:szCs w:val="24"/>
        </w:rPr>
        <w:t>T+1日内</w:t>
      </w:r>
      <w:r>
        <w:rPr>
          <w:rFonts w:hAnsi="宋体"/>
          <w:kern w:val="0"/>
          <w:sz w:val="24"/>
          <w:szCs w:val="24"/>
        </w:rPr>
        <w:t>计算，并在</w:t>
      </w:r>
      <w:r>
        <w:rPr>
          <w:kern w:val="0"/>
          <w:sz w:val="24"/>
          <w:szCs w:val="24"/>
        </w:rPr>
        <w:t>T</w:t>
      </w:r>
      <w:r>
        <w:rPr>
          <w:rFonts w:hAnsi="宋体"/>
          <w:kern w:val="0"/>
          <w:sz w:val="24"/>
          <w:szCs w:val="24"/>
        </w:rPr>
        <w:t>＋</w:t>
      </w:r>
      <w:r>
        <w:rPr>
          <w:rFonts w:hint="eastAsia"/>
          <w:kern w:val="0"/>
          <w:sz w:val="24"/>
          <w:szCs w:val="24"/>
        </w:rPr>
        <w:t>2</w:t>
      </w:r>
      <w:r>
        <w:rPr>
          <w:rFonts w:hAnsi="宋体"/>
          <w:kern w:val="0"/>
          <w:sz w:val="24"/>
          <w:szCs w:val="24"/>
        </w:rPr>
        <w:t>日</w:t>
      </w:r>
      <w:r>
        <w:rPr>
          <w:rFonts w:hint="eastAsia" w:hAnsi="宋体"/>
          <w:kern w:val="0"/>
          <w:sz w:val="24"/>
          <w:szCs w:val="24"/>
        </w:rPr>
        <w:t>（包括该日）内</w:t>
      </w:r>
      <w:r>
        <w:rPr>
          <w:rFonts w:hAnsi="宋体"/>
          <w:kern w:val="0"/>
          <w:sz w:val="24"/>
          <w:szCs w:val="24"/>
        </w:rPr>
        <w:t>公告。遇特殊情况，经</w:t>
      </w:r>
      <w:r>
        <w:rPr>
          <w:rFonts w:hint="eastAsia" w:hAnsi="宋体"/>
          <w:kern w:val="0"/>
          <w:sz w:val="24"/>
          <w:szCs w:val="24"/>
        </w:rPr>
        <w:t>履行适当程序</w:t>
      </w:r>
      <w:r>
        <w:rPr>
          <w:rFonts w:hAnsi="宋体"/>
          <w:kern w:val="0"/>
          <w:sz w:val="24"/>
          <w:szCs w:val="24"/>
        </w:rPr>
        <w:t>，可以适当延迟计算或公告。</w:t>
      </w:r>
      <w:r>
        <w:rPr>
          <w:rFonts w:hAnsi="宋体"/>
          <w:sz w:val="24"/>
          <w:szCs w:val="24"/>
        </w:rPr>
        <w:t>本基金</w:t>
      </w:r>
      <w:r>
        <w:rPr>
          <w:rFonts w:hint="eastAsia" w:hAnsi="宋体"/>
          <w:sz w:val="24"/>
          <w:szCs w:val="24"/>
        </w:rPr>
        <w:t>A类基金份额和C类基金份额的基金</w:t>
      </w:r>
      <w:r>
        <w:rPr>
          <w:rFonts w:hAnsi="宋体"/>
          <w:sz w:val="24"/>
          <w:szCs w:val="24"/>
        </w:rPr>
        <w:t>份额净值的计算，</w:t>
      </w:r>
      <w:r>
        <w:rPr>
          <w:rFonts w:hint="eastAsia" w:hAnsi="宋体"/>
          <w:sz w:val="24"/>
          <w:szCs w:val="24"/>
        </w:rPr>
        <w:t>均</w:t>
      </w:r>
      <w:r>
        <w:rPr>
          <w:rFonts w:hAnsi="宋体"/>
          <w:sz w:val="24"/>
          <w:szCs w:val="24"/>
        </w:rPr>
        <w:t>保留到小数点后</w:t>
      </w:r>
      <w:r>
        <w:rPr>
          <w:sz w:val="24"/>
          <w:szCs w:val="24"/>
        </w:rPr>
        <w:t>4</w:t>
      </w:r>
      <w:r>
        <w:rPr>
          <w:rFonts w:hAnsi="宋体"/>
          <w:sz w:val="24"/>
          <w:szCs w:val="24"/>
        </w:rPr>
        <w:t>位，小数点后第</w:t>
      </w:r>
      <w:r>
        <w:rPr>
          <w:sz w:val="24"/>
          <w:szCs w:val="24"/>
        </w:rPr>
        <w:t>5</w:t>
      </w:r>
      <w:r>
        <w:rPr>
          <w:rFonts w:hAnsi="宋体"/>
          <w:sz w:val="24"/>
          <w:szCs w:val="24"/>
        </w:rPr>
        <w:t>位四舍五入，由此产生的收益或损失由基金财产承担。</w:t>
      </w:r>
    </w:p>
    <w:p>
      <w:pPr>
        <w:adjustRightInd w:val="0"/>
        <w:snapToGrid w:val="0"/>
        <w:spacing w:line="360" w:lineRule="auto"/>
        <w:ind w:firstLine="482" w:firstLineChars="200"/>
        <w:outlineLvl w:val="1"/>
        <w:rPr>
          <w:rFonts w:hAnsi="宋体"/>
          <w:kern w:val="0"/>
          <w:sz w:val="24"/>
          <w:szCs w:val="24"/>
        </w:rPr>
      </w:pPr>
      <w:bookmarkStart w:id="56" w:name="_Toc79392615"/>
      <w:r>
        <w:rPr>
          <w:rFonts w:hAnsi="宋体"/>
          <w:b/>
          <w:kern w:val="0"/>
          <w:sz w:val="24"/>
          <w:szCs w:val="24"/>
        </w:rPr>
        <w:t>（八）拒绝或暂停申购的情形</w:t>
      </w:r>
      <w:bookmarkEnd w:id="56"/>
    </w:p>
    <w:p>
      <w:pPr>
        <w:widowControl/>
        <w:adjustRightInd w:val="0"/>
        <w:snapToGrid w:val="0"/>
        <w:spacing w:line="360" w:lineRule="auto"/>
        <w:ind w:firstLine="480" w:firstLineChars="200"/>
        <w:rPr>
          <w:rFonts w:hAnsi="宋体"/>
          <w:kern w:val="0"/>
          <w:sz w:val="24"/>
          <w:szCs w:val="24"/>
        </w:rPr>
      </w:pPr>
      <w:bookmarkStart w:id="57" w:name="_Hlt70481650"/>
      <w:bookmarkEnd w:id="57"/>
      <w:r>
        <w:rPr>
          <w:rFonts w:hint="eastAsia" w:hAnsi="宋体"/>
          <w:kern w:val="0"/>
          <w:sz w:val="24"/>
          <w:szCs w:val="24"/>
        </w:rPr>
        <w:t>发生下列情况时，基金管理人可拒绝或暂停接受投资人的申购申请：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1、因不可抗力导致基金无法正常运作。</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3、证券、期货交易所或外汇市场交易时间非正常停市或港股通临时停市，导致基金管理人无法计算当日基金资产净值。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4、基金投资所处的主要市场或外汇市场休市时。</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5、本基金投资的主要证券、期货交易市场或外汇市场的公众节假日，并可能影响本基金正常估值时。</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6、接受某笔或某些申购申请可能会影响或损害现有基金份额持有人利益时。</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7、基金资产规模过大，使基金管理人无法找到合适的投资品种，或其他可能对基金业绩产生负面影响，或发生其他损害现有基金份额持有人利益的情形。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8、基金销售机构、基金销售支付结算机构或登记机构的异常情况导致基金销售系统、基金销售支付结算系统、基金注册登记系统或基金会计系统无法正常运行。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9、当前一估值日基金资产净值50%以上的资产出现无可参考的活跃市场价格且采用估值技术仍导致公允价值存在重大不确定性时，经与基金托管人协商确认后，基金管理人应当暂停接受基金申购申请。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10、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11、因外汇额度原因需要控制基金申购规模。</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12、基金管理人接受某笔或者某些申购申请有可能导致单一投资者持有基金份额的比例超过50%，或者变相规避50%集中度的。出现上述情形时，基金管理人有权将上述申购申请全部或部分确认失败。</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13、法律法规规定、中国证监会认定或基金合同约定的其他情形。</w:t>
      </w:r>
    </w:p>
    <w:p>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除第6、12项以外的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（九）暂停赎回或延缓支付赎回款项的情形</w:t>
      </w:r>
    </w:p>
    <w:p>
      <w:pPr>
        <w:widowControl/>
        <w:adjustRightInd w:val="0"/>
        <w:snapToGrid w:val="0"/>
        <w:spacing w:line="360" w:lineRule="auto"/>
        <w:ind w:firstLine="480" w:firstLineChars="200"/>
        <w:rPr>
          <w:rFonts w:hAnsi="宋体"/>
          <w:kern w:val="0"/>
          <w:sz w:val="24"/>
          <w:szCs w:val="24"/>
        </w:rPr>
      </w:pPr>
      <w:bookmarkStart w:id="58" w:name="_Toc79392616"/>
      <w:r>
        <w:rPr>
          <w:rFonts w:hint="eastAsia" w:hAnsi="宋体"/>
          <w:kern w:val="0"/>
          <w:sz w:val="24"/>
          <w:szCs w:val="24"/>
        </w:rPr>
        <w:t>发生下列情形时，基金管理人可暂停接受投资人的赎回申请或延缓支付赎回款项：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1、因不可抗力导致基金管理人不能支付赎回款项。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2、发生基金合同规定的暂停基金资产估值情况时，基金管理人可暂停接受投资人的赎回申请或延缓支付赎回款项。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3、证券、期货交易所或外汇市场交易时间非正常停市或港股通临时停市，导致基金管理人无法计算当日基金资产净值。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4、基金投资所处的主要市场或外汇市场休市时。</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5、本基金投资的主要证券、期货交易市场或外汇市场的公众节假日，并可能影响本基金正常估值时。</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6、连续两个或两个以上开放日发生巨额赎回。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7、发生继续接受赎回申请将损害现有基金份额持有人利益的情形时，基金管理人可暂停接受基金份额持有人的赎回申请。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8、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9、法律法规规定、中国证监会认定或基金合同约定的其他情形。</w:t>
      </w:r>
    </w:p>
    <w:p>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发生上述情形之一且基金管理人决定暂停接受基金份额持有人的赎回申请或延缓支付赎回款项时，基金管理人应</w:t>
      </w:r>
      <w:r>
        <w:rPr>
          <w:rFonts w:hint="eastAsia"/>
          <w:bCs/>
          <w:sz w:val="24"/>
        </w:rPr>
        <w:t>及时</w:t>
      </w:r>
      <w:r>
        <w:rPr>
          <w:rFonts w:hint="eastAsia" w:hAnsi="宋体"/>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6项所述情形，按基金合同的相关条款处理。基金份额持有人在申请赎回时可事先选择将当日可能未获受理部分予以撤销。在暂停赎回的情况消除时，基金管理人应及时恢复赎回业务的办理并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（十）巨额赎回的情形及处理方式</w:t>
      </w:r>
      <w:bookmarkEnd w:id="58"/>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w:t>
      </w:r>
      <w:r>
        <w:rPr>
          <w:rFonts w:hAnsi="宋体"/>
          <w:kern w:val="0"/>
          <w:sz w:val="24"/>
          <w:szCs w:val="24"/>
        </w:rPr>
        <w:t>巨额赎回的认定</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巨额赎回的处理方式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pPr>
        <w:widowControl/>
        <w:adjustRightInd w:val="0"/>
        <w:snapToGrid w:val="0"/>
        <w:spacing w:line="360" w:lineRule="auto"/>
        <w:ind w:firstLine="480" w:firstLineChars="200"/>
        <w:outlineLvl w:val="2"/>
        <w:rPr>
          <w:rFonts w:hAnsi="宋体"/>
          <w:i/>
          <w:kern w:val="0"/>
          <w:sz w:val="24"/>
          <w:u w:val="single"/>
        </w:rPr>
      </w:pPr>
      <w:r>
        <w:rPr>
          <w:rFonts w:hAnsi="宋体"/>
          <w:kern w:val="0"/>
          <w:sz w:val="24"/>
          <w:szCs w:val="24"/>
        </w:rPr>
        <w:t>3</w:t>
      </w:r>
      <w:r>
        <w:rPr>
          <w:rFonts w:hint="eastAsia" w:hAnsi="宋体"/>
          <w:kern w:val="0"/>
          <w:sz w:val="24"/>
          <w:szCs w:val="24"/>
        </w:rPr>
        <w:t>、</w:t>
      </w:r>
      <w:r>
        <w:rPr>
          <w:rFonts w:hAnsi="宋体"/>
          <w:kern w:val="0"/>
          <w:sz w:val="24"/>
          <w:szCs w:val="24"/>
        </w:rPr>
        <w:t>巨额赎回的公告</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当发生上述</w:t>
      </w:r>
      <w:r>
        <w:rPr>
          <w:rFonts w:hint="eastAsia" w:hAnsi="宋体"/>
          <w:bCs/>
          <w:kern w:val="0"/>
          <w:sz w:val="24"/>
          <w:szCs w:val="24"/>
        </w:rPr>
        <w:t>巨额</w:t>
      </w:r>
      <w:r>
        <w:rPr>
          <w:rFonts w:hAnsi="宋体"/>
          <w:kern w:val="0"/>
          <w:sz w:val="24"/>
          <w:szCs w:val="24"/>
        </w:rPr>
        <w:t>赎回并延期办理时，基金管理人应当通过邮寄、传真</w:t>
      </w:r>
      <w:r>
        <w:rPr>
          <w:rFonts w:hint="eastAsia" w:hAnsi="宋体"/>
          <w:kern w:val="0"/>
          <w:sz w:val="24"/>
          <w:szCs w:val="24"/>
        </w:rPr>
        <w:t>、刊登公告或者通知销售机构代为告知等</w:t>
      </w:r>
      <w:r>
        <w:rPr>
          <w:rFonts w:hAnsi="宋体"/>
          <w:kern w:val="0"/>
          <w:sz w:val="24"/>
          <w:szCs w:val="24"/>
        </w:rPr>
        <w:t>方式在</w:t>
      </w:r>
      <w:r>
        <w:rPr>
          <w:rFonts w:hint="eastAsia" w:hAnsi="宋体"/>
          <w:kern w:val="0"/>
          <w:sz w:val="24"/>
          <w:szCs w:val="24"/>
        </w:rPr>
        <w:t>3</w:t>
      </w:r>
      <w:r>
        <w:rPr>
          <w:rFonts w:hAnsi="宋体"/>
          <w:kern w:val="0"/>
          <w:sz w:val="24"/>
          <w:szCs w:val="24"/>
        </w:rPr>
        <w:t>个交易日内通知基金份额持有人，说明有关处理方法，</w:t>
      </w:r>
      <w:r>
        <w:rPr>
          <w:rFonts w:hint="eastAsia"/>
          <w:bCs/>
          <w:sz w:val="24"/>
        </w:rPr>
        <w:t>并在两日内</w:t>
      </w:r>
      <w:r>
        <w:rPr>
          <w:rFonts w:hAnsi="宋体"/>
          <w:kern w:val="0"/>
          <w:sz w:val="24"/>
          <w:szCs w:val="24"/>
        </w:rPr>
        <w:t>在规定媒介上刊登公告。</w:t>
      </w:r>
    </w:p>
    <w:p>
      <w:pPr>
        <w:widowControl/>
        <w:adjustRightInd w:val="0"/>
        <w:snapToGrid w:val="0"/>
        <w:spacing w:line="360" w:lineRule="auto"/>
        <w:ind w:firstLine="482" w:firstLineChars="200"/>
        <w:outlineLvl w:val="1"/>
        <w:rPr>
          <w:b/>
          <w:kern w:val="0"/>
          <w:sz w:val="24"/>
          <w:szCs w:val="24"/>
        </w:rPr>
      </w:pPr>
      <w:bookmarkStart w:id="59" w:name="_Toc79392617"/>
      <w:r>
        <w:rPr>
          <w:rFonts w:hAnsi="宋体"/>
          <w:b/>
          <w:kern w:val="0"/>
          <w:sz w:val="24"/>
          <w:szCs w:val="24"/>
        </w:rPr>
        <w:t>（十一）暂停申购或赎回的公告和重新开放申购或赎回的公告</w:t>
      </w:r>
      <w:bookmarkEnd w:id="59"/>
    </w:p>
    <w:p>
      <w:pPr>
        <w:widowControl/>
        <w:adjustRightInd w:val="0"/>
        <w:snapToGrid w:val="0"/>
        <w:spacing w:line="360" w:lineRule="auto"/>
        <w:ind w:firstLine="480" w:firstLineChars="200"/>
        <w:rPr>
          <w:rFonts w:hAnsi="宋体"/>
          <w:kern w:val="0"/>
          <w:sz w:val="24"/>
          <w:szCs w:val="24"/>
        </w:rPr>
      </w:pPr>
      <w:bookmarkStart w:id="60" w:name="_Toc79392618"/>
      <w:bookmarkStart w:id="61" w:name="_Toc59441259"/>
      <w:bookmarkStart w:id="62" w:name="_Toc15118274"/>
      <w:r>
        <w:rPr>
          <w:rFonts w:hint="eastAsia" w:hAnsi="宋体"/>
          <w:kern w:val="0"/>
          <w:sz w:val="24"/>
          <w:szCs w:val="24"/>
        </w:rPr>
        <w:t>1、发生上述暂停申购或赎回情况的，基金管理人应在规定期限内在规定媒介上刊登暂停公告。</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2、如发生暂停的时间为1日，基金管理人应于重新开放日，在规定媒介上刊登基金重新开放申购或赎回公告，并公布最近1个开放日各类基金份额的基金份额净值。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60"/>
    <w:bookmarkEnd w:id="61"/>
    <w:bookmarkEnd w:id="62"/>
    <w:p>
      <w:pPr>
        <w:widowControl/>
        <w:adjustRightInd w:val="0"/>
        <w:snapToGrid w:val="0"/>
        <w:spacing w:line="360" w:lineRule="auto"/>
        <w:ind w:firstLine="482" w:firstLineChars="200"/>
        <w:outlineLvl w:val="1"/>
        <w:rPr>
          <w:b/>
          <w:kern w:val="0"/>
          <w:sz w:val="24"/>
          <w:szCs w:val="24"/>
        </w:rPr>
      </w:pPr>
      <w:bookmarkStart w:id="63" w:name="_Toc79392621"/>
      <w:r>
        <w:rPr>
          <w:rFonts w:hAnsi="宋体"/>
          <w:b/>
          <w:kern w:val="0"/>
          <w:sz w:val="24"/>
          <w:szCs w:val="24"/>
        </w:rPr>
        <w:t>（十二）基金转换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（十三）基金的非交易过户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int="eastAsia" w:hAnsi="宋体"/>
          <w:kern w:val="0"/>
          <w:sz w:val="24"/>
          <w:szCs w:val="24"/>
        </w:rPr>
        <w:t>非交易过户。无论在上述何种情况下，接受划转的主体必须是依法可以持有本基金基金份额的投资人。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（十四）基金的转托管</w:t>
      </w:r>
      <w:bookmarkEnd w:id="63"/>
    </w:p>
    <w:p>
      <w:pPr>
        <w:widowControl/>
        <w:adjustRightInd w:val="0"/>
        <w:snapToGrid w:val="0"/>
        <w:spacing w:line="360" w:lineRule="auto"/>
        <w:ind w:firstLine="480" w:firstLineChars="200"/>
        <w:rPr>
          <w:rFonts w:hAnsi="宋体"/>
          <w:kern w:val="0"/>
          <w:sz w:val="24"/>
          <w:szCs w:val="24"/>
        </w:rPr>
      </w:pPr>
      <w:bookmarkStart w:id="64" w:name="_Toc79392620"/>
      <w:r>
        <w:rPr>
          <w:rFonts w:hint="eastAsia" w:hAnsi="宋体"/>
          <w:kern w:val="0"/>
          <w:sz w:val="24"/>
          <w:szCs w:val="24"/>
        </w:rPr>
        <w:t>基金份额持有人可办理已持有基金份额在不同销售机构之间的转托管，基金销售机构可以按照规定的标准收取转托管费。</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（十五）定期定额投资计划</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（十六）</w:t>
      </w:r>
      <w:r>
        <w:rPr>
          <w:rFonts w:hAnsi="宋体"/>
          <w:b/>
          <w:sz w:val="24"/>
          <w:szCs w:val="24"/>
        </w:rPr>
        <w:t>基金份额的冻结和解冻</w:t>
      </w:r>
      <w:bookmarkEnd w:id="64"/>
    </w:p>
    <w:p>
      <w:pPr>
        <w:adjustRightInd w:val="0"/>
        <w:snapToGrid w:val="0"/>
        <w:spacing w:line="360" w:lineRule="auto"/>
        <w:ind w:firstLine="480" w:firstLineChars="200"/>
        <w:rPr>
          <w:rFonts w:hAnsi="宋体"/>
          <w:kern w:val="0"/>
          <w:sz w:val="24"/>
          <w:szCs w:val="24"/>
        </w:rPr>
      </w:pPr>
      <w:r>
        <w:rPr>
          <w:rFonts w:hint="eastAsia" w:hAnsi="宋体"/>
          <w:kern w:val="0"/>
          <w:sz w:val="24"/>
          <w:szCs w:val="24"/>
        </w:rPr>
        <w:t>基金登记机构只受理国家有权机关依法要求的基金份额的冻结与解冻，以及登记机构认可、符合法律法规的其他情况下的冻结与解冻。</w:t>
      </w:r>
    </w:p>
    <w:p>
      <w:pPr>
        <w:adjustRightInd w:val="0"/>
        <w:snapToGrid w:val="0"/>
        <w:spacing w:line="360" w:lineRule="auto"/>
        <w:ind w:firstLine="482" w:firstLineChars="200"/>
        <w:outlineLvl w:val="1"/>
        <w:rPr>
          <w:rFonts w:hAnsi="宋体"/>
          <w:b/>
          <w:sz w:val="24"/>
          <w:szCs w:val="24"/>
        </w:rPr>
      </w:pPr>
      <w:bookmarkStart w:id="65" w:name="_Toc66720082"/>
      <w:bookmarkStart w:id="66" w:name="_Toc109059024"/>
      <w:bookmarkStart w:id="67" w:name="_Toc66719557"/>
      <w:r>
        <w:rPr>
          <w:rFonts w:hint="eastAsia" w:hAnsi="宋体"/>
          <w:b/>
          <w:sz w:val="24"/>
          <w:szCs w:val="24"/>
        </w:rPr>
        <w:t>（十七）基金份额的转让</w:t>
      </w:r>
    </w:p>
    <w:p>
      <w:pPr>
        <w:adjustRightInd w:val="0"/>
        <w:snapToGrid w:val="0"/>
        <w:spacing w:line="360" w:lineRule="auto"/>
        <w:ind w:firstLine="480" w:firstLineChars="200"/>
        <w:rPr>
          <w:rFonts w:hAnsi="宋体"/>
          <w:sz w:val="24"/>
          <w:szCs w:val="24"/>
        </w:rPr>
      </w:pPr>
      <w:r>
        <w:rPr>
          <w:rFonts w:hint="eastAsia" w:hAnsi="宋体"/>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adjustRightInd w:val="0"/>
        <w:snapToGrid w:val="0"/>
        <w:spacing w:line="360" w:lineRule="auto"/>
        <w:ind w:firstLine="482" w:firstLineChars="200"/>
        <w:outlineLvl w:val="1"/>
        <w:rPr>
          <w:rFonts w:hAnsi="宋体"/>
          <w:b/>
          <w:kern w:val="0"/>
          <w:sz w:val="24"/>
          <w:szCs w:val="24"/>
        </w:rPr>
      </w:pPr>
      <w:r>
        <w:rPr>
          <w:rFonts w:hAnsi="宋体"/>
          <w:b/>
          <w:kern w:val="0"/>
          <w:sz w:val="24"/>
          <w:szCs w:val="24"/>
        </w:rPr>
        <w:t>（十</w:t>
      </w:r>
      <w:r>
        <w:rPr>
          <w:rFonts w:hint="eastAsia" w:hAnsi="宋体"/>
          <w:b/>
          <w:kern w:val="0"/>
          <w:sz w:val="24"/>
          <w:szCs w:val="24"/>
        </w:rPr>
        <w:t>八</w:t>
      </w:r>
      <w:r>
        <w:rPr>
          <w:rFonts w:hAnsi="宋体"/>
          <w:b/>
          <w:kern w:val="0"/>
          <w:sz w:val="24"/>
          <w:szCs w:val="24"/>
        </w:rPr>
        <w:t>）</w:t>
      </w:r>
      <w:r>
        <w:rPr>
          <w:rFonts w:hint="eastAsia" w:hAnsi="宋体"/>
          <w:b/>
          <w:kern w:val="0"/>
          <w:sz w:val="24"/>
          <w:szCs w:val="24"/>
        </w:rPr>
        <w:t>实施侧袋机制期间本基金的申购与赎回</w:t>
      </w:r>
    </w:p>
    <w:p>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本基金实施侧袋机制的，本基金的申购和赎回安排详见本招募说明书“侧袋机制”部分的规定或相关公告。</w:t>
      </w:r>
    </w:p>
    <w:p>
      <w:pPr>
        <w:adjustRightInd w:val="0"/>
        <w:snapToGrid w:val="0"/>
        <w:spacing w:line="360" w:lineRule="auto"/>
        <w:ind w:firstLine="482" w:firstLineChars="200"/>
        <w:outlineLvl w:val="1"/>
        <w:rPr>
          <w:rFonts w:hAnsi="宋体"/>
          <w:i/>
          <w:kern w:val="0"/>
          <w:sz w:val="24"/>
          <w:u w:val="single"/>
        </w:rPr>
      </w:pPr>
      <w:r>
        <w:rPr>
          <w:rFonts w:hint="eastAsia" w:hAnsi="宋体"/>
          <w:b/>
          <w:kern w:val="0"/>
          <w:sz w:val="24"/>
          <w:szCs w:val="24"/>
        </w:rPr>
        <w:t>（十九</w:t>
      </w:r>
      <w:r>
        <w:rPr>
          <w:rFonts w:hAnsi="宋体"/>
          <w:b/>
          <w:kern w:val="0"/>
          <w:sz w:val="24"/>
          <w:szCs w:val="24"/>
        </w:rPr>
        <w:t>）</w:t>
      </w:r>
      <w:r>
        <w:rPr>
          <w:rFonts w:hint="eastAsia" w:hAnsi="宋体"/>
          <w:b/>
          <w:sz w:val="24"/>
          <w:szCs w:val="24"/>
        </w:rPr>
        <w:t>其他业务</w:t>
      </w:r>
    </w:p>
    <w:p>
      <w:pPr>
        <w:adjustRightInd w:val="0"/>
        <w:snapToGrid w:val="0"/>
        <w:spacing w:line="360" w:lineRule="auto"/>
        <w:ind w:firstLine="480" w:firstLineChars="200"/>
        <w:rPr>
          <w:rFonts w:hint="eastAsia" w:ascii="宋体" w:hAnsi="宋体"/>
          <w:sz w:val="24"/>
        </w:rPr>
      </w:pPr>
      <w:r>
        <w:rPr>
          <w:rFonts w:hint="eastAsia"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bookmarkEnd w:id="47"/>
    </w:p>
    <w:p>
      <w:pPr>
        <w:adjustRightInd/>
        <w:snapToGrid/>
        <w:spacing w:line="240" w:lineRule="auto"/>
        <w:ind w:firstLine="0" w:firstLineChars="0"/>
        <w:rPr>
          <w:rFonts w:hint="eastAsia" w:ascii="宋体" w:hAnsi="宋体"/>
          <w:sz w:val="24"/>
        </w:rPr>
      </w:pPr>
      <w:r>
        <w:rPr>
          <w:rFonts w:hint="eastAsia" w:ascii="宋体" w:hAnsi="宋体"/>
          <w:sz w:val="24"/>
        </w:rPr>
        <w:br w:type="page"/>
      </w:r>
    </w:p>
    <w:p>
      <w:pPr>
        <w:adjustRightInd w:val="0"/>
        <w:snapToGrid w:val="0"/>
        <w:spacing w:line="360" w:lineRule="auto"/>
        <w:jc w:val="center"/>
        <w:outlineLvl w:val="0"/>
        <w:rPr>
          <w:rFonts w:ascii="宋体" w:hAnsi="宋体"/>
          <w:b/>
          <w:kern w:val="0"/>
          <w:sz w:val="30"/>
        </w:rPr>
      </w:pPr>
      <w:bookmarkStart w:id="68" w:name="_Toc30582"/>
      <w:bookmarkStart w:id="69" w:name="_Toc19490"/>
      <w:r>
        <w:rPr>
          <w:rFonts w:hint="eastAsia" w:ascii="宋体" w:hAnsi="宋体"/>
          <w:b/>
          <w:kern w:val="0"/>
          <w:sz w:val="30"/>
          <w:lang w:val="en-US" w:eastAsia="zh-CN"/>
        </w:rPr>
        <w:t>九</w:t>
      </w:r>
      <w:r>
        <w:rPr>
          <w:rFonts w:hint="eastAsia" w:ascii="宋体" w:hAnsi="宋体"/>
          <w:b/>
          <w:kern w:val="0"/>
          <w:sz w:val="30"/>
        </w:rPr>
        <w:t>、基金的费用与税收</w:t>
      </w:r>
      <w:bookmarkEnd w:id="68"/>
      <w:bookmarkEnd w:id="69"/>
    </w:p>
    <w:p>
      <w:pPr>
        <w:adjustRightInd w:val="0"/>
        <w:snapToGrid w:val="0"/>
        <w:spacing w:line="360" w:lineRule="auto"/>
        <w:ind w:firstLine="482" w:firstLineChars="200"/>
        <w:outlineLvl w:val="1"/>
        <w:rPr>
          <w:i/>
          <w:sz w:val="24"/>
          <w:u w:val="single"/>
        </w:rPr>
      </w:pPr>
      <w:r>
        <w:rPr>
          <w:rFonts w:hAnsi="宋体"/>
          <w:b/>
          <w:sz w:val="24"/>
        </w:rPr>
        <w:t>（一）基金费用的种类</w:t>
      </w:r>
    </w:p>
    <w:p>
      <w:pPr>
        <w:adjustRightInd w:val="0"/>
        <w:snapToGrid w:val="0"/>
        <w:spacing w:line="360" w:lineRule="auto"/>
        <w:ind w:firstLine="480" w:firstLineChars="200"/>
        <w:rPr>
          <w:sz w:val="24"/>
        </w:rPr>
      </w:pPr>
      <w:r>
        <w:rPr>
          <w:sz w:val="24"/>
        </w:rPr>
        <w:t>1、基金管理人的管理费；</w:t>
      </w:r>
    </w:p>
    <w:p>
      <w:pPr>
        <w:adjustRightInd w:val="0"/>
        <w:snapToGrid w:val="0"/>
        <w:spacing w:line="360" w:lineRule="auto"/>
        <w:ind w:firstLine="480" w:firstLineChars="200"/>
        <w:rPr>
          <w:sz w:val="24"/>
        </w:rPr>
      </w:pPr>
      <w:r>
        <w:rPr>
          <w:rFonts w:hint="eastAsia"/>
          <w:sz w:val="24"/>
        </w:rPr>
        <w:t>2、基金托管人的托管费（含境外托管人的托管费）；</w:t>
      </w:r>
    </w:p>
    <w:p>
      <w:pPr>
        <w:adjustRightInd w:val="0"/>
        <w:snapToGrid w:val="0"/>
        <w:spacing w:line="360" w:lineRule="auto"/>
        <w:ind w:firstLine="480" w:firstLineChars="200"/>
        <w:rPr>
          <w:sz w:val="24"/>
        </w:rPr>
      </w:pPr>
      <w:r>
        <w:rPr>
          <w:rFonts w:hint="eastAsia"/>
          <w:sz w:val="24"/>
        </w:rPr>
        <w:t>3、《基金合同》生效后与基金相关的信息披露费用；</w:t>
      </w:r>
    </w:p>
    <w:p>
      <w:pPr>
        <w:adjustRightInd w:val="0"/>
        <w:snapToGrid w:val="0"/>
        <w:spacing w:line="360" w:lineRule="auto"/>
        <w:ind w:firstLine="480" w:firstLineChars="200"/>
        <w:rPr>
          <w:sz w:val="24"/>
        </w:rPr>
      </w:pPr>
      <w:r>
        <w:rPr>
          <w:rFonts w:hint="eastAsia"/>
          <w:sz w:val="24"/>
        </w:rPr>
        <w:t>4、《基金合同》生效后与基金相关的会计师费、律师费</w:t>
      </w:r>
      <w:r>
        <w:rPr>
          <w:rFonts w:hint="eastAsia"/>
          <w:bCs/>
          <w:sz w:val="24"/>
        </w:rPr>
        <w:t>、仲裁费</w:t>
      </w:r>
      <w:r>
        <w:rPr>
          <w:rFonts w:hint="eastAsia"/>
          <w:sz w:val="24"/>
        </w:rPr>
        <w:t>和诉讼费；</w:t>
      </w:r>
    </w:p>
    <w:p>
      <w:pPr>
        <w:adjustRightInd w:val="0"/>
        <w:snapToGrid w:val="0"/>
        <w:spacing w:line="360" w:lineRule="auto"/>
        <w:ind w:firstLine="480" w:firstLineChars="200"/>
        <w:rPr>
          <w:sz w:val="24"/>
        </w:rPr>
      </w:pPr>
      <w:r>
        <w:rPr>
          <w:rFonts w:hint="eastAsia"/>
          <w:sz w:val="24"/>
        </w:rPr>
        <w:t>5、基金份额持有人大会费用；</w:t>
      </w:r>
    </w:p>
    <w:p>
      <w:pPr>
        <w:adjustRightInd w:val="0"/>
        <w:snapToGrid w:val="0"/>
        <w:spacing w:line="360" w:lineRule="auto"/>
        <w:ind w:firstLine="480" w:firstLineChars="200"/>
        <w:rPr>
          <w:sz w:val="24"/>
        </w:rPr>
      </w:pPr>
      <w:r>
        <w:rPr>
          <w:rFonts w:hint="eastAsia"/>
          <w:sz w:val="24"/>
        </w:rPr>
        <w:t>6、基金的证券/期货交易费用、所投资基金的交易费用和管理费用及在境内外市场的开户、维护、交易、清算、登记等各项费用；</w:t>
      </w:r>
    </w:p>
    <w:p>
      <w:pPr>
        <w:adjustRightInd w:val="0"/>
        <w:snapToGrid w:val="0"/>
        <w:spacing w:line="360" w:lineRule="auto"/>
        <w:ind w:firstLine="480" w:firstLineChars="200"/>
        <w:rPr>
          <w:sz w:val="24"/>
        </w:rPr>
      </w:pPr>
      <w:r>
        <w:rPr>
          <w:rFonts w:hint="eastAsia"/>
          <w:sz w:val="24"/>
        </w:rPr>
        <w:t>7、基金的银行汇划费用和外汇兑换交易的相关费用；</w:t>
      </w:r>
    </w:p>
    <w:p>
      <w:pPr>
        <w:adjustRightInd w:val="0"/>
        <w:snapToGrid w:val="0"/>
        <w:spacing w:line="360" w:lineRule="auto"/>
        <w:ind w:firstLine="480" w:firstLineChars="200"/>
        <w:rPr>
          <w:sz w:val="24"/>
        </w:rPr>
      </w:pPr>
      <w:r>
        <w:rPr>
          <w:rFonts w:hint="eastAsia"/>
          <w:sz w:val="24"/>
        </w:rPr>
        <w:t>8、基金的开户费用、账户维护费用；</w:t>
      </w:r>
    </w:p>
    <w:p>
      <w:pPr>
        <w:adjustRightInd w:val="0"/>
        <w:snapToGrid w:val="0"/>
        <w:spacing w:line="360" w:lineRule="auto"/>
        <w:ind w:firstLine="480" w:firstLineChars="200"/>
        <w:rPr>
          <w:sz w:val="24"/>
        </w:rPr>
      </w:pPr>
      <w:r>
        <w:rPr>
          <w:rFonts w:hint="eastAsia"/>
          <w:sz w:val="24"/>
        </w:rPr>
        <w:t>9、因投资境外股票、港股通标的股票而产生的各项合理费用；</w:t>
      </w:r>
    </w:p>
    <w:p>
      <w:pPr>
        <w:adjustRightInd w:val="0"/>
        <w:snapToGrid w:val="0"/>
        <w:spacing w:line="360" w:lineRule="auto"/>
        <w:ind w:firstLine="480" w:firstLineChars="200"/>
        <w:rPr>
          <w:sz w:val="24"/>
        </w:rPr>
      </w:pPr>
      <w:r>
        <w:rPr>
          <w:sz w:val="24"/>
        </w:rPr>
        <w:t>10</w:t>
      </w:r>
      <w:r>
        <w:rPr>
          <w:rFonts w:hint="eastAsia"/>
          <w:sz w:val="24"/>
        </w:rPr>
        <w:t>、本基金从C类基金份额的基金财产中计提的销售服务费；</w:t>
      </w:r>
    </w:p>
    <w:p>
      <w:pPr>
        <w:adjustRightInd w:val="0"/>
        <w:snapToGrid w:val="0"/>
        <w:spacing w:line="360" w:lineRule="auto"/>
        <w:ind w:firstLine="480" w:firstLineChars="200"/>
        <w:rPr>
          <w:sz w:val="24"/>
        </w:rPr>
      </w:pPr>
      <w:r>
        <w:rPr>
          <w:rFonts w:hint="eastAsia"/>
          <w:sz w:val="24"/>
        </w:rPr>
        <w:t>11、基金依照有关法律法规应当缴纳的，购买或处置证券有关的任何税收、征费、关税、印花税、交易及其他税收及预扣提税（以及与前述各项有关的任何利息及费用），以及为基金利益聘请税务顾问产生的费用；</w:t>
      </w:r>
    </w:p>
    <w:p>
      <w:pPr>
        <w:adjustRightInd w:val="0"/>
        <w:snapToGrid w:val="0"/>
        <w:spacing w:line="360" w:lineRule="auto"/>
        <w:ind w:firstLine="480" w:firstLineChars="200"/>
        <w:rPr>
          <w:sz w:val="24"/>
        </w:rPr>
      </w:pPr>
      <w:r>
        <w:rPr>
          <w:rFonts w:hint="eastAsia"/>
          <w:sz w:val="24"/>
        </w:rPr>
        <w:t>12、更换基金管理人、更换基金托管人、更换境外托管人及基金资产由原基金托管人、境外托管人转移新基金托管人、境外托管人所引起的费用，但因基金管理人或基金托管人、境外托管人自身原因导致被更换的情形除外；</w:t>
      </w:r>
    </w:p>
    <w:p>
      <w:pPr>
        <w:adjustRightInd w:val="0"/>
        <w:snapToGrid w:val="0"/>
        <w:spacing w:line="360" w:lineRule="auto"/>
        <w:ind w:firstLine="480" w:firstLineChars="200"/>
        <w:rPr>
          <w:sz w:val="24"/>
        </w:rPr>
      </w:pPr>
      <w:r>
        <w:rPr>
          <w:rFonts w:hint="eastAsia"/>
          <w:sz w:val="24"/>
        </w:rPr>
        <w:t>13、按照国家有关规定和《基金合同》约定，可以在基金财产中列支的其他费用。</w:t>
      </w:r>
    </w:p>
    <w:p>
      <w:pPr>
        <w:adjustRightInd w:val="0"/>
        <w:snapToGrid w:val="0"/>
        <w:spacing w:line="360" w:lineRule="auto"/>
        <w:ind w:firstLine="482"/>
        <w:outlineLvl w:val="1"/>
        <w:rPr>
          <w:b/>
          <w:bCs/>
          <w:sz w:val="24"/>
        </w:rPr>
      </w:pPr>
      <w:r>
        <w:rPr>
          <w:b/>
          <w:bCs/>
          <w:sz w:val="24"/>
        </w:rPr>
        <w:t>（二）基金费用计提方法、计提标准和支付方式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1、与基金运作有关的费用</w:t>
      </w:r>
    </w:p>
    <w:p>
      <w:pPr>
        <w:adjustRightInd w:val="0"/>
        <w:snapToGrid w:val="0"/>
        <w:spacing w:line="360" w:lineRule="auto"/>
        <w:ind w:firstLine="480" w:firstLineChars="200"/>
        <w:rPr>
          <w:sz w:val="24"/>
        </w:rPr>
      </w:pPr>
      <w:r>
        <w:rPr>
          <w:rFonts w:hint="eastAsia"/>
          <w:sz w:val="24"/>
        </w:rPr>
        <w:t>（</w:t>
      </w:r>
      <w:r>
        <w:rPr>
          <w:sz w:val="24"/>
        </w:rPr>
        <w:t>1</w:t>
      </w:r>
      <w:r>
        <w:rPr>
          <w:rFonts w:hint="eastAsia" w:hAnsi="宋体"/>
          <w:sz w:val="24"/>
        </w:rPr>
        <w:t>）</w:t>
      </w:r>
      <w:r>
        <w:rPr>
          <w:rFonts w:hAnsi="宋体"/>
          <w:sz w:val="24"/>
        </w:rPr>
        <w:t>基金管理人的管理费</w:t>
      </w:r>
    </w:p>
    <w:p>
      <w:pPr>
        <w:adjustRightInd w:val="0"/>
        <w:snapToGrid w:val="0"/>
        <w:spacing w:line="360" w:lineRule="auto"/>
        <w:ind w:firstLine="480" w:firstLineChars="200"/>
        <w:rPr>
          <w:bCs/>
          <w:sz w:val="24"/>
        </w:rPr>
      </w:pPr>
      <w:r>
        <w:rPr>
          <w:rFonts w:hint="eastAsia"/>
          <w:bCs/>
          <w:sz w:val="24"/>
        </w:rPr>
        <w:t>本基金的管理费按前一日基金资产净值的1.2%年费率计提。管理费的计算方法如下：</w:t>
      </w:r>
    </w:p>
    <w:p>
      <w:pPr>
        <w:adjustRightInd w:val="0"/>
        <w:snapToGrid w:val="0"/>
        <w:spacing w:line="360" w:lineRule="auto"/>
        <w:ind w:firstLine="480" w:firstLineChars="200"/>
        <w:rPr>
          <w:bCs/>
          <w:sz w:val="24"/>
        </w:rPr>
      </w:pPr>
      <w:r>
        <w:rPr>
          <w:rFonts w:hint="eastAsia"/>
          <w:bCs/>
          <w:sz w:val="24"/>
        </w:rPr>
        <w:t>H＝E×年管理费率÷当年天数</w:t>
      </w:r>
    </w:p>
    <w:p>
      <w:pPr>
        <w:adjustRightInd w:val="0"/>
        <w:snapToGrid w:val="0"/>
        <w:spacing w:line="360" w:lineRule="auto"/>
        <w:ind w:firstLine="480" w:firstLineChars="200"/>
        <w:rPr>
          <w:bCs/>
          <w:sz w:val="24"/>
        </w:rPr>
      </w:pPr>
      <w:r>
        <w:rPr>
          <w:rFonts w:hint="eastAsia"/>
          <w:bCs/>
          <w:sz w:val="24"/>
        </w:rPr>
        <w:t>H为每日应计提的基金管理费</w:t>
      </w:r>
    </w:p>
    <w:p>
      <w:pPr>
        <w:adjustRightInd w:val="0"/>
        <w:snapToGrid w:val="0"/>
        <w:spacing w:line="360" w:lineRule="auto"/>
        <w:ind w:firstLine="480" w:firstLineChars="200"/>
        <w:rPr>
          <w:bCs/>
          <w:sz w:val="24"/>
        </w:rPr>
      </w:pPr>
      <w:r>
        <w:rPr>
          <w:rFonts w:hint="eastAsia"/>
          <w:bCs/>
          <w:sz w:val="24"/>
        </w:rPr>
        <w:t>E为前一日的基金资产净值</w:t>
      </w:r>
    </w:p>
    <w:p>
      <w:pPr>
        <w:adjustRightInd w:val="0"/>
        <w:snapToGrid w:val="0"/>
        <w:spacing w:line="360" w:lineRule="auto"/>
        <w:ind w:firstLine="480" w:firstLineChars="200"/>
        <w:rPr>
          <w:bCs/>
          <w:sz w:val="24"/>
        </w:rPr>
      </w:pPr>
      <w:r>
        <w:rPr>
          <w:rFonts w:hint="eastAsia"/>
          <w:bCs/>
          <w:sz w:val="24"/>
        </w:rPr>
        <w:t>基金管理费每日计提，逐日累计至每月月末，按月支付。由基金管理人根据双方核对一致的数据向基金托管人发送划付指令，基金托管人于次月首日起5个工作日内从基金财产中一次性支付给基金管理人。若遇法定节假日、休息日或不可抗力致使无法按时支付的，顺延至最近可支付日支付。</w:t>
      </w:r>
    </w:p>
    <w:p>
      <w:pPr>
        <w:adjustRightInd w:val="0"/>
        <w:snapToGrid w:val="0"/>
        <w:spacing w:line="360" w:lineRule="auto"/>
        <w:ind w:firstLine="480" w:firstLineChars="200"/>
        <w:rPr>
          <w:sz w:val="24"/>
        </w:rPr>
      </w:pPr>
      <w:r>
        <w:rPr>
          <w:rFonts w:hint="eastAsia"/>
          <w:sz w:val="24"/>
        </w:rPr>
        <w:t>（</w:t>
      </w:r>
      <w:r>
        <w:rPr>
          <w:sz w:val="24"/>
        </w:rPr>
        <w:t>2</w:t>
      </w:r>
      <w:r>
        <w:rPr>
          <w:rFonts w:hint="eastAsia" w:hAnsi="宋体"/>
          <w:sz w:val="24"/>
        </w:rPr>
        <w:t>）</w:t>
      </w:r>
      <w:r>
        <w:rPr>
          <w:rFonts w:hAnsi="宋体"/>
          <w:sz w:val="24"/>
        </w:rPr>
        <w:t>基金托管人的托管费</w:t>
      </w:r>
    </w:p>
    <w:p>
      <w:pPr>
        <w:adjustRightInd w:val="0"/>
        <w:snapToGrid w:val="0"/>
        <w:spacing w:line="360" w:lineRule="auto"/>
        <w:ind w:firstLine="480" w:firstLineChars="200"/>
        <w:rPr>
          <w:bCs/>
          <w:sz w:val="24"/>
        </w:rPr>
      </w:pPr>
      <w:r>
        <w:rPr>
          <w:rFonts w:hint="eastAsia"/>
          <w:bCs/>
          <w:sz w:val="24"/>
        </w:rPr>
        <w:t>本基金的托管费按前一日基金资产净值的0.2%年费率计提。托管费的计算方法如下：</w:t>
      </w:r>
    </w:p>
    <w:p>
      <w:pPr>
        <w:adjustRightInd w:val="0"/>
        <w:snapToGrid w:val="0"/>
        <w:spacing w:line="360" w:lineRule="auto"/>
        <w:ind w:firstLine="480" w:firstLineChars="200"/>
        <w:rPr>
          <w:bCs/>
          <w:sz w:val="24"/>
        </w:rPr>
      </w:pPr>
      <w:r>
        <w:rPr>
          <w:rFonts w:hint="eastAsia"/>
          <w:bCs/>
          <w:sz w:val="24"/>
        </w:rPr>
        <w:t>H＝E×年托管费率÷当年天数</w:t>
      </w:r>
    </w:p>
    <w:p>
      <w:pPr>
        <w:adjustRightInd w:val="0"/>
        <w:snapToGrid w:val="0"/>
        <w:spacing w:line="360" w:lineRule="auto"/>
        <w:ind w:firstLine="480" w:firstLineChars="200"/>
        <w:rPr>
          <w:bCs/>
          <w:sz w:val="24"/>
        </w:rPr>
      </w:pPr>
      <w:r>
        <w:rPr>
          <w:rFonts w:hint="eastAsia"/>
          <w:bCs/>
          <w:sz w:val="24"/>
        </w:rPr>
        <w:t>H为每日应计提的基金托管费</w:t>
      </w:r>
    </w:p>
    <w:p>
      <w:pPr>
        <w:adjustRightInd w:val="0"/>
        <w:snapToGrid w:val="0"/>
        <w:spacing w:line="360" w:lineRule="auto"/>
        <w:ind w:firstLine="480" w:firstLineChars="200"/>
        <w:rPr>
          <w:bCs/>
          <w:sz w:val="24"/>
        </w:rPr>
      </w:pPr>
      <w:r>
        <w:rPr>
          <w:rFonts w:hint="eastAsia"/>
          <w:bCs/>
          <w:sz w:val="24"/>
        </w:rPr>
        <w:t>E为前一日的基金资产净值</w:t>
      </w:r>
    </w:p>
    <w:p>
      <w:pPr>
        <w:adjustRightInd w:val="0"/>
        <w:snapToGrid w:val="0"/>
        <w:spacing w:line="360" w:lineRule="auto"/>
        <w:ind w:firstLine="480" w:firstLineChars="200"/>
        <w:rPr>
          <w:bCs/>
          <w:sz w:val="24"/>
        </w:rPr>
      </w:pPr>
      <w:r>
        <w:rPr>
          <w:rFonts w:hint="eastAsia"/>
          <w:bCs/>
          <w:sz w:val="24"/>
        </w:rPr>
        <w:t>基金托管费每日计提，逐日累计至每月月末，按月支付。由基金管理人根据双方核对一致的数据向基金托管人发送划付指令，基金托管人于次月首日起5个工作日内从基金财产中一次性支取。若遇法定节假日、休息日或不可抗力致使无法按时支付的，顺延至最近可支付日支付。</w:t>
      </w:r>
    </w:p>
    <w:p>
      <w:pPr>
        <w:adjustRightInd w:val="0"/>
        <w:snapToGrid w:val="0"/>
        <w:spacing w:line="360" w:lineRule="auto"/>
        <w:ind w:firstLine="480" w:firstLineChars="200"/>
        <w:rPr>
          <w:bCs/>
          <w:sz w:val="24"/>
        </w:rPr>
      </w:pPr>
      <w:r>
        <w:rPr>
          <w:rFonts w:hint="eastAsia"/>
          <w:bCs/>
          <w:sz w:val="24"/>
        </w:rPr>
        <w:t>（</w:t>
      </w:r>
      <w:r>
        <w:rPr>
          <w:bCs/>
          <w:sz w:val="24"/>
        </w:rPr>
        <w:t>3</w:t>
      </w:r>
      <w:r>
        <w:rPr>
          <w:rFonts w:hint="eastAsia"/>
          <w:bCs/>
          <w:sz w:val="24"/>
        </w:rPr>
        <w:t>）C类基金份额的销售服务费</w:t>
      </w:r>
    </w:p>
    <w:p>
      <w:pPr>
        <w:adjustRightInd w:val="0"/>
        <w:snapToGrid w:val="0"/>
        <w:spacing w:line="360" w:lineRule="auto"/>
        <w:ind w:firstLine="480" w:firstLineChars="200"/>
        <w:rPr>
          <w:bCs/>
          <w:sz w:val="24"/>
        </w:rPr>
      </w:pPr>
      <w:r>
        <w:rPr>
          <w:rFonts w:hint="eastAsia"/>
          <w:bCs/>
          <w:sz w:val="24"/>
        </w:rPr>
        <w:t>本基金A类基金份额不收取销售服务费，C类基金份额的销售服务费按前一日C类基金份额的基金资产净值的0.4%年费率计提。销售服务费的计算方法如下：</w:t>
      </w:r>
    </w:p>
    <w:p>
      <w:pPr>
        <w:adjustRightInd w:val="0"/>
        <w:snapToGrid w:val="0"/>
        <w:spacing w:line="360" w:lineRule="auto"/>
        <w:ind w:firstLine="480" w:firstLineChars="200"/>
        <w:rPr>
          <w:bCs/>
          <w:sz w:val="24"/>
        </w:rPr>
      </w:pPr>
      <w:r>
        <w:rPr>
          <w:rFonts w:hint="eastAsia"/>
          <w:bCs/>
          <w:sz w:val="24"/>
        </w:rPr>
        <w:t>H＝E×年销售服务费率÷当年天数</w:t>
      </w:r>
    </w:p>
    <w:p>
      <w:pPr>
        <w:adjustRightInd w:val="0"/>
        <w:snapToGrid w:val="0"/>
        <w:spacing w:line="360" w:lineRule="auto"/>
        <w:ind w:firstLine="480" w:firstLineChars="200"/>
        <w:rPr>
          <w:bCs/>
          <w:sz w:val="24"/>
        </w:rPr>
      </w:pPr>
      <w:r>
        <w:rPr>
          <w:rFonts w:hint="eastAsia"/>
          <w:bCs/>
          <w:sz w:val="24"/>
        </w:rPr>
        <w:t>H为C类基金份额每日应计提的销售服务费</w:t>
      </w:r>
    </w:p>
    <w:p>
      <w:pPr>
        <w:adjustRightInd w:val="0"/>
        <w:snapToGrid w:val="0"/>
        <w:spacing w:line="360" w:lineRule="auto"/>
        <w:ind w:firstLine="480" w:firstLineChars="200"/>
        <w:rPr>
          <w:bCs/>
          <w:sz w:val="24"/>
        </w:rPr>
      </w:pPr>
      <w:r>
        <w:rPr>
          <w:rFonts w:hint="eastAsia"/>
          <w:bCs/>
          <w:sz w:val="24"/>
        </w:rPr>
        <w:t>E为C类基金份额前一日基金资产净值</w:t>
      </w:r>
    </w:p>
    <w:p>
      <w:pPr>
        <w:adjustRightInd w:val="0"/>
        <w:snapToGrid w:val="0"/>
        <w:spacing w:line="360" w:lineRule="auto"/>
        <w:ind w:firstLine="480" w:firstLineChars="200"/>
        <w:rPr>
          <w:bCs/>
          <w:sz w:val="24"/>
        </w:rPr>
      </w:pPr>
      <w:r>
        <w:rPr>
          <w:rFonts w:hint="eastAsia"/>
          <w:bCs/>
          <w:sz w:val="24"/>
        </w:rPr>
        <w:t>C类基金份额的销售服务费具体收取/返还方式：</w:t>
      </w:r>
    </w:p>
    <w:p>
      <w:pPr>
        <w:adjustRightInd w:val="0"/>
        <w:snapToGrid w:val="0"/>
        <w:spacing w:line="360" w:lineRule="auto"/>
        <w:ind w:firstLine="480" w:firstLineChars="200"/>
        <w:rPr>
          <w:bCs/>
          <w:sz w:val="24"/>
        </w:rPr>
      </w:pPr>
      <w:r>
        <w:rPr>
          <w:rFonts w:hint="eastAsia"/>
          <w:bCs/>
          <w:sz w:val="24"/>
        </w:rPr>
        <w:t>（1）通过直销机构认购/申购的C类基金份额</w:t>
      </w:r>
    </w:p>
    <w:p>
      <w:pPr>
        <w:adjustRightInd w:val="0"/>
        <w:snapToGrid w:val="0"/>
        <w:spacing w:line="360" w:lineRule="auto"/>
        <w:ind w:firstLine="480" w:firstLineChars="200"/>
        <w:rPr>
          <w:bCs/>
          <w:sz w:val="24"/>
        </w:rPr>
      </w:pPr>
      <w:r>
        <w:rPr>
          <w:rFonts w:hint="eastAsia"/>
          <w:bCs/>
          <w:sz w:val="24"/>
        </w:rPr>
        <w:t>对于C类基金份额计提的销售服务费，在投资人赎回基金份额或基金合同终止时随赎回款或清算款一并返还给投资人。</w:t>
      </w:r>
    </w:p>
    <w:p>
      <w:pPr>
        <w:adjustRightInd w:val="0"/>
        <w:snapToGrid w:val="0"/>
        <w:spacing w:line="360" w:lineRule="auto"/>
        <w:ind w:firstLine="480" w:firstLineChars="200"/>
        <w:rPr>
          <w:bCs/>
          <w:sz w:val="24"/>
        </w:rPr>
      </w:pPr>
      <w:r>
        <w:rPr>
          <w:rFonts w:hint="eastAsia"/>
          <w:bCs/>
          <w:sz w:val="24"/>
        </w:rPr>
        <w:t>（2）通过其他销售机构认购/申购的C类基金份额</w:t>
      </w:r>
    </w:p>
    <w:p>
      <w:pPr>
        <w:adjustRightInd w:val="0"/>
        <w:snapToGrid w:val="0"/>
        <w:spacing w:line="360" w:lineRule="auto"/>
        <w:ind w:firstLine="480" w:firstLineChars="200"/>
        <w:rPr>
          <w:bCs/>
          <w:sz w:val="24"/>
        </w:rPr>
      </w:pPr>
      <w:r>
        <w:rPr>
          <w:rFonts w:hint="eastAsia"/>
          <w:bCs/>
          <w:sz w:val="24"/>
        </w:rPr>
        <w:t>对于投资人持续持有期限未超过一年的C类基金份额，销售服务费每日计提，逐日累计至每月月末，按月支付。由基金管理人根据双方核对一致的数据向基金托管人发送销售服务费划付指令，基金托管人于次月首日起5个工作日内从基金财产中一次性支付给基金管理人，由基金管理人代付给销售机构。若遇法定节假日、休息日或不可抗力致使无法按时支付的，顺延至最近可支付日支付。</w:t>
      </w:r>
    </w:p>
    <w:p>
      <w:pPr>
        <w:adjustRightInd w:val="0"/>
        <w:snapToGrid w:val="0"/>
        <w:spacing w:line="360" w:lineRule="auto"/>
        <w:ind w:firstLine="480" w:firstLineChars="200"/>
        <w:rPr>
          <w:bCs/>
          <w:sz w:val="24"/>
        </w:rPr>
      </w:pPr>
      <w:r>
        <w:rPr>
          <w:rFonts w:hint="eastAsia"/>
          <w:bCs/>
          <w:sz w:val="24"/>
        </w:rPr>
        <w:t>对于投资人持续持有期限超过一年的C类基金份额，持续持有超过一年后计提的销售服务费将在投资人赎回相应基金份额或基金合同终止时随赎回款或清算款一并返还给投资人。</w:t>
      </w:r>
    </w:p>
    <w:p>
      <w:pPr>
        <w:adjustRightInd w:val="0"/>
        <w:snapToGrid w:val="0"/>
        <w:spacing w:line="360" w:lineRule="auto"/>
        <w:ind w:firstLine="480" w:firstLineChars="200"/>
        <w:rPr>
          <w:bCs/>
          <w:sz w:val="24"/>
        </w:rPr>
      </w:pPr>
      <w:r>
        <w:rPr>
          <w:rFonts w:hint="eastAsia"/>
          <w:bCs/>
          <w:sz w:val="24"/>
        </w:rPr>
        <w:t>C类基金份额的销售服务费将专门用于本基金的市场推广、销售与基金份额持有人服务。</w:t>
      </w:r>
    </w:p>
    <w:p>
      <w:pPr>
        <w:adjustRightInd w:val="0"/>
        <w:snapToGrid w:val="0"/>
        <w:spacing w:line="360" w:lineRule="auto"/>
        <w:ind w:firstLine="480" w:firstLineChars="200"/>
        <w:rPr>
          <w:sz w:val="24"/>
        </w:rPr>
      </w:pPr>
      <w:r>
        <w:rPr>
          <w:rFonts w:hint="eastAsia"/>
          <w:bCs/>
          <w:sz w:val="24"/>
        </w:rPr>
        <w:t>（4）</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中第3</w:t>
      </w:r>
      <w:r>
        <w:rPr>
          <w:rFonts w:hint="eastAsia"/>
          <w:bCs/>
          <w:sz w:val="24"/>
        </w:rPr>
        <w:t>－9项、第11－13</w:t>
      </w:r>
      <w:r>
        <w:rPr>
          <w:bCs/>
          <w:sz w:val="24"/>
        </w:rPr>
        <w:t>项费用，根据有关法规及相应协议规定，按费用实际支出金额列入当期费用，由基金托管人从基金财产中支付。</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2、与基金销售有关的费用</w:t>
      </w:r>
    </w:p>
    <w:p>
      <w:pPr>
        <w:adjustRightInd w:val="0"/>
        <w:snapToGrid w:val="0"/>
        <w:spacing w:line="360" w:lineRule="auto"/>
        <w:ind w:firstLine="480" w:firstLineChars="200"/>
        <w:rPr>
          <w:bCs/>
          <w:sz w:val="24"/>
        </w:rPr>
      </w:pPr>
      <w:r>
        <w:rPr>
          <w:bCs/>
          <w:sz w:val="24"/>
        </w:rPr>
        <w:t>（1）申购费</w:t>
      </w:r>
    </w:p>
    <w:p>
      <w:pPr>
        <w:adjustRightInd w:val="0"/>
        <w:snapToGrid w:val="0"/>
        <w:spacing w:line="360" w:lineRule="auto"/>
        <w:ind w:firstLine="480" w:firstLineChars="200"/>
        <w:rPr>
          <w:bCs/>
          <w:sz w:val="24"/>
        </w:rPr>
      </w:pPr>
      <w:r>
        <w:rPr>
          <w:bCs/>
          <w:sz w:val="24"/>
        </w:rPr>
        <w:t>本基金申购费的费率水平、计算公式和收取方式详见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pPr>
        <w:adjustRightInd w:val="0"/>
        <w:snapToGrid w:val="0"/>
        <w:spacing w:line="360" w:lineRule="auto"/>
        <w:ind w:firstLine="480" w:firstLineChars="200"/>
        <w:rPr>
          <w:bCs/>
          <w:sz w:val="24"/>
        </w:rPr>
      </w:pPr>
      <w:r>
        <w:rPr>
          <w:bCs/>
          <w:sz w:val="24"/>
        </w:rPr>
        <w:t>（2）赎回费</w:t>
      </w:r>
    </w:p>
    <w:p>
      <w:pPr>
        <w:adjustRightInd w:val="0"/>
        <w:snapToGrid w:val="0"/>
        <w:spacing w:line="360" w:lineRule="auto"/>
        <w:ind w:firstLine="480" w:firstLineChars="200"/>
        <w:rPr>
          <w:bCs/>
          <w:sz w:val="24"/>
        </w:rPr>
      </w:pPr>
      <w:r>
        <w:rPr>
          <w:bCs/>
          <w:sz w:val="24"/>
        </w:rPr>
        <w:t>本基金赎回费的费率水平、计算公式和收取方式详见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pPr>
        <w:adjustRightInd w:val="0"/>
        <w:snapToGrid w:val="0"/>
        <w:spacing w:line="360" w:lineRule="auto"/>
        <w:ind w:firstLine="482"/>
        <w:outlineLvl w:val="1"/>
        <w:rPr>
          <w:b/>
          <w:bCs/>
          <w:sz w:val="24"/>
        </w:rPr>
      </w:pPr>
      <w:r>
        <w:rPr>
          <w:b/>
          <w:bCs/>
          <w:sz w:val="24"/>
        </w:rPr>
        <w:t>（三）不列入基金费用的项目</w:t>
      </w:r>
    </w:p>
    <w:p>
      <w:pPr>
        <w:adjustRightInd w:val="0"/>
        <w:snapToGrid w:val="0"/>
        <w:spacing w:line="360" w:lineRule="auto"/>
        <w:ind w:firstLine="480" w:firstLineChars="200"/>
        <w:rPr>
          <w:rFonts w:hAnsi="宋体"/>
          <w:sz w:val="24"/>
          <w:szCs w:val="21"/>
        </w:rPr>
      </w:pPr>
      <w:r>
        <w:rPr>
          <w:rFonts w:hAnsi="宋体"/>
          <w:sz w:val="24"/>
          <w:szCs w:val="21"/>
        </w:rPr>
        <w:t>下列费用不列入基金费用：</w:t>
      </w:r>
    </w:p>
    <w:p>
      <w:pPr>
        <w:adjustRightInd w:val="0"/>
        <w:snapToGrid w:val="0"/>
        <w:spacing w:line="360" w:lineRule="auto"/>
        <w:ind w:firstLine="480" w:firstLineChars="200"/>
        <w:rPr>
          <w:rFonts w:hAnsi="宋体"/>
          <w:sz w:val="24"/>
          <w:szCs w:val="21"/>
        </w:rPr>
      </w:pPr>
      <w:r>
        <w:rPr>
          <w:rFonts w:hAnsi="宋体"/>
          <w:sz w:val="24"/>
          <w:szCs w:val="21"/>
        </w:rPr>
        <w:t>1、基金管理人和基金托管人因未履行或未完全履行义务导致的费用支出或基金财产的损失；</w:t>
      </w:r>
    </w:p>
    <w:p>
      <w:pPr>
        <w:adjustRightInd w:val="0"/>
        <w:snapToGrid w:val="0"/>
        <w:spacing w:line="360" w:lineRule="auto"/>
        <w:ind w:firstLine="480" w:firstLineChars="200"/>
        <w:rPr>
          <w:rFonts w:hAnsi="宋体"/>
          <w:sz w:val="24"/>
          <w:szCs w:val="21"/>
        </w:rPr>
      </w:pPr>
      <w:r>
        <w:rPr>
          <w:rFonts w:hAnsi="宋体"/>
          <w:sz w:val="24"/>
          <w:szCs w:val="21"/>
        </w:rPr>
        <w:t>2、基金管理人和基金托管人处理与基金运作无关的事项发生的费用；</w:t>
      </w:r>
    </w:p>
    <w:p>
      <w:pPr>
        <w:adjustRightInd w:val="0"/>
        <w:snapToGrid w:val="0"/>
        <w:spacing w:line="360" w:lineRule="auto"/>
        <w:ind w:firstLine="480" w:firstLineChars="200"/>
        <w:rPr>
          <w:rFonts w:hAnsi="宋体"/>
          <w:sz w:val="24"/>
          <w:szCs w:val="21"/>
        </w:rPr>
      </w:pPr>
      <w:r>
        <w:rPr>
          <w:rFonts w:hAnsi="宋体"/>
          <w:sz w:val="24"/>
          <w:szCs w:val="21"/>
        </w:rPr>
        <w:t>3、</w:t>
      </w:r>
      <w:r>
        <w:rPr>
          <w:rFonts w:hint="eastAsia" w:hAnsi="宋体"/>
          <w:sz w:val="24"/>
          <w:szCs w:val="21"/>
        </w:rPr>
        <w:t>《</w:t>
      </w:r>
      <w:r>
        <w:rPr>
          <w:rFonts w:hAnsi="宋体"/>
          <w:sz w:val="24"/>
          <w:szCs w:val="21"/>
        </w:rPr>
        <w:t>基金合同</w:t>
      </w:r>
      <w:r>
        <w:rPr>
          <w:rFonts w:hint="eastAsia" w:hAnsi="宋体"/>
          <w:sz w:val="24"/>
          <w:szCs w:val="21"/>
        </w:rPr>
        <w:t>》</w:t>
      </w:r>
      <w:r>
        <w:rPr>
          <w:rFonts w:hAnsi="宋体"/>
          <w:sz w:val="24"/>
          <w:szCs w:val="21"/>
        </w:rPr>
        <w:t>生效前的相关费用；</w:t>
      </w:r>
    </w:p>
    <w:p>
      <w:pPr>
        <w:adjustRightInd w:val="0"/>
        <w:snapToGrid w:val="0"/>
        <w:spacing w:line="360" w:lineRule="auto"/>
        <w:ind w:firstLine="480" w:firstLineChars="200"/>
        <w:rPr>
          <w:rFonts w:hAnsi="宋体"/>
          <w:sz w:val="24"/>
          <w:szCs w:val="21"/>
        </w:rPr>
      </w:pPr>
      <w:r>
        <w:rPr>
          <w:rFonts w:hAnsi="宋体"/>
          <w:sz w:val="24"/>
          <w:szCs w:val="21"/>
        </w:rPr>
        <w:t>4、其他根据相关法律法规及中国证监会的有关规定不得列入基金费用的项目。</w:t>
      </w:r>
    </w:p>
    <w:p>
      <w:pPr>
        <w:adjustRightInd w:val="0"/>
        <w:snapToGrid w:val="0"/>
        <w:spacing w:line="360" w:lineRule="auto"/>
        <w:ind w:firstLine="482"/>
        <w:outlineLvl w:val="1"/>
        <w:rPr>
          <w:b/>
          <w:bCs/>
          <w:sz w:val="24"/>
        </w:rPr>
      </w:pPr>
      <w:r>
        <w:rPr>
          <w:rFonts w:hint="eastAsia"/>
          <w:b/>
          <w:bCs/>
          <w:sz w:val="24"/>
        </w:rPr>
        <w:t>（</w:t>
      </w:r>
      <w:r>
        <w:rPr>
          <w:b/>
          <w:bCs/>
          <w:sz w:val="24"/>
        </w:rPr>
        <w:t>四</w:t>
      </w:r>
      <w:r>
        <w:rPr>
          <w:rFonts w:hint="eastAsia"/>
          <w:b/>
          <w:bCs/>
          <w:sz w:val="24"/>
        </w:rPr>
        <w:t>）实施侧袋机制期间的基金费用</w:t>
      </w:r>
    </w:p>
    <w:p>
      <w:pPr>
        <w:adjustRightInd w:val="0"/>
        <w:snapToGrid w:val="0"/>
        <w:spacing w:line="360" w:lineRule="auto"/>
        <w:ind w:firstLine="480" w:firstLineChars="200"/>
        <w:rPr>
          <w:rFonts w:hAnsi="宋体"/>
          <w:sz w:val="24"/>
          <w:szCs w:val="21"/>
        </w:rPr>
      </w:pPr>
      <w:r>
        <w:rPr>
          <w:rFonts w:hint="eastAsia" w:hAnsi="宋体"/>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pPr>
        <w:adjustRightInd w:val="0"/>
        <w:snapToGrid w:val="0"/>
        <w:spacing w:line="360" w:lineRule="auto"/>
        <w:ind w:firstLine="482"/>
        <w:outlineLvl w:val="1"/>
        <w:rPr>
          <w:b/>
          <w:bCs/>
          <w:sz w:val="24"/>
        </w:rPr>
      </w:pPr>
      <w:r>
        <w:rPr>
          <w:rFonts w:hint="eastAsia"/>
          <w:b/>
          <w:bCs/>
          <w:sz w:val="24"/>
        </w:rPr>
        <w:t>（五）</w:t>
      </w:r>
      <w:r>
        <w:rPr>
          <w:b/>
          <w:bCs/>
          <w:sz w:val="24"/>
        </w:rPr>
        <w:t>基金税收</w:t>
      </w:r>
    </w:p>
    <w:p>
      <w:pPr>
        <w:adjustRightInd w:val="0"/>
        <w:snapToGrid w:val="0"/>
        <w:spacing w:line="360" w:lineRule="auto"/>
        <w:ind w:firstLine="480" w:firstLineChars="200"/>
        <w:rPr>
          <w:rFonts w:ascii="宋体" w:hAnsi="宋体"/>
          <w:sz w:val="24"/>
        </w:rPr>
      </w:pPr>
      <w:r>
        <w:rPr>
          <w:rFonts w:hint="eastAsia" w:hAnsi="宋体"/>
          <w:sz w:val="24"/>
          <w:szCs w:val="21"/>
        </w:rPr>
        <w:t>本基金运作过程中涉及的各纳税主体，其纳税义务按投资市场所在国家或地区的税收法律、法规执行。基金财产投资的相关税收，由基金份额持有人承担，基金管理人或者其他扣缴义务人按照国家有关税收征收的规定代扣代缴。</w:t>
      </w:r>
      <w:r>
        <w:rPr>
          <w:rFonts w:ascii="宋体" w:hAnsi="宋体"/>
          <w:b/>
          <w:kern w:val="0"/>
          <w:sz w:val="30"/>
        </w:rPr>
        <w:br w:type="page"/>
      </w:r>
      <w:bookmarkEnd w:id="65"/>
      <w:bookmarkEnd w:id="66"/>
      <w:bookmarkEnd w:id="67"/>
      <w:bookmarkStart w:id="70" w:name="_Hlk50018503"/>
      <w:bookmarkStart w:id="71" w:name="_Toc155690783"/>
      <w:bookmarkStart w:id="72" w:name="_Toc154909614"/>
    </w:p>
    <w:bookmarkEnd w:id="70"/>
    <w:p>
      <w:pPr>
        <w:widowControl/>
        <w:adjustRightInd w:val="0"/>
        <w:snapToGrid w:val="0"/>
        <w:spacing w:before="143" w:beforeLines="50" w:after="143" w:afterLines="50" w:line="360" w:lineRule="auto"/>
        <w:jc w:val="center"/>
        <w:outlineLvl w:val="0"/>
        <w:rPr>
          <w:rFonts w:ascii="宋体" w:hAnsi="宋体"/>
          <w:b/>
          <w:kern w:val="0"/>
          <w:sz w:val="30"/>
        </w:rPr>
      </w:pPr>
      <w:bookmarkStart w:id="73" w:name="_Toc25208"/>
      <w:bookmarkStart w:id="74" w:name="_Toc48122011"/>
      <w:bookmarkStart w:id="75" w:name="_Toc20020"/>
      <w:bookmarkStart w:id="76" w:name="_Toc32496"/>
      <w:bookmarkStart w:id="77" w:name="_Toc78208364"/>
      <w:r>
        <w:rPr>
          <w:rFonts w:hint="eastAsia" w:ascii="宋体" w:hAnsi="宋体"/>
          <w:b/>
          <w:kern w:val="0"/>
          <w:sz w:val="30"/>
        </w:rPr>
        <w:t>十、基金的财产</w:t>
      </w:r>
      <w:bookmarkEnd w:id="73"/>
      <w:bookmarkEnd w:id="74"/>
      <w:bookmarkEnd w:id="75"/>
      <w:bookmarkEnd w:id="76"/>
    </w:p>
    <w:p>
      <w:pPr>
        <w:adjustRightInd w:val="0"/>
        <w:snapToGrid w:val="0"/>
        <w:spacing w:line="360" w:lineRule="auto"/>
        <w:ind w:firstLine="482"/>
        <w:outlineLvl w:val="1"/>
        <w:rPr>
          <w:b/>
          <w:bCs/>
          <w:sz w:val="24"/>
        </w:rPr>
      </w:pPr>
      <w:bookmarkStart w:id="78" w:name="_Hlk49343903"/>
      <w:r>
        <w:rPr>
          <w:b/>
          <w:bCs/>
          <w:sz w:val="24"/>
        </w:rPr>
        <w:t>（一）基金资产总值</w:t>
      </w:r>
    </w:p>
    <w:p>
      <w:pPr>
        <w:widowControl/>
        <w:adjustRightInd w:val="0"/>
        <w:snapToGrid w:val="0"/>
        <w:spacing w:line="360" w:lineRule="auto"/>
        <w:ind w:firstLine="480" w:firstLineChars="200"/>
        <w:rPr>
          <w:kern w:val="0"/>
          <w:sz w:val="24"/>
        </w:rPr>
      </w:pPr>
      <w:r>
        <w:rPr>
          <w:rFonts w:hint="eastAsia" w:hAnsi="宋体"/>
          <w:sz w:val="24"/>
          <w:szCs w:val="21"/>
        </w:rPr>
        <w:t>基金资产总值是指基金拥有的各类有价证券、银行存款本息、基金应收款</w:t>
      </w:r>
      <w:r>
        <w:rPr>
          <w:rFonts w:hint="eastAsia"/>
          <w:bCs/>
          <w:sz w:val="24"/>
        </w:rPr>
        <w:t>项</w:t>
      </w:r>
      <w:r>
        <w:rPr>
          <w:rFonts w:hint="eastAsia" w:hAnsi="宋体"/>
          <w:sz w:val="24"/>
          <w:szCs w:val="21"/>
        </w:rPr>
        <w:t>及其他资产的价值总和。</w:t>
      </w:r>
      <w:bookmarkEnd w:id="77"/>
      <w:bookmarkStart w:id="79" w:name="_Toc311810245"/>
    </w:p>
    <w:p>
      <w:pPr>
        <w:adjustRightInd w:val="0"/>
        <w:snapToGrid w:val="0"/>
        <w:spacing w:line="360" w:lineRule="auto"/>
        <w:ind w:firstLine="482"/>
        <w:outlineLvl w:val="1"/>
        <w:rPr>
          <w:b/>
          <w:bCs/>
          <w:sz w:val="24"/>
        </w:rPr>
      </w:pPr>
      <w:r>
        <w:rPr>
          <w:b/>
          <w:bCs/>
          <w:sz w:val="24"/>
        </w:rPr>
        <w:t>（二）基金资</w:t>
      </w:r>
      <w:bookmarkEnd w:id="79"/>
      <w:r>
        <w:rPr>
          <w:b/>
          <w:bCs/>
          <w:sz w:val="24"/>
        </w:rPr>
        <w:t>产</w:t>
      </w:r>
      <w:bookmarkEnd w:id="71"/>
      <w:bookmarkEnd w:id="72"/>
      <w:r>
        <w:rPr>
          <w:b/>
          <w:bCs/>
          <w:sz w:val="24"/>
        </w:rPr>
        <w:t>净</w:t>
      </w:r>
      <w:bookmarkStart w:id="80" w:name="_Toc109537391"/>
      <w:r>
        <w:rPr>
          <w:b/>
          <w:bCs/>
          <w:sz w:val="24"/>
        </w:rPr>
        <w:t>值</w:t>
      </w:r>
    </w:p>
    <w:p>
      <w:pPr>
        <w:widowControl/>
        <w:adjustRightInd w:val="0"/>
        <w:snapToGrid w:val="0"/>
        <w:spacing w:line="360" w:lineRule="auto"/>
        <w:ind w:firstLine="480" w:firstLineChars="200"/>
        <w:rPr>
          <w:rFonts w:hAnsi="宋体"/>
          <w:sz w:val="24"/>
          <w:szCs w:val="21"/>
        </w:rPr>
      </w:pPr>
      <w:r>
        <w:rPr>
          <w:rFonts w:hAnsi="宋体"/>
          <w:sz w:val="24"/>
          <w:szCs w:val="21"/>
        </w:rPr>
        <w:t>基</w:t>
      </w:r>
      <w:bookmarkEnd w:id="80"/>
      <w:r>
        <w:rPr>
          <w:rFonts w:hAnsi="宋体"/>
          <w:sz w:val="24"/>
          <w:szCs w:val="21"/>
        </w:rPr>
        <w:t>金资产净值是指基金资产总值</w:t>
      </w:r>
      <w:bookmarkStart w:id="81" w:name="_Toc79392635"/>
      <w:bookmarkStart w:id="82" w:name="_Toc79556449"/>
      <w:r>
        <w:rPr>
          <w:rFonts w:hAnsi="宋体"/>
          <w:sz w:val="24"/>
          <w:szCs w:val="21"/>
        </w:rPr>
        <w:t>减去基金负债后的价值。</w:t>
      </w:r>
    </w:p>
    <w:p>
      <w:pPr>
        <w:adjustRightInd w:val="0"/>
        <w:snapToGrid w:val="0"/>
        <w:spacing w:line="360" w:lineRule="auto"/>
        <w:ind w:firstLine="482"/>
        <w:outlineLvl w:val="1"/>
        <w:rPr>
          <w:b/>
          <w:bCs/>
          <w:sz w:val="24"/>
        </w:rPr>
      </w:pPr>
      <w:r>
        <w:rPr>
          <w:b/>
          <w:bCs/>
          <w:sz w:val="24"/>
        </w:rPr>
        <w:t>（三）基金财产的账户</w:t>
      </w:r>
    </w:p>
    <w:p>
      <w:pPr>
        <w:widowControl/>
        <w:adjustRightInd w:val="0"/>
        <w:snapToGrid w:val="0"/>
        <w:spacing w:line="360" w:lineRule="auto"/>
        <w:ind w:firstLine="480" w:firstLineChars="200"/>
        <w:rPr>
          <w:kern w:val="0"/>
          <w:sz w:val="24"/>
        </w:rPr>
      </w:pPr>
      <w:r>
        <w:rPr>
          <w:bCs/>
          <w:sz w:val="24"/>
        </w:rPr>
        <w:t>基金托管人</w:t>
      </w:r>
      <w:r>
        <w:rPr>
          <w:rFonts w:hint="eastAsia"/>
          <w:bCs/>
          <w:sz w:val="24"/>
        </w:rPr>
        <w:t>及其委托的境外托管人根据境内及投资所在地</w:t>
      </w:r>
      <w:r>
        <w:rPr>
          <w:bCs/>
          <w:sz w:val="24"/>
        </w:rPr>
        <w:t>相关法律法规、规范性文件为本基金开立资金账户、证券账户</w:t>
      </w:r>
      <w:r>
        <w:rPr>
          <w:rFonts w:hint="eastAsia"/>
          <w:bCs/>
          <w:sz w:val="24"/>
        </w:rPr>
        <w:t>以及投资所需的其他专用账户</w:t>
      </w:r>
      <w:r>
        <w:rPr>
          <w:bCs/>
          <w:sz w:val="24"/>
        </w:rPr>
        <w:t>。开立的基金专用账户与基金管理人、基</w:t>
      </w:r>
      <w:bookmarkEnd w:id="81"/>
      <w:bookmarkEnd w:id="82"/>
      <w:r>
        <w:rPr>
          <w:bCs/>
          <w:sz w:val="24"/>
        </w:rPr>
        <w:t>金托管人、</w:t>
      </w:r>
      <w:r>
        <w:rPr>
          <w:rFonts w:hint="eastAsia"/>
          <w:bCs/>
          <w:sz w:val="24"/>
        </w:rPr>
        <w:t>境外托管人、</w:t>
      </w:r>
      <w:r>
        <w:rPr>
          <w:bCs/>
          <w:sz w:val="24"/>
        </w:rPr>
        <w:t>基金销售机构和基金登记机构自有的财产账户以及其他基金财产账户相独立。</w:t>
      </w:r>
    </w:p>
    <w:p>
      <w:pPr>
        <w:adjustRightInd w:val="0"/>
        <w:snapToGrid w:val="0"/>
        <w:spacing w:line="360" w:lineRule="auto"/>
        <w:ind w:firstLine="482"/>
        <w:outlineLvl w:val="1"/>
        <w:rPr>
          <w:b/>
          <w:bCs/>
          <w:sz w:val="24"/>
        </w:rPr>
      </w:pPr>
      <w:r>
        <w:rPr>
          <w:b/>
          <w:bCs/>
          <w:sz w:val="24"/>
        </w:rPr>
        <w:t>（四）基金财产的保管</w:t>
      </w:r>
      <w:r>
        <w:rPr>
          <w:rFonts w:hint="eastAsia"/>
          <w:b/>
          <w:bCs/>
          <w:sz w:val="24"/>
        </w:rPr>
        <w:t>和</w:t>
      </w:r>
      <w:r>
        <w:rPr>
          <w:b/>
          <w:bCs/>
          <w:sz w:val="24"/>
        </w:rPr>
        <w:t>处分</w:t>
      </w:r>
    </w:p>
    <w:p>
      <w:pPr>
        <w:widowControl/>
        <w:adjustRightInd w:val="0"/>
        <w:snapToGrid w:val="0"/>
        <w:spacing w:line="360" w:lineRule="auto"/>
        <w:ind w:firstLine="480" w:firstLineChars="200"/>
        <w:rPr>
          <w:bCs/>
          <w:sz w:val="24"/>
        </w:rPr>
      </w:pPr>
      <w:r>
        <w:rPr>
          <w:bCs/>
          <w:sz w:val="24"/>
        </w:rPr>
        <w:t>本基金财产独立于基金管理人、基金托管人</w:t>
      </w:r>
      <w:r>
        <w:rPr>
          <w:rFonts w:hint="eastAsia"/>
          <w:bCs/>
          <w:sz w:val="24"/>
        </w:rPr>
        <w:t>、境外托管人</w:t>
      </w:r>
      <w:r>
        <w:rPr>
          <w:bCs/>
          <w:sz w:val="24"/>
        </w:rPr>
        <w:t>和基金</w:t>
      </w:r>
      <w:r>
        <w:rPr>
          <w:rFonts w:hint="eastAsia"/>
          <w:bCs/>
          <w:sz w:val="24"/>
        </w:rPr>
        <w:t>销售</w:t>
      </w:r>
      <w:r>
        <w:rPr>
          <w:bCs/>
          <w:sz w:val="24"/>
        </w:rPr>
        <w:t>机构的财产，并由基金托管人</w:t>
      </w:r>
      <w:r>
        <w:rPr>
          <w:rFonts w:hint="eastAsia"/>
          <w:bCs/>
          <w:sz w:val="24"/>
        </w:rPr>
        <w:t>和/或其委托的境外托管人</w:t>
      </w:r>
      <w:r>
        <w:rPr>
          <w:bCs/>
          <w:sz w:val="24"/>
        </w:rPr>
        <w:t>保管。基金管理人、基金托管人</w:t>
      </w:r>
      <w:r>
        <w:rPr>
          <w:rFonts w:hint="eastAsia"/>
          <w:bCs/>
          <w:sz w:val="24"/>
        </w:rPr>
        <w:t>、境外托管人</w:t>
      </w:r>
      <w:r>
        <w:rPr>
          <w:bCs/>
          <w:sz w:val="24"/>
        </w:rPr>
        <w:t>、基金登记机构和基金销售机构以其自有的财产承担其自身的法律责任，其债权人不得对本基金财产行使请求冻结、扣押或其他权利。除依法律法规和《基金合同》的规定处分外，基金财产不得被处分。</w:t>
      </w:r>
    </w:p>
    <w:p>
      <w:pPr>
        <w:widowControl/>
        <w:adjustRightInd w:val="0"/>
        <w:snapToGrid w:val="0"/>
        <w:spacing w:line="360" w:lineRule="auto"/>
        <w:ind w:firstLine="480" w:firstLineChars="200"/>
        <w:rPr>
          <w:bCs/>
          <w:sz w:val="24"/>
        </w:rPr>
      </w:pPr>
      <w:r>
        <w:rPr>
          <w:bCs/>
          <w:sz w:val="24"/>
        </w:rPr>
        <w:t>基金管理人、基金托管人</w:t>
      </w:r>
      <w:r>
        <w:rPr>
          <w:rFonts w:hint="eastAsia"/>
          <w:bCs/>
          <w:sz w:val="24"/>
        </w:rPr>
        <w:t>、境外托管人</w:t>
      </w:r>
      <w:r>
        <w:rPr>
          <w:bCs/>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bookmarkEnd w:id="78"/>
    </w:p>
    <w:p>
      <w:pPr>
        <w:widowControl/>
        <w:adjustRightInd w:val="0"/>
        <w:snapToGrid w:val="0"/>
        <w:spacing w:line="360" w:lineRule="auto"/>
        <w:ind w:firstLine="480" w:firstLineChars="200"/>
        <w:rPr>
          <w:bCs/>
          <w:sz w:val="24"/>
        </w:rPr>
      </w:pPr>
      <w:r>
        <w:rPr>
          <w:rFonts w:hint="eastAsia"/>
          <w:bCs/>
          <w:sz w:val="24"/>
        </w:rPr>
        <w:t>在符合基金合同和《托管协议》有关资产保管的要求下，对境外托管人的破产而产生的损失，基金托管人应采取合理措施进行追偿，基金管理人有义务配合基金托管人进行追偿。基金托管人在已根据《试行办法》的要求谨慎、尽职的原则选择、委任和监督境外托管人，且境外托管人已按照当地法律法规、基金合同及托管协议的要求保管托管资产的前提下，基金托管人对境外托管人破产产生的损失不承担赔偿责任。基金管理人、基金托管人不对境外托管人依据当地法律法规、证券/期货交易所规则、市场惯例的作为或不作为承担责任。</w:t>
      </w:r>
    </w:p>
    <w:p>
      <w:pPr>
        <w:widowControl/>
        <w:adjustRightInd w:val="0"/>
        <w:snapToGrid w:val="0"/>
        <w:spacing w:line="360" w:lineRule="auto"/>
        <w:ind w:firstLine="480" w:firstLineChars="200"/>
        <w:rPr>
          <w:bCs/>
          <w:sz w:val="24"/>
        </w:rPr>
      </w:pPr>
      <w:r>
        <w:rPr>
          <w:rFonts w:hint="eastAsia"/>
          <w:bCs/>
          <w:sz w:val="24"/>
        </w:rPr>
        <w:t>基金托管人和境外托管人应妥善保存基金管理人基金财产汇入、汇出、兑换、收汇、现金往来及证券交易的记录、凭证等相关资料，并按规定的期限保管，但境外托管人持有的与境外托管人账户相关的资料的保管应按照境外托管人的业务惯例保管。</w:t>
      </w:r>
    </w:p>
    <w:p>
      <w:pPr>
        <w:widowControl/>
        <w:adjustRightInd w:val="0"/>
        <w:snapToGrid w:val="0"/>
        <w:spacing w:line="360" w:lineRule="auto"/>
        <w:ind w:firstLine="200"/>
        <w:rPr>
          <w:rFonts w:ascii="宋体" w:hAnsi="宋体"/>
          <w:kern w:val="0"/>
          <w:sz w:val="24"/>
        </w:rPr>
      </w:pP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83" w:name="_Toc48122012"/>
      <w:bookmarkStart w:id="84" w:name="_Toc3087"/>
      <w:bookmarkStart w:id="85" w:name="_Toc17950"/>
      <w:bookmarkStart w:id="86" w:name="_Toc21491"/>
      <w:r>
        <w:rPr>
          <w:rFonts w:hint="eastAsia" w:ascii="宋体" w:hAnsi="宋体"/>
          <w:b/>
          <w:kern w:val="0"/>
          <w:sz w:val="30"/>
        </w:rPr>
        <w:t>十</w:t>
      </w:r>
      <w:r>
        <w:rPr>
          <w:rFonts w:hint="eastAsia" w:ascii="宋体" w:hAnsi="宋体"/>
          <w:b/>
          <w:kern w:val="0"/>
          <w:sz w:val="30"/>
          <w:lang w:val="en-US" w:eastAsia="zh-CN"/>
        </w:rPr>
        <w:t>一</w:t>
      </w:r>
      <w:r>
        <w:rPr>
          <w:rFonts w:hint="eastAsia" w:ascii="宋体" w:hAnsi="宋体"/>
          <w:b/>
          <w:kern w:val="0"/>
          <w:sz w:val="30"/>
        </w:rPr>
        <w:t>、基金资产的估值</w:t>
      </w:r>
      <w:bookmarkEnd w:id="83"/>
      <w:bookmarkEnd w:id="84"/>
      <w:bookmarkEnd w:id="85"/>
      <w:bookmarkEnd w:id="86"/>
    </w:p>
    <w:p>
      <w:pPr>
        <w:adjustRightInd w:val="0"/>
        <w:snapToGrid w:val="0"/>
        <w:spacing w:line="360" w:lineRule="auto"/>
        <w:ind w:firstLine="482" w:firstLineChars="200"/>
        <w:outlineLvl w:val="1"/>
        <w:rPr>
          <w:b/>
          <w:sz w:val="24"/>
          <w:szCs w:val="24"/>
        </w:rPr>
      </w:pPr>
      <w:bookmarkStart w:id="87" w:name="_Hlk50017869"/>
      <w:bookmarkStart w:id="88" w:name="_Hlk54606108"/>
      <w:r>
        <w:rPr>
          <w:rFonts w:hAnsi="宋体"/>
          <w:b/>
          <w:sz w:val="24"/>
          <w:szCs w:val="24"/>
        </w:rPr>
        <w:t>（一）估值日</w:t>
      </w:r>
    </w:p>
    <w:p>
      <w:pPr>
        <w:adjustRightInd w:val="0"/>
        <w:snapToGrid w:val="0"/>
        <w:spacing w:line="360" w:lineRule="auto"/>
        <w:ind w:firstLine="480" w:firstLineChars="200"/>
        <w:rPr>
          <w:sz w:val="24"/>
          <w:szCs w:val="24"/>
        </w:rPr>
      </w:pPr>
      <w:r>
        <w:rPr>
          <w:rFonts w:hint="eastAsia" w:hAnsi="宋体"/>
          <w:sz w:val="24"/>
          <w:szCs w:val="24"/>
        </w:rPr>
        <w:t>本基金的估值日为本基金相关的证券交易场所的交易日以及国家法律法规规定需要对外披露基金净值的非交易日。</w:t>
      </w:r>
    </w:p>
    <w:p>
      <w:pPr>
        <w:adjustRightInd w:val="0"/>
        <w:snapToGrid w:val="0"/>
        <w:spacing w:line="360" w:lineRule="auto"/>
        <w:ind w:firstLine="482" w:firstLineChars="200"/>
        <w:outlineLvl w:val="1"/>
        <w:rPr>
          <w:b/>
          <w:bCs/>
          <w:sz w:val="24"/>
          <w:szCs w:val="24"/>
        </w:rPr>
      </w:pPr>
      <w:r>
        <w:rPr>
          <w:b/>
          <w:bCs/>
          <w:sz w:val="24"/>
          <w:szCs w:val="24"/>
        </w:rPr>
        <w:t>（二）估值对象</w:t>
      </w:r>
    </w:p>
    <w:p>
      <w:pPr>
        <w:adjustRightInd w:val="0"/>
        <w:snapToGrid w:val="0"/>
        <w:spacing w:line="360" w:lineRule="auto"/>
        <w:ind w:firstLine="480" w:firstLineChars="200"/>
        <w:rPr>
          <w:bCs/>
          <w:sz w:val="24"/>
          <w:szCs w:val="24"/>
        </w:rPr>
      </w:pPr>
      <w:r>
        <w:rPr>
          <w:rFonts w:hint="eastAsia"/>
          <w:bCs/>
          <w:sz w:val="24"/>
          <w:szCs w:val="24"/>
        </w:rPr>
        <w:t>基金所拥有的股票、基金、债券、资产支持证券、金融衍生品和其他投资等持续以公允价值计量的金融资产及负债。</w:t>
      </w:r>
    </w:p>
    <w:p>
      <w:pPr>
        <w:adjustRightInd w:val="0"/>
        <w:snapToGrid w:val="0"/>
        <w:spacing w:line="360" w:lineRule="auto"/>
        <w:ind w:firstLine="482" w:firstLineChars="200"/>
        <w:outlineLvl w:val="1"/>
        <w:rPr>
          <w:rFonts w:hAnsi="宋体"/>
          <w:b/>
          <w:sz w:val="24"/>
          <w:szCs w:val="24"/>
        </w:rPr>
      </w:pPr>
      <w:r>
        <w:rPr>
          <w:rFonts w:hAnsi="宋体"/>
          <w:b/>
          <w:sz w:val="24"/>
          <w:szCs w:val="24"/>
        </w:rPr>
        <w:t>（三）估值</w:t>
      </w:r>
      <w:r>
        <w:rPr>
          <w:rFonts w:hint="eastAsia" w:hAnsi="宋体"/>
          <w:b/>
          <w:sz w:val="24"/>
          <w:szCs w:val="24"/>
        </w:rPr>
        <w:t>原则</w:t>
      </w:r>
    </w:p>
    <w:p>
      <w:pPr>
        <w:adjustRightInd w:val="0"/>
        <w:snapToGrid w:val="0"/>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pPr>
        <w:adjustRightInd w:val="0"/>
        <w:snapToGrid w:val="0"/>
        <w:spacing w:line="360" w:lineRule="auto"/>
        <w:ind w:firstLine="480" w:firstLineChars="200"/>
        <w:rPr>
          <w:bCs/>
          <w:sz w:val="24"/>
        </w:rPr>
      </w:pPr>
      <w:r>
        <w:rPr>
          <w:rFonts w:hint="eastAsia"/>
          <w:bCs/>
          <w:sz w:val="24"/>
        </w:rPr>
        <w:t>1</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djustRightInd w:val="0"/>
        <w:snapToGrid w:val="0"/>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djustRightInd w:val="0"/>
        <w:snapToGrid w:val="0"/>
        <w:spacing w:line="360" w:lineRule="auto"/>
        <w:ind w:firstLine="480" w:firstLineChars="200"/>
        <w:rPr>
          <w:bCs/>
          <w:sz w:val="24"/>
        </w:rPr>
      </w:pPr>
      <w:r>
        <w:rPr>
          <w:rFonts w:hint="eastAsia"/>
          <w:bCs/>
          <w:sz w:val="24"/>
        </w:rPr>
        <w:t>2</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adjustRightInd w:val="0"/>
        <w:snapToGrid w:val="0"/>
        <w:spacing w:line="360" w:lineRule="auto"/>
        <w:ind w:firstLine="480" w:firstLineChars="200"/>
        <w:rPr>
          <w:bCs/>
          <w:sz w:val="24"/>
        </w:rPr>
      </w:pPr>
      <w:r>
        <w:rPr>
          <w:bCs/>
          <w:sz w:val="24"/>
        </w:rPr>
        <w:t>3、</w:t>
      </w:r>
      <w:r>
        <w:rPr>
          <w:rFonts w:hint="eastAsia"/>
          <w:bCs/>
          <w:sz w:val="24"/>
        </w:rPr>
        <w:t>如经济环境发生重大变化或证券发行人发生影响证券价格的重大事件，使潜在估值调整对前一估值日的基金资产净值的影响在0.25%以上的，应对估值进行调整并确定公允价值。</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四</w:t>
      </w:r>
      <w:r>
        <w:rPr>
          <w:rFonts w:hAnsi="宋体"/>
          <w:b/>
          <w:sz w:val="24"/>
          <w:szCs w:val="24"/>
        </w:rPr>
        <w:t>）估值方法</w:t>
      </w:r>
    </w:p>
    <w:p>
      <w:pPr>
        <w:adjustRightInd w:val="0"/>
        <w:snapToGrid w:val="0"/>
        <w:spacing w:line="360" w:lineRule="auto"/>
        <w:ind w:firstLine="480" w:firstLineChars="200"/>
        <w:rPr>
          <w:sz w:val="24"/>
          <w:szCs w:val="24"/>
        </w:rPr>
      </w:pPr>
      <w:r>
        <w:rPr>
          <w:rFonts w:hint="eastAsia"/>
          <w:sz w:val="24"/>
          <w:szCs w:val="24"/>
        </w:rPr>
        <w:t>1、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spacing w:line="360" w:lineRule="auto"/>
        <w:ind w:firstLine="480" w:firstLineChars="200"/>
        <w:rPr>
          <w:sz w:val="24"/>
          <w:szCs w:val="24"/>
        </w:rPr>
      </w:pPr>
      <w:r>
        <w:rPr>
          <w:rFonts w:hint="eastAsia"/>
          <w:sz w:val="24"/>
          <w:szCs w:val="24"/>
        </w:rPr>
        <w:t>2、处于未上市期间的有价证券应区分如下情况处理：</w:t>
      </w:r>
    </w:p>
    <w:p>
      <w:pPr>
        <w:adjustRightInd w:val="0"/>
        <w:snapToGrid w:val="0"/>
        <w:spacing w:line="360" w:lineRule="auto"/>
        <w:ind w:firstLine="480" w:firstLineChars="200"/>
        <w:rPr>
          <w:sz w:val="24"/>
          <w:szCs w:val="24"/>
        </w:rPr>
      </w:pPr>
      <w:r>
        <w:rPr>
          <w:rFonts w:hint="eastAsia"/>
          <w:sz w:val="24"/>
          <w:szCs w:val="24"/>
        </w:rPr>
        <w:t>（1）送股、转增股、配股和公开增发的新股，按估值日在证券交易所挂牌的同一股票的估值方法估值；该日无交易的，以最近一日的市价（收盘价）估值；</w:t>
      </w:r>
    </w:p>
    <w:p>
      <w:pPr>
        <w:adjustRightInd w:val="0"/>
        <w:snapToGrid w:val="0"/>
        <w:spacing w:line="360" w:lineRule="auto"/>
        <w:ind w:firstLine="480" w:firstLineChars="200"/>
        <w:rPr>
          <w:sz w:val="24"/>
          <w:szCs w:val="24"/>
        </w:rPr>
      </w:pPr>
      <w:r>
        <w:rPr>
          <w:rFonts w:hint="eastAsia"/>
          <w:sz w:val="24"/>
          <w:szCs w:val="24"/>
        </w:rPr>
        <w:t>（2）首次公开发行未上市的股票、债券和权证，采用估值技术确定公允价值；</w:t>
      </w:r>
    </w:p>
    <w:p>
      <w:pPr>
        <w:adjustRightInd w:val="0"/>
        <w:snapToGrid w:val="0"/>
        <w:spacing w:line="360" w:lineRule="auto"/>
        <w:ind w:firstLine="480" w:firstLineChars="200"/>
        <w:rPr>
          <w:sz w:val="24"/>
          <w:szCs w:val="24"/>
        </w:rPr>
      </w:pPr>
      <w:r>
        <w:rPr>
          <w:rFonts w:hint="eastAsia"/>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spacing w:line="360" w:lineRule="auto"/>
        <w:ind w:firstLine="480" w:firstLineChars="200"/>
        <w:rPr>
          <w:sz w:val="24"/>
          <w:szCs w:val="24"/>
        </w:rPr>
      </w:pPr>
      <w:r>
        <w:rPr>
          <w:rFonts w:hint="eastAsia"/>
          <w:sz w:val="24"/>
          <w:szCs w:val="24"/>
        </w:rPr>
        <w:t>3、对于已上市或已挂牌转让的不含权固定收益品种（另有规定的除外），选取第三方估值基准服务机构提供的相应品种当日的估值全价进行估值。</w:t>
      </w:r>
    </w:p>
    <w:p>
      <w:pPr>
        <w:adjustRightInd w:val="0"/>
        <w:snapToGrid w:val="0"/>
        <w:spacing w:line="360" w:lineRule="auto"/>
        <w:ind w:firstLine="480" w:firstLineChars="200"/>
        <w:rPr>
          <w:sz w:val="24"/>
          <w:szCs w:val="24"/>
        </w:rPr>
      </w:pPr>
      <w:r>
        <w:rPr>
          <w:rFonts w:hint="eastAsia"/>
          <w:sz w:val="24"/>
          <w:szCs w:val="24"/>
        </w:rPr>
        <w:t>4、对于已上市或已挂牌转让的含权固定收益品种（另有规定的除外），选取第三方估值基准服务机构提供的相应品种当日的唯一估值全价或推荐估值全价进行估值。</w:t>
      </w:r>
    </w:p>
    <w:p>
      <w:pPr>
        <w:adjustRightInd w:val="0"/>
        <w:snapToGrid w:val="0"/>
        <w:spacing w:line="360" w:lineRule="auto"/>
        <w:ind w:firstLine="480" w:firstLineChars="20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djustRightInd w:val="0"/>
        <w:snapToGrid w:val="0"/>
        <w:spacing w:line="360" w:lineRule="auto"/>
        <w:ind w:firstLine="480" w:firstLineChars="200"/>
        <w:rPr>
          <w:sz w:val="24"/>
          <w:szCs w:val="24"/>
        </w:rPr>
      </w:pPr>
      <w:r>
        <w:rPr>
          <w:rFonts w:hint="eastAsia"/>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spacing w:line="360" w:lineRule="auto"/>
        <w:ind w:firstLine="480" w:firstLineChars="200"/>
        <w:rPr>
          <w:sz w:val="24"/>
          <w:szCs w:val="24"/>
        </w:rPr>
      </w:pPr>
      <w:r>
        <w:rPr>
          <w:rFonts w:hint="eastAsia"/>
          <w:sz w:val="24"/>
          <w:szCs w:val="24"/>
        </w:rPr>
        <w:t>6、对于未上市或未挂牌转让且不存在活跃市场的固定收益品种，采用在当前情况下适用并且有足够可利用数据和其他信息支持的估值技术确定其公允价值。</w:t>
      </w:r>
    </w:p>
    <w:p>
      <w:pPr>
        <w:adjustRightInd w:val="0"/>
        <w:snapToGrid w:val="0"/>
        <w:spacing w:line="360" w:lineRule="auto"/>
        <w:ind w:firstLine="480" w:firstLineChars="200"/>
        <w:rPr>
          <w:sz w:val="24"/>
          <w:szCs w:val="24"/>
        </w:rPr>
      </w:pPr>
      <w:r>
        <w:rPr>
          <w:rFonts w:hint="eastAsia"/>
          <w:sz w:val="24"/>
          <w:szCs w:val="24"/>
        </w:rPr>
        <w:t>7、本基金投资股指期货合约，一般以估值当日结算价进行估值，估值当日无结算价的，且最近交易日后经济环境未发生重大变化的，采用最近交易日结算价估值。本基金投资股票期权合约，根据相关法律法规以及监管部门的规定估值。</w:t>
      </w:r>
    </w:p>
    <w:p>
      <w:pPr>
        <w:adjustRightInd w:val="0"/>
        <w:snapToGrid w:val="0"/>
        <w:spacing w:line="360" w:lineRule="auto"/>
        <w:ind w:firstLine="480" w:firstLineChars="200"/>
        <w:rPr>
          <w:sz w:val="24"/>
          <w:szCs w:val="24"/>
        </w:rPr>
      </w:pPr>
      <w:r>
        <w:rPr>
          <w:rFonts w:hint="eastAsia"/>
          <w:sz w:val="24"/>
          <w:szCs w:val="24"/>
        </w:rPr>
        <w:t>8、同一证券同时在两个或两个以上市场交易的，按证券所处的市场分别估值。</w:t>
      </w:r>
    </w:p>
    <w:p>
      <w:pPr>
        <w:adjustRightInd w:val="0"/>
        <w:snapToGrid w:val="0"/>
        <w:spacing w:line="360" w:lineRule="auto"/>
        <w:ind w:firstLine="480" w:firstLineChars="200"/>
        <w:rPr>
          <w:sz w:val="24"/>
          <w:szCs w:val="24"/>
        </w:rPr>
      </w:pPr>
      <w:r>
        <w:rPr>
          <w:rFonts w:hint="eastAsia"/>
          <w:sz w:val="24"/>
          <w:szCs w:val="24"/>
        </w:rPr>
        <w:t>9、外汇汇率</w:t>
      </w:r>
    </w:p>
    <w:p>
      <w:pPr>
        <w:adjustRightInd w:val="0"/>
        <w:snapToGrid w:val="0"/>
        <w:spacing w:line="360" w:lineRule="auto"/>
        <w:ind w:firstLine="480" w:firstLineChars="200"/>
        <w:rPr>
          <w:sz w:val="24"/>
          <w:szCs w:val="24"/>
        </w:rPr>
      </w:pPr>
      <w:r>
        <w:rPr>
          <w:rFonts w:hint="eastAsia"/>
          <w:sz w:val="24"/>
          <w:szCs w:val="24"/>
        </w:rPr>
        <w:t>（1）估值计算中涉及港币、美元、英镑、欧元、日元等五种主要货币对人民币汇率的，将依据下列信息提供机构所提供的汇率为基准：当日中国人民银行或其授权机构公布的人民币与主要货币的中间价。</w:t>
      </w:r>
    </w:p>
    <w:p>
      <w:pPr>
        <w:adjustRightInd w:val="0"/>
        <w:snapToGrid w:val="0"/>
        <w:spacing w:line="360" w:lineRule="auto"/>
        <w:ind w:firstLine="480" w:firstLineChars="200"/>
        <w:rPr>
          <w:sz w:val="24"/>
          <w:szCs w:val="24"/>
        </w:rPr>
      </w:pPr>
      <w:r>
        <w:rPr>
          <w:rFonts w:hint="eastAsia"/>
          <w:sz w:val="24"/>
          <w:szCs w:val="24"/>
        </w:rPr>
        <w:t>（2）涉及到其它币种与人民币之间的汇率，参照数据服务商提供的当日各种货币兑美元折算率采用套算的方法进行折算。</w:t>
      </w:r>
    </w:p>
    <w:p>
      <w:pPr>
        <w:adjustRightInd w:val="0"/>
        <w:snapToGrid w:val="0"/>
        <w:spacing w:line="360" w:lineRule="auto"/>
        <w:ind w:firstLine="480" w:firstLineChars="200"/>
        <w:rPr>
          <w:sz w:val="24"/>
          <w:szCs w:val="24"/>
        </w:rPr>
      </w:pPr>
      <w:r>
        <w:rPr>
          <w:rFonts w:hint="eastAsia"/>
          <w:sz w:val="24"/>
          <w:szCs w:val="24"/>
        </w:rPr>
        <w:t>若本基金现行估值汇率不再发布或发生重大变更，或市场上出现更为公允、更适合本基金的估值汇率时，基金管理人与基金托管人协商一致并履行适当程序后，可根据实际情况调整本基金的估值汇率，无需召开基金份额持有人大会。</w:t>
      </w:r>
    </w:p>
    <w:p>
      <w:pPr>
        <w:adjustRightInd w:val="0"/>
        <w:snapToGrid w:val="0"/>
        <w:spacing w:line="360" w:lineRule="auto"/>
        <w:ind w:firstLine="480" w:firstLineChars="200"/>
        <w:rPr>
          <w:sz w:val="24"/>
          <w:szCs w:val="24"/>
        </w:rPr>
      </w:pPr>
      <w:r>
        <w:rPr>
          <w:rFonts w:hint="eastAsia"/>
          <w:sz w:val="24"/>
          <w:szCs w:val="24"/>
        </w:rPr>
        <w:t>10、境外基金估值方法</w:t>
      </w:r>
    </w:p>
    <w:p>
      <w:pPr>
        <w:adjustRightInd w:val="0"/>
        <w:snapToGrid w:val="0"/>
        <w:spacing w:line="360" w:lineRule="auto"/>
        <w:ind w:firstLine="480" w:firstLineChars="200"/>
        <w:rPr>
          <w:sz w:val="24"/>
          <w:szCs w:val="24"/>
        </w:rPr>
      </w:pPr>
      <w:r>
        <w:rPr>
          <w:rFonts w:hint="eastAsia"/>
          <w:sz w:val="24"/>
          <w:szCs w:val="24"/>
        </w:rPr>
        <w:t>（1）上市流通的基金按估值日其所在证券交易所的收盘价估值；估值日无交易的，以最近交易日的收盘价估值；</w:t>
      </w:r>
    </w:p>
    <w:p>
      <w:pPr>
        <w:adjustRightInd w:val="0"/>
        <w:snapToGrid w:val="0"/>
        <w:spacing w:line="360" w:lineRule="auto"/>
        <w:ind w:firstLine="480" w:firstLineChars="200"/>
        <w:rPr>
          <w:sz w:val="24"/>
          <w:szCs w:val="24"/>
        </w:rPr>
      </w:pPr>
      <w:r>
        <w:rPr>
          <w:rFonts w:hint="eastAsia"/>
          <w:sz w:val="24"/>
          <w:szCs w:val="24"/>
        </w:rPr>
        <w:t>（2）非上市流通基金以估值截止时点能够取得的最新基金份额净值进行估值。</w:t>
      </w:r>
    </w:p>
    <w:p>
      <w:pPr>
        <w:adjustRightInd w:val="0"/>
        <w:snapToGrid w:val="0"/>
        <w:spacing w:line="360" w:lineRule="auto"/>
        <w:ind w:firstLine="480" w:firstLineChars="200"/>
        <w:rPr>
          <w:sz w:val="24"/>
          <w:szCs w:val="24"/>
        </w:rPr>
      </w:pPr>
      <w:r>
        <w:rPr>
          <w:rFonts w:hint="eastAsia"/>
          <w:sz w:val="24"/>
          <w:szCs w:val="24"/>
        </w:rPr>
        <w:t>11、对于按照中国法律法规和基金投资境外交易场所所在地的法律法规规定应交纳的各项税金，本基金将按权责发生制原则进行估值；对于因税收规定调整或其他原因导致本基金实际交纳税金与估算的应交税金有差异的，本基金将在相关税金调整日或实际支付日进行相应的会计处理。</w:t>
      </w:r>
    </w:p>
    <w:p>
      <w:pPr>
        <w:adjustRightInd w:val="0"/>
        <w:snapToGrid w:val="0"/>
        <w:spacing w:line="360" w:lineRule="auto"/>
        <w:ind w:firstLine="480" w:firstLineChars="200"/>
        <w:rPr>
          <w:sz w:val="24"/>
          <w:szCs w:val="24"/>
        </w:rPr>
      </w:pPr>
      <w:r>
        <w:rPr>
          <w:rFonts w:hint="eastAsia"/>
          <w:sz w:val="24"/>
          <w:szCs w:val="24"/>
        </w:rPr>
        <w:t>对于非代扣代缴的税收，基金管理人可聘请税收顾问对相关投资市场的税收情况给予意见和建议。境外托管人根据基金管理人的指示具体协调基金在海外税务的申报、缴纳及索取税收返还等相关工作。</w:t>
      </w:r>
    </w:p>
    <w:p>
      <w:pPr>
        <w:adjustRightInd w:val="0"/>
        <w:snapToGrid w:val="0"/>
        <w:spacing w:line="360" w:lineRule="auto"/>
        <w:ind w:firstLine="480" w:firstLineChars="200"/>
        <w:rPr>
          <w:sz w:val="24"/>
          <w:szCs w:val="24"/>
        </w:rPr>
      </w:pPr>
      <w:r>
        <w:rPr>
          <w:rFonts w:hint="eastAsia"/>
          <w:sz w:val="24"/>
          <w:szCs w:val="24"/>
        </w:rPr>
        <w:t>12、本基金投资境内存托凭证的估值核算，依照境内上市交易的股票执行；本基金投资境外存托凭证的估值核算，依照其所在证券交易所的最近交易日的收盘价估值。</w:t>
      </w:r>
    </w:p>
    <w:p>
      <w:pPr>
        <w:adjustRightInd w:val="0"/>
        <w:snapToGrid w:val="0"/>
        <w:spacing w:line="360" w:lineRule="auto"/>
        <w:ind w:firstLine="480" w:firstLineChars="200"/>
        <w:rPr>
          <w:sz w:val="24"/>
          <w:szCs w:val="24"/>
        </w:rPr>
      </w:pPr>
      <w:r>
        <w:rPr>
          <w:rFonts w:hint="eastAsia"/>
          <w:sz w:val="24"/>
          <w:szCs w:val="24"/>
        </w:rPr>
        <w:t>13、境外衍生工具估值方法</w:t>
      </w:r>
    </w:p>
    <w:p>
      <w:pPr>
        <w:adjustRightInd w:val="0"/>
        <w:snapToGrid w:val="0"/>
        <w:spacing w:line="360" w:lineRule="auto"/>
        <w:ind w:firstLine="480" w:firstLineChars="200"/>
        <w:rPr>
          <w:sz w:val="24"/>
          <w:szCs w:val="24"/>
        </w:rPr>
      </w:pPr>
      <w:r>
        <w:rPr>
          <w:rFonts w:hint="eastAsia"/>
          <w:sz w:val="24"/>
          <w:szCs w:val="24"/>
        </w:rPr>
        <w:t>（1）上市流通的衍生品按估值日其所在证券交易所的收盘价估值；估值日无交易的，以最近交易日的收盘价估值；</w:t>
      </w:r>
    </w:p>
    <w:p>
      <w:pPr>
        <w:adjustRightInd w:val="0"/>
        <w:snapToGrid w:val="0"/>
        <w:spacing w:line="360" w:lineRule="auto"/>
        <w:ind w:firstLine="480" w:firstLineChars="200"/>
        <w:rPr>
          <w:sz w:val="24"/>
          <w:szCs w:val="24"/>
        </w:rPr>
      </w:pPr>
      <w:r>
        <w:rPr>
          <w:rFonts w:hint="eastAsia"/>
          <w:sz w:val="24"/>
          <w:szCs w:val="24"/>
        </w:rPr>
        <w:t>（2）未上市流通的衍生品，应当采用估值技术确定其公允价值。采用估值技术得出的结果，应当反映估值日在公平交易中可能采用的交易价格。</w:t>
      </w:r>
    </w:p>
    <w:p>
      <w:pPr>
        <w:adjustRightInd w:val="0"/>
        <w:snapToGrid w:val="0"/>
        <w:spacing w:line="360" w:lineRule="auto"/>
        <w:ind w:firstLine="480" w:firstLineChars="200"/>
        <w:rPr>
          <w:sz w:val="24"/>
          <w:szCs w:val="24"/>
        </w:rPr>
      </w:pPr>
      <w:r>
        <w:rPr>
          <w:rFonts w:hint="eastAsia"/>
          <w:sz w:val="24"/>
          <w:szCs w:val="24"/>
        </w:rPr>
        <w:t>（3）衍生品的估值，可以参考国际会计准则进行。</w:t>
      </w:r>
    </w:p>
    <w:p>
      <w:pPr>
        <w:adjustRightInd w:val="0"/>
        <w:snapToGrid w:val="0"/>
        <w:spacing w:line="360" w:lineRule="auto"/>
        <w:ind w:firstLine="480" w:firstLineChars="200"/>
        <w:rPr>
          <w:sz w:val="24"/>
          <w:szCs w:val="24"/>
        </w:rPr>
      </w:pPr>
      <w:r>
        <w:rPr>
          <w:rFonts w:hint="eastAsia"/>
          <w:sz w:val="24"/>
          <w:szCs w:val="24"/>
        </w:rPr>
        <w:t>14、如有确凿证据表明按上述方法进行估值不能客观反映其公允价值的，基金管理人可根据具体情况与基金托管人商定后，按最能反映公允价值的价格估值。</w:t>
      </w:r>
    </w:p>
    <w:p>
      <w:pPr>
        <w:adjustRightInd w:val="0"/>
        <w:snapToGrid w:val="0"/>
        <w:spacing w:line="360" w:lineRule="auto"/>
        <w:ind w:firstLine="480" w:firstLineChars="200"/>
        <w:rPr>
          <w:sz w:val="24"/>
          <w:szCs w:val="24"/>
        </w:rPr>
      </w:pPr>
      <w:r>
        <w:rPr>
          <w:rFonts w:hint="eastAsia"/>
          <w:sz w:val="24"/>
          <w:szCs w:val="24"/>
        </w:rPr>
        <w:t>15、当发生大额申购或赎回情形时，基金管理人可以采用摆动定价机制，以确保基金估值的公平性。</w:t>
      </w:r>
    </w:p>
    <w:p>
      <w:pPr>
        <w:adjustRightInd w:val="0"/>
        <w:snapToGrid w:val="0"/>
        <w:spacing w:line="360" w:lineRule="auto"/>
        <w:ind w:firstLine="480" w:firstLineChars="200"/>
        <w:rPr>
          <w:sz w:val="24"/>
          <w:szCs w:val="24"/>
        </w:rPr>
      </w:pPr>
      <w:r>
        <w:rPr>
          <w:rFonts w:hint="eastAsia"/>
          <w:sz w:val="24"/>
          <w:szCs w:val="24"/>
        </w:rPr>
        <w:t>16、相关法律法规以及监管部门有强制规定的，从其规定。如有新增事项，按国家最新规定估值。</w:t>
      </w:r>
    </w:p>
    <w:p>
      <w:pPr>
        <w:adjustRightInd w:val="0"/>
        <w:snapToGrid w:val="0"/>
        <w:spacing w:line="360" w:lineRule="auto"/>
        <w:ind w:firstLine="480" w:firstLineChars="20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spacing w:line="360" w:lineRule="auto"/>
        <w:ind w:firstLine="480" w:firstLineChars="20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bCs/>
          <w:sz w:val="24"/>
        </w:rPr>
        <w:t>净值信息</w:t>
      </w:r>
      <w:r>
        <w:rPr>
          <w:rFonts w:hint="eastAsia"/>
          <w:sz w:val="24"/>
          <w:szCs w:val="24"/>
        </w:rPr>
        <w:t>的计算结果对外予以公布。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五</w:t>
      </w:r>
      <w:r>
        <w:rPr>
          <w:rFonts w:hAnsi="宋体"/>
          <w:b/>
          <w:sz w:val="24"/>
          <w:szCs w:val="24"/>
        </w:rPr>
        <w:t>）估值程序</w:t>
      </w:r>
    </w:p>
    <w:p>
      <w:pPr>
        <w:adjustRightInd w:val="0"/>
        <w:snapToGrid w:val="0"/>
        <w:spacing w:line="360" w:lineRule="auto"/>
        <w:ind w:firstLine="480" w:firstLineChars="200"/>
        <w:rPr>
          <w:sz w:val="24"/>
          <w:szCs w:val="24"/>
        </w:rPr>
      </w:pPr>
      <w:r>
        <w:rPr>
          <w:rFonts w:hint="eastAsia"/>
          <w:sz w:val="24"/>
          <w:szCs w:val="24"/>
        </w:rPr>
        <w:t>1、</w:t>
      </w:r>
      <w:r>
        <w:rPr>
          <w:rFonts w:hint="eastAsia"/>
          <w:bCs/>
          <w:sz w:val="24"/>
        </w:rPr>
        <w:t>各类</w:t>
      </w:r>
      <w:r>
        <w:rPr>
          <w:bCs/>
          <w:sz w:val="24"/>
        </w:rPr>
        <w:t>基金份额</w:t>
      </w:r>
      <w:r>
        <w:rPr>
          <w:rFonts w:hint="eastAsia"/>
          <w:bCs/>
          <w:sz w:val="24"/>
        </w:rPr>
        <w:t>的</w:t>
      </w:r>
      <w:r>
        <w:rPr>
          <w:rFonts w:hint="eastAsia"/>
          <w:sz w:val="24"/>
          <w:szCs w:val="24"/>
        </w:rPr>
        <w:t>基金份额净值是按照每个估值日，</w:t>
      </w:r>
      <w:r>
        <w:rPr>
          <w:rFonts w:hint="eastAsia"/>
          <w:bCs/>
          <w:sz w:val="24"/>
        </w:rPr>
        <w:t>该类基金份额的</w:t>
      </w:r>
      <w:r>
        <w:rPr>
          <w:rFonts w:hint="eastAsia"/>
          <w:sz w:val="24"/>
          <w:szCs w:val="24"/>
        </w:rPr>
        <w:t>基金资产净值除以当日</w:t>
      </w:r>
      <w:r>
        <w:rPr>
          <w:rFonts w:hint="eastAsia"/>
          <w:bCs/>
          <w:sz w:val="24"/>
        </w:rPr>
        <w:t>该类</w:t>
      </w:r>
      <w:r>
        <w:rPr>
          <w:rFonts w:hint="eastAsia"/>
          <w:sz w:val="24"/>
          <w:szCs w:val="24"/>
        </w:rPr>
        <w:t>基金份额的余额数量计算，均精确到0.0001元，小数点后第5位四舍五入，由此产生的误差计入基金财产。基金管理人可以设立大额赎回情形下的净值精度应急调整机制，具体可参见相关公告。国家另有规定的，从其规定。</w:t>
      </w:r>
    </w:p>
    <w:p>
      <w:pPr>
        <w:adjustRightInd w:val="0"/>
        <w:snapToGrid w:val="0"/>
        <w:spacing w:line="360" w:lineRule="auto"/>
        <w:ind w:firstLine="480" w:firstLineChars="200"/>
        <w:rPr>
          <w:sz w:val="24"/>
          <w:szCs w:val="24"/>
        </w:rPr>
      </w:pPr>
      <w:r>
        <w:rPr>
          <w:rFonts w:hint="eastAsia"/>
          <w:sz w:val="24"/>
          <w:szCs w:val="24"/>
        </w:rPr>
        <w:t>基金管理人于每个估值日的下一个工作日计算该估值日的</w:t>
      </w:r>
      <w:r>
        <w:rPr>
          <w:rFonts w:hint="eastAsia"/>
          <w:bCs/>
          <w:sz w:val="24"/>
        </w:rPr>
        <w:t>各类</w:t>
      </w:r>
      <w:r>
        <w:rPr>
          <w:bCs/>
          <w:sz w:val="24"/>
        </w:rPr>
        <w:t>基金</w:t>
      </w:r>
      <w:r>
        <w:rPr>
          <w:rFonts w:hint="eastAsia"/>
          <w:bCs/>
          <w:sz w:val="24"/>
        </w:rPr>
        <w:t>份额的</w:t>
      </w:r>
      <w:r>
        <w:rPr>
          <w:rFonts w:hint="eastAsia"/>
          <w:sz w:val="24"/>
          <w:szCs w:val="24"/>
        </w:rPr>
        <w:t>基金资产净值及基金份额净值，经基金托管人复核，并按规定公告。如遇特殊情况，经履行适当程序，可以适当延迟计算或公告。</w:t>
      </w:r>
    </w:p>
    <w:p>
      <w:pPr>
        <w:adjustRightInd w:val="0"/>
        <w:snapToGrid w:val="0"/>
        <w:spacing w:line="360" w:lineRule="auto"/>
        <w:ind w:firstLine="480" w:firstLineChars="200"/>
        <w:rPr>
          <w:sz w:val="24"/>
          <w:szCs w:val="24"/>
        </w:rPr>
      </w:pPr>
      <w:r>
        <w:rPr>
          <w:rFonts w:hint="eastAsia"/>
          <w:sz w:val="24"/>
          <w:szCs w:val="24"/>
        </w:rPr>
        <w:t>2、基金管理人应每个估值日的下一个工作日对该估值日的基金资产估值，但基金管理人根据法律法规或基金合同的规定暂停估值时除外。基金管理人对基金资产估值后，将基金资产净值、</w:t>
      </w:r>
      <w:r>
        <w:rPr>
          <w:rFonts w:hint="eastAsia"/>
          <w:bCs/>
          <w:sz w:val="24"/>
        </w:rPr>
        <w:t>各类</w:t>
      </w:r>
      <w:r>
        <w:rPr>
          <w:rFonts w:hint="eastAsia"/>
          <w:sz w:val="24"/>
          <w:szCs w:val="24"/>
        </w:rPr>
        <w:t>基金份额净值结果发送基金托管人，经基金托管人复核无误后，由基金管理人依据基金合同和相关法律法规的规定对外公布。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六</w:t>
      </w:r>
      <w:r>
        <w:rPr>
          <w:rFonts w:hAnsi="宋体"/>
          <w:b/>
          <w:sz w:val="24"/>
          <w:szCs w:val="24"/>
        </w:rPr>
        <w:t>）估值错误的处理</w:t>
      </w:r>
    </w:p>
    <w:p>
      <w:pPr>
        <w:adjustRightInd w:val="0"/>
        <w:snapToGrid w:val="0"/>
        <w:spacing w:line="360" w:lineRule="auto"/>
        <w:ind w:firstLine="480" w:firstLineChars="200"/>
        <w:rPr>
          <w:rFonts w:hAnsi="宋体"/>
          <w:sz w:val="24"/>
          <w:szCs w:val="24"/>
        </w:rPr>
      </w:pPr>
      <w:r>
        <w:rPr>
          <w:rFonts w:hint="eastAsia" w:hAnsi="宋体"/>
          <w:sz w:val="24"/>
          <w:szCs w:val="24"/>
        </w:rPr>
        <w:t>基金管理人和基金托管人将采取必要、适当、合理的措施确保基金资产估值的准确性、及时性。当任一类基金份额净值小数点后4位以内（含第4位）发生估值错误时，视为基金份额净值错误。</w:t>
      </w:r>
    </w:p>
    <w:p>
      <w:pPr>
        <w:adjustRightInd w:val="0"/>
        <w:snapToGrid w:val="0"/>
        <w:spacing w:line="360" w:lineRule="auto"/>
        <w:ind w:firstLine="480" w:firstLineChars="200"/>
        <w:rPr>
          <w:rFonts w:hAnsi="宋体"/>
          <w:sz w:val="24"/>
          <w:szCs w:val="24"/>
        </w:rPr>
      </w:pPr>
      <w:r>
        <w:rPr>
          <w:rFonts w:hint="eastAsia" w:hAnsi="宋体"/>
          <w:sz w:val="24"/>
          <w:szCs w:val="24"/>
        </w:rPr>
        <w:t>基金合同的当事人应按照以下约定处理：</w:t>
      </w:r>
    </w:p>
    <w:p>
      <w:pPr>
        <w:adjustRightInd w:val="0"/>
        <w:snapToGrid w:val="0"/>
        <w:spacing w:line="360" w:lineRule="auto"/>
        <w:ind w:firstLine="480" w:firstLineChars="200"/>
        <w:outlineLvl w:val="2"/>
        <w:rPr>
          <w:rFonts w:hAnsi="宋体"/>
          <w:sz w:val="24"/>
          <w:szCs w:val="24"/>
        </w:rPr>
      </w:pPr>
      <w:r>
        <w:rPr>
          <w:rFonts w:hint="eastAsia" w:hAnsi="宋体"/>
          <w:sz w:val="24"/>
          <w:szCs w:val="24"/>
        </w:rPr>
        <w:t>1、估值错误类型</w:t>
      </w:r>
    </w:p>
    <w:p>
      <w:pPr>
        <w:adjustRightInd w:val="0"/>
        <w:snapToGrid w:val="0"/>
        <w:spacing w:line="360" w:lineRule="auto"/>
        <w:ind w:firstLine="480" w:firstLineChars="200"/>
        <w:rPr>
          <w:rFonts w:hAnsi="宋体"/>
          <w:sz w:val="24"/>
          <w:szCs w:val="24"/>
        </w:rPr>
      </w:pPr>
      <w:r>
        <w:rPr>
          <w:rFonts w:hint="eastAsia" w:hAnsi="宋体"/>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adjustRightInd w:val="0"/>
        <w:snapToGrid w:val="0"/>
        <w:spacing w:line="360" w:lineRule="auto"/>
        <w:ind w:firstLine="480" w:firstLineChars="200"/>
        <w:rPr>
          <w:rFonts w:hAnsi="宋体"/>
          <w:sz w:val="24"/>
          <w:szCs w:val="24"/>
        </w:rPr>
      </w:pPr>
      <w:r>
        <w:rPr>
          <w:rFonts w:hint="eastAsia" w:hAnsi="宋体"/>
          <w:sz w:val="24"/>
          <w:szCs w:val="24"/>
        </w:rPr>
        <w:t>上述估值错误的主要类型包括但不限于：资料申报差错、数据传输差错、数据计算差错、系统故障差错、下达指令差错等。</w:t>
      </w:r>
    </w:p>
    <w:p>
      <w:pPr>
        <w:adjustRightInd w:val="0"/>
        <w:snapToGrid w:val="0"/>
        <w:spacing w:line="360" w:lineRule="auto"/>
        <w:ind w:firstLine="480" w:firstLineChars="200"/>
        <w:rPr>
          <w:rFonts w:hAnsi="宋体"/>
          <w:sz w:val="24"/>
          <w:szCs w:val="24"/>
        </w:rPr>
      </w:pPr>
      <w:r>
        <w:rPr>
          <w:rFonts w:hint="eastAsia" w:hAnsi="宋体"/>
          <w:sz w:val="24"/>
          <w:szCs w:val="24"/>
        </w:rPr>
        <w:t>对于因技术原因引起的差错，若系同行业现有技术水平无法预见、无法避免、无法抗拒，则属不可抗力，按照下述规定执行。</w:t>
      </w:r>
    </w:p>
    <w:p>
      <w:pPr>
        <w:adjustRightInd w:val="0"/>
        <w:snapToGrid w:val="0"/>
        <w:spacing w:line="360" w:lineRule="auto"/>
        <w:ind w:firstLine="480" w:firstLineChars="200"/>
        <w:rPr>
          <w:rFonts w:hAnsi="宋体"/>
          <w:sz w:val="24"/>
          <w:szCs w:val="24"/>
        </w:rPr>
      </w:pPr>
      <w:r>
        <w:rPr>
          <w:rFonts w:hint="eastAsia" w:hAnsi="宋体"/>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djustRightInd w:val="0"/>
        <w:snapToGrid w:val="0"/>
        <w:spacing w:line="360" w:lineRule="auto"/>
        <w:ind w:firstLine="480" w:firstLineChars="200"/>
        <w:outlineLvl w:val="2"/>
        <w:rPr>
          <w:rFonts w:hAnsi="宋体"/>
          <w:sz w:val="24"/>
          <w:szCs w:val="24"/>
        </w:rPr>
      </w:pPr>
      <w:r>
        <w:rPr>
          <w:rFonts w:hint="eastAsia" w:hAnsi="宋体"/>
          <w:sz w:val="24"/>
          <w:szCs w:val="24"/>
        </w:rPr>
        <w:t>2、估值错误处理原则</w:t>
      </w:r>
    </w:p>
    <w:p>
      <w:pPr>
        <w:adjustRightInd w:val="0"/>
        <w:snapToGrid w:val="0"/>
        <w:spacing w:line="360" w:lineRule="auto"/>
        <w:ind w:firstLine="480" w:firstLineChars="200"/>
        <w:rPr>
          <w:rFonts w:hAnsi="宋体"/>
          <w:sz w:val="24"/>
          <w:szCs w:val="24"/>
        </w:rPr>
      </w:pPr>
      <w:r>
        <w:rPr>
          <w:rFonts w:hint="eastAsia" w:hAnsi="宋体"/>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djustRightInd w:val="0"/>
        <w:snapToGrid w:val="0"/>
        <w:spacing w:line="360" w:lineRule="auto"/>
        <w:ind w:firstLine="480" w:firstLineChars="200"/>
        <w:rPr>
          <w:rFonts w:hAnsi="宋体"/>
          <w:sz w:val="24"/>
          <w:szCs w:val="24"/>
        </w:rPr>
      </w:pPr>
      <w:r>
        <w:rPr>
          <w:rFonts w:hint="eastAsia" w:hAnsi="宋体"/>
          <w:sz w:val="24"/>
          <w:szCs w:val="24"/>
        </w:rPr>
        <w:t>（2）估值错误的责任方对有关当事人的直接损失负责，不对间接损失负责，并且仅对估值错误的有关直接当事人负责，不对第三方负责。</w:t>
      </w:r>
    </w:p>
    <w:p>
      <w:pPr>
        <w:adjustRightInd w:val="0"/>
        <w:snapToGrid w:val="0"/>
        <w:spacing w:line="360" w:lineRule="auto"/>
        <w:ind w:firstLine="480" w:firstLineChars="200"/>
        <w:rPr>
          <w:rFonts w:hAnsi="宋体"/>
          <w:sz w:val="24"/>
          <w:szCs w:val="24"/>
        </w:rPr>
      </w:pPr>
      <w:r>
        <w:rPr>
          <w:rFonts w:hint="eastAsia" w:hAnsi="宋体"/>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djustRightInd w:val="0"/>
        <w:snapToGrid w:val="0"/>
        <w:spacing w:line="360" w:lineRule="auto"/>
        <w:ind w:firstLine="480" w:firstLineChars="200"/>
        <w:rPr>
          <w:rFonts w:hAnsi="宋体"/>
          <w:sz w:val="24"/>
          <w:szCs w:val="24"/>
        </w:rPr>
      </w:pPr>
      <w:r>
        <w:rPr>
          <w:rFonts w:hint="eastAsia" w:hAnsi="宋体"/>
          <w:sz w:val="24"/>
          <w:szCs w:val="24"/>
        </w:rPr>
        <w:t>（4）估值错误调整采用尽量恢复至假设未发生估值错误的正确情形的方式。</w:t>
      </w:r>
    </w:p>
    <w:p>
      <w:pPr>
        <w:adjustRightInd w:val="0"/>
        <w:snapToGrid w:val="0"/>
        <w:spacing w:line="360" w:lineRule="auto"/>
        <w:ind w:firstLine="480" w:firstLineChars="200"/>
        <w:rPr>
          <w:rFonts w:hAnsi="宋体"/>
          <w:sz w:val="24"/>
          <w:szCs w:val="24"/>
        </w:rPr>
      </w:pPr>
      <w:r>
        <w:rPr>
          <w:rFonts w:hint="eastAsia" w:hAnsi="宋体"/>
          <w:sz w:val="24"/>
          <w:szCs w:val="24"/>
        </w:rPr>
        <w:t>（5）按法律法规规定的其他原则处理估值错误。</w:t>
      </w:r>
    </w:p>
    <w:p>
      <w:pPr>
        <w:adjustRightInd w:val="0"/>
        <w:snapToGrid w:val="0"/>
        <w:spacing w:line="360" w:lineRule="auto"/>
        <w:ind w:firstLine="480" w:firstLineChars="200"/>
        <w:outlineLvl w:val="2"/>
        <w:rPr>
          <w:rFonts w:hAnsi="宋体"/>
          <w:sz w:val="24"/>
          <w:szCs w:val="24"/>
        </w:rPr>
      </w:pPr>
      <w:r>
        <w:rPr>
          <w:rFonts w:hint="eastAsia" w:hAnsi="宋体"/>
          <w:sz w:val="24"/>
          <w:szCs w:val="24"/>
        </w:rPr>
        <w:t>3、估值错误处理程序</w:t>
      </w:r>
    </w:p>
    <w:p>
      <w:pPr>
        <w:adjustRightInd w:val="0"/>
        <w:snapToGrid w:val="0"/>
        <w:spacing w:line="360" w:lineRule="auto"/>
        <w:ind w:firstLine="480" w:firstLineChars="200"/>
        <w:rPr>
          <w:rFonts w:hAnsi="宋体"/>
          <w:sz w:val="24"/>
          <w:szCs w:val="24"/>
        </w:rPr>
      </w:pPr>
      <w:r>
        <w:rPr>
          <w:rFonts w:hint="eastAsia" w:hAnsi="宋体"/>
          <w:sz w:val="24"/>
          <w:szCs w:val="24"/>
        </w:rPr>
        <w:t>估值错误被发现后，有关的当事人应当及时进行处理，处理的程序如下：</w:t>
      </w:r>
    </w:p>
    <w:p>
      <w:pPr>
        <w:adjustRightInd w:val="0"/>
        <w:snapToGrid w:val="0"/>
        <w:spacing w:line="360" w:lineRule="auto"/>
        <w:ind w:firstLine="480" w:firstLineChars="200"/>
        <w:rPr>
          <w:rFonts w:hAnsi="宋体"/>
          <w:sz w:val="24"/>
          <w:szCs w:val="24"/>
        </w:rPr>
      </w:pPr>
      <w:r>
        <w:rPr>
          <w:rFonts w:hint="eastAsia" w:hAnsi="宋体"/>
          <w:sz w:val="24"/>
          <w:szCs w:val="24"/>
        </w:rPr>
        <w:t>（1）查明估值错误发生的原因，列明所有的当事人，并根据估值错误发生的原因确定估值错误的责任方；</w:t>
      </w:r>
    </w:p>
    <w:p>
      <w:pPr>
        <w:adjustRightInd w:val="0"/>
        <w:snapToGrid w:val="0"/>
        <w:spacing w:line="360" w:lineRule="auto"/>
        <w:ind w:firstLine="480" w:firstLineChars="200"/>
        <w:rPr>
          <w:rFonts w:hAnsi="宋体"/>
          <w:sz w:val="24"/>
          <w:szCs w:val="24"/>
        </w:rPr>
      </w:pPr>
      <w:r>
        <w:rPr>
          <w:rFonts w:hint="eastAsia" w:hAnsi="宋体"/>
          <w:sz w:val="24"/>
          <w:szCs w:val="24"/>
        </w:rPr>
        <w:t>（2）根据估值错误处理原则或当事人协商的方法对因估值错误造成的损失进行评估；</w:t>
      </w:r>
    </w:p>
    <w:p>
      <w:pPr>
        <w:adjustRightInd w:val="0"/>
        <w:snapToGrid w:val="0"/>
        <w:spacing w:line="360" w:lineRule="auto"/>
        <w:ind w:firstLine="480" w:firstLineChars="200"/>
        <w:rPr>
          <w:rFonts w:hAnsi="宋体"/>
          <w:sz w:val="24"/>
          <w:szCs w:val="24"/>
        </w:rPr>
      </w:pPr>
      <w:r>
        <w:rPr>
          <w:rFonts w:hint="eastAsia" w:hAnsi="宋体"/>
          <w:sz w:val="24"/>
          <w:szCs w:val="24"/>
        </w:rPr>
        <w:t>（3）根据估值错误处理原则或当事人协商的方法由估值错误的责任方进行更正和赔偿损失；</w:t>
      </w:r>
    </w:p>
    <w:p>
      <w:pPr>
        <w:adjustRightInd w:val="0"/>
        <w:snapToGrid w:val="0"/>
        <w:spacing w:line="360" w:lineRule="auto"/>
        <w:ind w:firstLine="480" w:firstLineChars="200"/>
        <w:rPr>
          <w:rFonts w:hAnsi="宋体"/>
          <w:sz w:val="24"/>
          <w:szCs w:val="24"/>
        </w:rPr>
      </w:pPr>
      <w:r>
        <w:rPr>
          <w:rFonts w:hint="eastAsia" w:hAnsi="宋体"/>
          <w:sz w:val="24"/>
          <w:szCs w:val="24"/>
        </w:rPr>
        <w:t>（4）根据估值错误处理的方法，需要修改基金登记机构交易数据的，由基金登记机构进行更正，并就估值错误的更正向有关当事人进行确认。</w:t>
      </w:r>
    </w:p>
    <w:p>
      <w:pPr>
        <w:adjustRightInd w:val="0"/>
        <w:snapToGrid w:val="0"/>
        <w:spacing w:line="360" w:lineRule="auto"/>
        <w:ind w:firstLine="480" w:firstLineChars="200"/>
        <w:outlineLvl w:val="2"/>
        <w:rPr>
          <w:rFonts w:hAnsi="宋体"/>
          <w:sz w:val="24"/>
          <w:szCs w:val="24"/>
        </w:rPr>
      </w:pPr>
      <w:r>
        <w:rPr>
          <w:rFonts w:hint="eastAsia" w:hAnsi="宋体"/>
          <w:sz w:val="24"/>
          <w:szCs w:val="24"/>
        </w:rPr>
        <w:t>4、基金份额净值估值错误处理的方法如下：</w:t>
      </w:r>
    </w:p>
    <w:p>
      <w:pPr>
        <w:adjustRightInd w:val="0"/>
        <w:snapToGrid w:val="0"/>
        <w:spacing w:line="360" w:lineRule="auto"/>
        <w:ind w:firstLine="480" w:firstLineChars="200"/>
        <w:rPr>
          <w:rFonts w:hAnsi="宋体"/>
          <w:sz w:val="24"/>
          <w:szCs w:val="24"/>
        </w:rPr>
      </w:pPr>
      <w:r>
        <w:rPr>
          <w:rFonts w:hint="eastAsia" w:hAnsi="宋体"/>
          <w:sz w:val="24"/>
          <w:szCs w:val="24"/>
        </w:rPr>
        <w:t>（1）基金份额净值计算出现错误时，基金管理人应当立即予以纠正，通报基金托管人，并采取合理的措施防止损失进一步扩大。</w:t>
      </w:r>
    </w:p>
    <w:p>
      <w:pPr>
        <w:adjustRightInd w:val="0"/>
        <w:snapToGrid w:val="0"/>
        <w:spacing w:line="360" w:lineRule="auto"/>
        <w:ind w:firstLine="480" w:firstLineChars="200"/>
        <w:rPr>
          <w:rFonts w:hAnsi="宋体"/>
          <w:sz w:val="24"/>
          <w:szCs w:val="24"/>
        </w:rPr>
      </w:pPr>
      <w:r>
        <w:rPr>
          <w:rFonts w:hint="eastAsia" w:hAnsi="宋体"/>
          <w:sz w:val="24"/>
          <w:szCs w:val="24"/>
        </w:rPr>
        <w:t>（2）错误偏差达到该类基金份额净值的0.25%时，基金管理人应当通报基金托管人并报中国证监会备案；错误偏差达到该类基金份额净值的0.5%时，基金管理人应当公告，并报中国证监会备案。</w:t>
      </w:r>
    </w:p>
    <w:p>
      <w:pPr>
        <w:adjustRightInd w:val="0"/>
        <w:snapToGrid w:val="0"/>
        <w:spacing w:line="360" w:lineRule="auto"/>
        <w:ind w:firstLine="480" w:firstLineChars="200"/>
        <w:rPr>
          <w:rFonts w:hAnsi="宋体"/>
          <w:sz w:val="24"/>
          <w:szCs w:val="24"/>
        </w:rPr>
      </w:pPr>
      <w:r>
        <w:rPr>
          <w:rFonts w:hint="eastAsia" w:hAnsi="宋体"/>
          <w:sz w:val="24"/>
          <w:szCs w:val="24"/>
        </w:rPr>
        <w:t>（3）前述内容如法律法规或监管机关另有规定的，从其规定处理。</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七</w:t>
      </w:r>
      <w:r>
        <w:rPr>
          <w:rFonts w:hAnsi="宋体"/>
          <w:b/>
          <w:sz w:val="24"/>
          <w:szCs w:val="24"/>
        </w:rPr>
        <w:t>）暂停估值的情形</w:t>
      </w:r>
    </w:p>
    <w:p>
      <w:pPr>
        <w:adjustRightInd w:val="0"/>
        <w:snapToGrid w:val="0"/>
        <w:spacing w:line="360" w:lineRule="auto"/>
        <w:ind w:firstLine="480" w:firstLineChars="200"/>
        <w:rPr>
          <w:sz w:val="24"/>
          <w:szCs w:val="24"/>
        </w:rPr>
      </w:pPr>
      <w:r>
        <w:rPr>
          <w:rFonts w:hint="eastAsia"/>
          <w:sz w:val="24"/>
          <w:szCs w:val="24"/>
        </w:rPr>
        <w:t>1、基金投资所涉及的证券、期货交易市场或外汇市场遇法定节假日或因其他原因暂停营业时；</w:t>
      </w:r>
    </w:p>
    <w:p>
      <w:pPr>
        <w:adjustRightInd w:val="0"/>
        <w:snapToGrid w:val="0"/>
        <w:spacing w:line="360" w:lineRule="auto"/>
        <w:ind w:firstLine="480" w:firstLineChars="200"/>
        <w:rPr>
          <w:sz w:val="24"/>
          <w:szCs w:val="24"/>
        </w:rPr>
      </w:pPr>
      <w:r>
        <w:rPr>
          <w:rFonts w:hint="eastAsia"/>
          <w:sz w:val="24"/>
          <w:szCs w:val="24"/>
        </w:rPr>
        <w:t>2、因不可抗力致使基金管理人、基金托管人、境外托管人无法准确评估基金资产价值时；</w:t>
      </w:r>
    </w:p>
    <w:p>
      <w:pPr>
        <w:adjustRightInd w:val="0"/>
        <w:snapToGrid w:val="0"/>
        <w:spacing w:line="360" w:lineRule="auto"/>
        <w:ind w:firstLine="480" w:firstLineChars="200"/>
        <w:rPr>
          <w:sz w:val="24"/>
          <w:szCs w:val="24"/>
        </w:rPr>
      </w:pPr>
      <w:r>
        <w:rPr>
          <w:rFonts w:hint="eastAsia"/>
          <w:sz w:val="24"/>
          <w:szCs w:val="24"/>
        </w:rPr>
        <w:t>3、当特定资产占前一估值日基金资产净值50%以上的，经与基金托管人协商确认后，基金管理人应当暂停估值；</w:t>
      </w:r>
    </w:p>
    <w:p>
      <w:pPr>
        <w:adjustRightInd w:val="0"/>
        <w:snapToGrid w:val="0"/>
        <w:spacing w:line="360" w:lineRule="auto"/>
        <w:ind w:firstLine="480" w:firstLineChars="200"/>
        <w:rPr>
          <w:sz w:val="24"/>
          <w:szCs w:val="24"/>
        </w:rPr>
      </w:pPr>
      <w:r>
        <w:rPr>
          <w:rFonts w:hint="eastAsia"/>
          <w:sz w:val="24"/>
          <w:szCs w:val="24"/>
        </w:rPr>
        <w:t>4、法律法规、中国证监会和基金合同认定的其它情形。</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八</w:t>
      </w:r>
      <w:r>
        <w:rPr>
          <w:rFonts w:hAnsi="宋体"/>
          <w:b/>
          <w:sz w:val="24"/>
          <w:szCs w:val="24"/>
        </w:rPr>
        <w:t>）基金净值的确认</w:t>
      </w:r>
    </w:p>
    <w:p>
      <w:pPr>
        <w:adjustRightInd w:val="0"/>
        <w:snapToGrid w:val="0"/>
        <w:spacing w:line="360" w:lineRule="auto"/>
        <w:ind w:firstLine="480" w:firstLineChars="200"/>
        <w:rPr>
          <w:sz w:val="24"/>
          <w:szCs w:val="24"/>
        </w:rPr>
      </w:pPr>
      <w:r>
        <w:rPr>
          <w:rFonts w:hint="eastAsia"/>
          <w:bCs/>
          <w:sz w:val="24"/>
        </w:rPr>
        <w:t>各类基金份额的</w:t>
      </w:r>
      <w:r>
        <w:rPr>
          <w:rFonts w:hint="eastAsia" w:hAnsi="宋体"/>
          <w:sz w:val="24"/>
          <w:szCs w:val="24"/>
        </w:rPr>
        <w:t>基金资产净值和基金份额净值由基金管理人负责计算，基金托管人负责进行复核。基金管理人应于每个估值日的下一个工作日内计算该估值日</w:t>
      </w:r>
      <w:r>
        <w:rPr>
          <w:rFonts w:hint="eastAsia"/>
          <w:bCs/>
          <w:sz w:val="24"/>
        </w:rPr>
        <w:t>各类基金份额</w:t>
      </w:r>
      <w:r>
        <w:rPr>
          <w:rFonts w:hint="eastAsia" w:hAnsi="宋体"/>
          <w:sz w:val="24"/>
          <w:szCs w:val="24"/>
        </w:rPr>
        <w:t>的基金资产净值和基金份额净值并发送给基金托管人。基金托管人对净值计算结果复核确认后发送给基金管理人，由基金管理人依据基金合同和相关法律法规的规定对基金净值予以公布。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九</w:t>
      </w:r>
      <w:r>
        <w:rPr>
          <w:rFonts w:hAnsi="宋体"/>
          <w:b/>
          <w:sz w:val="24"/>
          <w:szCs w:val="24"/>
        </w:rPr>
        <w:t>）特殊情</w:t>
      </w:r>
      <w:r>
        <w:rPr>
          <w:rFonts w:hint="eastAsia" w:hAnsi="宋体"/>
          <w:b/>
          <w:sz w:val="24"/>
          <w:szCs w:val="24"/>
        </w:rPr>
        <w:t>形</w:t>
      </w:r>
      <w:r>
        <w:rPr>
          <w:rFonts w:hAnsi="宋体"/>
          <w:b/>
          <w:sz w:val="24"/>
          <w:szCs w:val="24"/>
        </w:rPr>
        <w:t>的处理</w:t>
      </w:r>
    </w:p>
    <w:p>
      <w:pPr>
        <w:adjustRightInd w:val="0"/>
        <w:snapToGrid w:val="0"/>
        <w:spacing w:line="360" w:lineRule="auto"/>
        <w:ind w:firstLine="480" w:firstLineChars="200"/>
        <w:rPr>
          <w:sz w:val="24"/>
          <w:szCs w:val="24"/>
        </w:rPr>
      </w:pPr>
      <w:r>
        <w:rPr>
          <w:sz w:val="24"/>
          <w:szCs w:val="24"/>
        </w:rPr>
        <w:t>1</w:t>
      </w:r>
      <w:r>
        <w:rPr>
          <w:rFonts w:hint="eastAsia"/>
          <w:sz w:val="24"/>
          <w:szCs w:val="24"/>
        </w:rPr>
        <w:t>、基金管理人或基金托管人按估值方法的第14项进行估值时，所造成的误差不作为基金资产估值错误处理。</w:t>
      </w:r>
    </w:p>
    <w:p>
      <w:pPr>
        <w:adjustRightInd w:val="0"/>
        <w:snapToGrid w:val="0"/>
        <w:spacing w:line="360" w:lineRule="auto"/>
        <w:ind w:firstLine="480" w:firstLineChars="200"/>
        <w:rPr>
          <w:sz w:val="24"/>
          <w:szCs w:val="24"/>
        </w:rPr>
      </w:pPr>
      <w:r>
        <w:rPr>
          <w:rFonts w:hint="eastAsia"/>
          <w:sz w:val="24"/>
          <w:szCs w:val="24"/>
        </w:rPr>
        <w:t>2、对于因税收规定调整或其他原因导致基金实际交纳税金与基金按照权责发生制进行估值的应交税金有差异的，相关估值调整不作为基金资产估值错误处理。</w:t>
      </w:r>
    </w:p>
    <w:p>
      <w:pPr>
        <w:adjustRightInd w:val="0"/>
        <w:snapToGrid w:val="0"/>
        <w:spacing w:line="360" w:lineRule="auto"/>
        <w:ind w:firstLine="480" w:firstLineChars="200"/>
        <w:rPr>
          <w:sz w:val="24"/>
          <w:szCs w:val="24"/>
        </w:rPr>
      </w:pPr>
      <w:r>
        <w:rPr>
          <w:rFonts w:hint="eastAsia"/>
          <w:sz w:val="24"/>
          <w:szCs w:val="24"/>
        </w:rPr>
        <w:t>3、由于时差、通讯或其他非可控的客观原因，在基金管理人和基金托管人协商一致的时间点前无法确认的交易，导致的对基金资产净值的影响，不作为基金资产估值错误处理。</w:t>
      </w:r>
    </w:p>
    <w:p>
      <w:pPr>
        <w:adjustRightInd w:val="0"/>
        <w:snapToGrid w:val="0"/>
        <w:spacing w:line="360" w:lineRule="auto"/>
        <w:ind w:firstLine="480" w:firstLineChars="200"/>
        <w:rPr>
          <w:sz w:val="24"/>
          <w:szCs w:val="24"/>
        </w:rPr>
      </w:pPr>
      <w:r>
        <w:rPr>
          <w:rFonts w:hint="eastAsia"/>
          <w:sz w:val="24"/>
          <w:szCs w:val="24"/>
        </w:rPr>
        <w:t>4、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djustRightInd w:val="0"/>
        <w:snapToGrid w:val="0"/>
        <w:spacing w:line="360" w:lineRule="auto"/>
        <w:ind w:firstLine="482" w:firstLineChars="200"/>
        <w:outlineLvl w:val="1"/>
        <w:rPr>
          <w:rFonts w:hAnsi="宋体"/>
          <w:b/>
          <w:sz w:val="24"/>
          <w:szCs w:val="24"/>
        </w:rPr>
      </w:pPr>
      <w:r>
        <w:rPr>
          <w:rFonts w:hint="eastAsia" w:hAnsi="宋体"/>
          <w:b/>
          <w:sz w:val="24"/>
          <w:szCs w:val="24"/>
        </w:rPr>
        <w:t>（十）实施侧袋机制期间的基金资产估值</w:t>
      </w:r>
    </w:p>
    <w:p>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本基金实施侧袋机制的，应根据本部分的约定对主袋账户资产进行估值并披露主袋账户的基金净值信息，暂停披露侧袋账户份额净值。</w:t>
      </w:r>
      <w:bookmarkEnd w:id="87"/>
    </w:p>
    <w:bookmarkEnd w:id="88"/>
    <w:p>
      <w:pPr>
        <w:adjustRightInd w:val="0"/>
        <w:snapToGrid w:val="0"/>
        <w:spacing w:line="360" w:lineRule="auto"/>
        <w:jc w:val="center"/>
        <w:outlineLvl w:val="0"/>
        <w:rPr>
          <w:rFonts w:ascii="宋体" w:hAnsi="宋体"/>
          <w:b/>
          <w:kern w:val="0"/>
          <w:sz w:val="30"/>
        </w:rPr>
      </w:pPr>
      <w:r>
        <w:rPr>
          <w:sz w:val="24"/>
          <w:szCs w:val="24"/>
        </w:rPr>
        <w:br w:type="page"/>
      </w:r>
      <w:bookmarkStart w:id="89" w:name="_Toc13829"/>
      <w:bookmarkStart w:id="90" w:name="_Toc9785"/>
      <w:bookmarkStart w:id="91" w:name="_Toc29372"/>
      <w:bookmarkStart w:id="92" w:name="_Toc48122013"/>
      <w:r>
        <w:rPr>
          <w:rFonts w:hint="eastAsia" w:ascii="宋体" w:hAnsi="宋体"/>
          <w:b/>
          <w:kern w:val="0"/>
          <w:sz w:val="30"/>
        </w:rPr>
        <w:t>十</w:t>
      </w:r>
      <w:r>
        <w:rPr>
          <w:rFonts w:hint="eastAsia" w:ascii="宋体" w:hAnsi="宋体"/>
          <w:b/>
          <w:kern w:val="0"/>
          <w:sz w:val="30"/>
          <w:lang w:val="en-US" w:eastAsia="zh-CN"/>
        </w:rPr>
        <w:t>二</w:t>
      </w:r>
      <w:r>
        <w:rPr>
          <w:rFonts w:hint="eastAsia" w:ascii="宋体" w:hAnsi="宋体"/>
          <w:b/>
          <w:kern w:val="0"/>
          <w:sz w:val="30"/>
        </w:rPr>
        <w:t>、基金收益与分配</w:t>
      </w:r>
      <w:bookmarkEnd w:id="89"/>
      <w:bookmarkEnd w:id="90"/>
      <w:bookmarkEnd w:id="91"/>
      <w:bookmarkEnd w:id="92"/>
    </w:p>
    <w:p>
      <w:pPr>
        <w:adjustRightInd w:val="0"/>
        <w:snapToGrid w:val="0"/>
        <w:spacing w:line="360" w:lineRule="auto"/>
        <w:ind w:firstLine="482" w:firstLineChars="200"/>
        <w:outlineLvl w:val="1"/>
        <w:rPr>
          <w:b/>
          <w:sz w:val="24"/>
        </w:rPr>
      </w:pPr>
      <w:bookmarkStart w:id="93" w:name="_Hlk49343954"/>
      <w:r>
        <w:rPr>
          <w:rFonts w:hAnsi="宋体"/>
          <w:b/>
          <w:sz w:val="24"/>
        </w:rPr>
        <w:t>（一）基金利润的构成</w:t>
      </w:r>
    </w:p>
    <w:p>
      <w:pPr>
        <w:adjustRightInd w:val="0"/>
        <w:snapToGrid w:val="0"/>
        <w:spacing w:line="360" w:lineRule="auto"/>
        <w:ind w:firstLine="480" w:firstLineChars="200"/>
        <w:rPr>
          <w:rFonts w:hAnsi="宋体"/>
          <w:sz w:val="24"/>
        </w:rPr>
      </w:pPr>
      <w:r>
        <w:rPr>
          <w:rFonts w:hAnsi="宋体"/>
          <w:sz w:val="24"/>
        </w:rPr>
        <w:t>基金利润指基金利息收入、投资收益、</w:t>
      </w:r>
      <w:r>
        <w:rPr>
          <w:rFonts w:hint="eastAsia" w:hAnsi="宋体"/>
          <w:sz w:val="24"/>
        </w:rPr>
        <w:t>汇兑损益、</w:t>
      </w:r>
      <w:r>
        <w:rPr>
          <w:rFonts w:hAnsi="宋体"/>
          <w:sz w:val="24"/>
        </w:rPr>
        <w:t>公允价值变动收益和其他收入扣除相关费用后的余额，基金已实现收益指基金利润减去公允价值变动收益后的余额。</w:t>
      </w:r>
    </w:p>
    <w:p>
      <w:pPr>
        <w:adjustRightInd w:val="0"/>
        <w:snapToGrid w:val="0"/>
        <w:spacing w:line="360" w:lineRule="auto"/>
        <w:ind w:firstLine="482" w:firstLineChars="200"/>
        <w:outlineLvl w:val="1"/>
        <w:rPr>
          <w:b/>
          <w:sz w:val="24"/>
        </w:rPr>
      </w:pPr>
      <w:r>
        <w:rPr>
          <w:rFonts w:hAnsi="宋体"/>
          <w:b/>
          <w:sz w:val="24"/>
        </w:rPr>
        <w:t>（二）基金可供分配利润</w:t>
      </w:r>
    </w:p>
    <w:p>
      <w:pPr>
        <w:adjustRightInd w:val="0"/>
        <w:snapToGrid w:val="0"/>
        <w:spacing w:line="360" w:lineRule="auto"/>
        <w:ind w:firstLine="480" w:firstLineChars="200"/>
        <w:rPr>
          <w:rFonts w:hAnsi="宋体"/>
          <w:sz w:val="24"/>
        </w:rPr>
      </w:pPr>
      <w:r>
        <w:rPr>
          <w:rFonts w:hAnsi="宋体"/>
          <w:sz w:val="24"/>
        </w:rPr>
        <w:t>基金可供分配利润指截至收益分</w:t>
      </w:r>
      <w:bookmarkStart w:id="94" w:name="_Hlt80435237"/>
      <w:bookmarkEnd w:id="94"/>
      <w:bookmarkStart w:id="95" w:name="_Hlt88900301"/>
      <w:bookmarkEnd w:id="95"/>
      <w:bookmarkStart w:id="96" w:name="_Hlt81129040"/>
      <w:bookmarkEnd w:id="96"/>
      <w:bookmarkStart w:id="97" w:name="_Toc15118286"/>
      <w:bookmarkStart w:id="98" w:name="_Toc109537392"/>
      <w:r>
        <w:rPr>
          <w:rFonts w:hAnsi="宋体"/>
          <w:sz w:val="24"/>
        </w:rPr>
        <w:t>配</w:t>
      </w:r>
      <w:bookmarkEnd w:id="97"/>
      <w:r>
        <w:rPr>
          <w:rFonts w:hAnsi="宋体"/>
          <w:sz w:val="24"/>
        </w:rPr>
        <w:t>基准日基金未分配利润与</w:t>
      </w:r>
      <w:bookmarkEnd w:id="98"/>
      <w:r>
        <w:rPr>
          <w:rFonts w:hAnsi="宋体"/>
          <w:sz w:val="24"/>
        </w:rPr>
        <w:t>未分配利润中已实现收益的孰低数。</w:t>
      </w:r>
    </w:p>
    <w:p>
      <w:pPr>
        <w:adjustRightInd w:val="0"/>
        <w:snapToGrid w:val="0"/>
        <w:spacing w:line="360" w:lineRule="auto"/>
        <w:ind w:firstLine="482" w:firstLineChars="200"/>
        <w:outlineLvl w:val="1"/>
        <w:rPr>
          <w:b/>
          <w:sz w:val="24"/>
        </w:rPr>
      </w:pPr>
      <w:r>
        <w:rPr>
          <w:rFonts w:hAnsi="宋体"/>
          <w:b/>
          <w:sz w:val="24"/>
        </w:rPr>
        <w:t>（三）</w:t>
      </w:r>
      <w:r>
        <w:rPr>
          <w:rFonts w:hint="eastAsia" w:hAnsi="宋体"/>
          <w:b/>
          <w:sz w:val="24"/>
        </w:rPr>
        <w:t>基金</w:t>
      </w:r>
      <w:r>
        <w:rPr>
          <w:rFonts w:hAnsi="宋体"/>
          <w:b/>
          <w:sz w:val="24"/>
        </w:rPr>
        <w:t>收益分配原则</w:t>
      </w:r>
    </w:p>
    <w:p>
      <w:pPr>
        <w:adjustRightInd w:val="0"/>
        <w:snapToGrid w:val="0"/>
        <w:spacing w:line="360" w:lineRule="auto"/>
        <w:ind w:firstLine="480" w:firstLineChars="200"/>
        <w:rPr>
          <w:rFonts w:ascii="宋体" w:hAnsi="宋体"/>
          <w:bCs/>
          <w:sz w:val="24"/>
          <w:szCs w:val="24"/>
        </w:rPr>
      </w:pPr>
      <w:bookmarkStart w:id="99" w:name="OLE_LINK73"/>
      <w:bookmarkStart w:id="100" w:name="OLE_LINK72"/>
      <w:r>
        <w:rPr>
          <w:rFonts w:hint="eastAsia" w:ascii="宋体" w:hAnsi="宋体"/>
          <w:bCs/>
          <w:sz w:val="24"/>
          <w:szCs w:val="24"/>
        </w:rPr>
        <w:t>1、由于本基金A类基金份额不收取销售服务费，C类基金份额收取销售服务费，各基金份额类别对应的可供分配利润将有所不同；</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在符合有关基金分红条件的前提下，本基金管理人可以根据实际情况进行收益分配，具体分配方案以公告为准，</w:t>
      </w:r>
      <w:r>
        <w:rPr>
          <w:rFonts w:ascii="宋体" w:hAnsi="宋体"/>
          <w:bCs/>
          <w:sz w:val="24"/>
          <w:szCs w:val="24"/>
        </w:rPr>
        <w:t>若《基金合同》生效不满3个月可不进行收益分配；</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3</w:t>
      </w:r>
      <w:r>
        <w:rPr>
          <w:rFonts w:hint="eastAsia" w:ascii="宋体" w:hAnsi="宋体"/>
          <w:bCs/>
          <w:sz w:val="24"/>
          <w:szCs w:val="24"/>
        </w:rPr>
        <w:t>、</w:t>
      </w:r>
      <w:r>
        <w:rPr>
          <w:rFonts w:ascii="宋体" w:hAnsi="宋体"/>
          <w:bCs/>
          <w:sz w:val="24"/>
          <w:szCs w:val="24"/>
        </w:rPr>
        <w:t>本基金收益分配方式分两种：现金分红与红利再投资，投资者可选择现金红利或将现金红利自动转为</w:t>
      </w:r>
      <w:r>
        <w:rPr>
          <w:rFonts w:hint="eastAsia"/>
          <w:bCs/>
          <w:sz w:val="24"/>
        </w:rPr>
        <w:t>相应类别的</w:t>
      </w:r>
      <w:r>
        <w:rPr>
          <w:rFonts w:ascii="宋体" w:hAnsi="宋体"/>
          <w:bCs/>
          <w:sz w:val="24"/>
          <w:szCs w:val="24"/>
        </w:rPr>
        <w:t>基金份额进行再投资；若投资者不选择，本基金默认的收益分配方式是现金分红；</w:t>
      </w:r>
      <w:r>
        <w:rPr>
          <w:rFonts w:hAnsi="宋体"/>
          <w:sz w:val="24"/>
        </w:rPr>
        <w:t>基金份额持有人可对</w:t>
      </w:r>
      <w:r>
        <w:rPr>
          <w:rFonts w:hint="eastAsia" w:hAnsi="宋体"/>
          <w:sz w:val="24"/>
        </w:rPr>
        <w:t>其持有的</w:t>
      </w:r>
      <w:r>
        <w:rPr>
          <w:sz w:val="24"/>
        </w:rPr>
        <w:t>A</w:t>
      </w:r>
      <w:r>
        <w:rPr>
          <w:rFonts w:hAnsi="宋体"/>
          <w:sz w:val="24"/>
        </w:rPr>
        <w:t>类</w:t>
      </w:r>
      <w:r>
        <w:rPr>
          <w:rFonts w:hint="eastAsia"/>
          <w:bCs/>
          <w:sz w:val="24"/>
        </w:rPr>
        <w:t>基金份额</w:t>
      </w:r>
      <w:r>
        <w:rPr>
          <w:rFonts w:hint="eastAsia" w:hAnsi="宋体"/>
          <w:sz w:val="24"/>
        </w:rPr>
        <w:t>和</w:t>
      </w:r>
      <w:r>
        <w:rPr>
          <w:sz w:val="24"/>
        </w:rPr>
        <w:t>C</w:t>
      </w:r>
      <w:r>
        <w:rPr>
          <w:rFonts w:hAnsi="宋体"/>
          <w:sz w:val="24"/>
        </w:rPr>
        <w:t>类基金份额分别选择不同的收益分配方式</w:t>
      </w:r>
      <w:r>
        <w:rPr>
          <w:rFonts w:hint="eastAsia" w:ascii="宋体" w:hAnsi="宋体"/>
          <w:sz w:val="24"/>
        </w:rPr>
        <w:t>；</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、基金收益分配后</w:t>
      </w:r>
      <w:r>
        <w:rPr>
          <w:rFonts w:hint="eastAsia"/>
          <w:bCs/>
          <w:sz w:val="24"/>
        </w:rPr>
        <w:t>任一类</w:t>
      </w:r>
      <w:r>
        <w:rPr>
          <w:rFonts w:hint="eastAsia" w:ascii="宋体" w:hAnsi="宋体"/>
          <w:bCs/>
          <w:sz w:val="24"/>
          <w:szCs w:val="24"/>
        </w:rPr>
        <w:t>基金份额净值不能低于面值；即基金收益分配基准日的</w:t>
      </w:r>
      <w:r>
        <w:rPr>
          <w:rFonts w:hint="eastAsia"/>
          <w:bCs/>
          <w:sz w:val="24"/>
        </w:rPr>
        <w:t>任一类</w:t>
      </w:r>
      <w:r>
        <w:rPr>
          <w:rFonts w:hint="eastAsia" w:ascii="宋体" w:hAnsi="宋体"/>
          <w:bCs/>
          <w:sz w:val="24"/>
          <w:szCs w:val="24"/>
        </w:rPr>
        <w:t>基金份额净值减去</w:t>
      </w:r>
      <w:r>
        <w:rPr>
          <w:rFonts w:hint="eastAsia"/>
          <w:bCs/>
          <w:sz w:val="24"/>
        </w:rPr>
        <w:t>该类</w:t>
      </w:r>
      <w:r>
        <w:rPr>
          <w:rFonts w:hint="eastAsia" w:ascii="宋体" w:hAnsi="宋体"/>
          <w:bCs/>
          <w:sz w:val="24"/>
          <w:szCs w:val="24"/>
        </w:rPr>
        <w:t>每单位基金份额收益分配金额后不能低于面值；</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bCs/>
          <w:sz w:val="24"/>
        </w:rPr>
        <w:t>本基金同一基金份额类别的</w:t>
      </w:r>
      <w:r>
        <w:rPr>
          <w:rFonts w:ascii="宋体" w:hAnsi="宋体"/>
          <w:bCs/>
          <w:sz w:val="24"/>
          <w:szCs w:val="24"/>
        </w:rPr>
        <w:t>每一基金份额享有同等分配权；</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6、法律法规或监管</w:t>
      </w:r>
      <w:r>
        <w:rPr>
          <w:rFonts w:hint="eastAsia" w:ascii="宋体" w:hAnsi="宋体"/>
          <w:bCs/>
          <w:sz w:val="24"/>
          <w:szCs w:val="24"/>
        </w:rPr>
        <w:t>机</w:t>
      </w:r>
      <w:r>
        <w:rPr>
          <w:rFonts w:ascii="宋体" w:hAnsi="宋体"/>
          <w:bCs/>
          <w:sz w:val="24"/>
          <w:szCs w:val="24"/>
        </w:rPr>
        <w:t>关另有规定的，从其规定。</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在对基金份额持有人利益无实质不利影响的前提下，基金管理人与基金托管人协商一致并按照监管部门要求履行适当程序后，可对基金收益分配原则进行调整。</w:t>
      </w:r>
    </w:p>
    <w:bookmarkEnd w:id="99"/>
    <w:bookmarkEnd w:id="100"/>
    <w:p>
      <w:pPr>
        <w:snapToGrid w:val="0"/>
        <w:spacing w:line="360" w:lineRule="auto"/>
        <w:ind w:firstLine="482" w:firstLineChars="200"/>
        <w:outlineLvl w:val="1"/>
        <w:rPr>
          <w:b/>
          <w:sz w:val="24"/>
        </w:rPr>
      </w:pPr>
      <w:r>
        <w:rPr>
          <w:rFonts w:hAnsi="宋体"/>
          <w:b/>
          <w:sz w:val="24"/>
        </w:rPr>
        <w:t>（四）收益分配方案</w:t>
      </w:r>
    </w:p>
    <w:p>
      <w:pPr>
        <w:adjustRightInd w:val="0"/>
        <w:snapToGrid w:val="0"/>
        <w:spacing w:line="360" w:lineRule="auto"/>
        <w:ind w:firstLine="480" w:firstLineChars="200"/>
        <w:rPr>
          <w:rFonts w:hAnsi="宋体"/>
          <w:sz w:val="24"/>
        </w:rPr>
      </w:pPr>
      <w:r>
        <w:rPr>
          <w:rFonts w:hAnsi="宋体"/>
          <w:sz w:val="24"/>
        </w:rPr>
        <w:t>基金收益分配方案中应载明截止收益分配基准日的可供分配利润、基金收益分配对象、分配时间、分配数额及比例、分配方式等内容。</w:t>
      </w:r>
    </w:p>
    <w:p>
      <w:pPr>
        <w:adjustRightInd w:val="0"/>
        <w:snapToGrid w:val="0"/>
        <w:spacing w:line="360" w:lineRule="auto"/>
        <w:ind w:firstLine="482" w:firstLineChars="200"/>
        <w:outlineLvl w:val="1"/>
        <w:rPr>
          <w:b/>
          <w:sz w:val="24"/>
        </w:rPr>
      </w:pPr>
      <w:r>
        <w:rPr>
          <w:rFonts w:hAnsi="宋体"/>
          <w:b/>
          <w:sz w:val="24"/>
        </w:rPr>
        <w:t>（五）收益分配方案的确定、公告与实施</w:t>
      </w:r>
    </w:p>
    <w:p>
      <w:pPr>
        <w:adjustRightInd w:val="0"/>
        <w:snapToGrid w:val="0"/>
        <w:spacing w:line="360" w:lineRule="auto"/>
        <w:ind w:firstLine="480" w:firstLineChars="200"/>
        <w:rPr>
          <w:bCs/>
          <w:sz w:val="24"/>
        </w:rPr>
      </w:pPr>
      <w:r>
        <w:rPr>
          <w:rFonts w:hint="eastAsia"/>
          <w:bCs/>
          <w:sz w:val="24"/>
        </w:rPr>
        <w:t>本基金收益分配方案由基金管理人拟定，并由基金托管人复核，依照《信息披露办法》的规定在规定媒介公告。</w:t>
      </w:r>
    </w:p>
    <w:p>
      <w:pPr>
        <w:adjustRightInd w:val="0"/>
        <w:snapToGrid w:val="0"/>
        <w:spacing w:line="360" w:lineRule="auto"/>
        <w:ind w:firstLine="480" w:firstLineChars="200"/>
        <w:rPr>
          <w:rFonts w:ascii="宋体" w:hAnsi="宋体"/>
          <w:sz w:val="24"/>
        </w:rPr>
      </w:pPr>
      <w:r>
        <w:rPr>
          <w:rFonts w:hint="eastAsia"/>
          <w:bCs/>
          <w:sz w:val="24"/>
        </w:rPr>
        <w:t>法律法规或监管机关另有规定的，从其规定。</w:t>
      </w:r>
    </w:p>
    <w:p>
      <w:pPr>
        <w:adjustRightInd w:val="0"/>
        <w:snapToGrid w:val="0"/>
        <w:spacing w:line="360" w:lineRule="auto"/>
        <w:ind w:firstLine="482" w:firstLineChars="200"/>
        <w:outlineLvl w:val="1"/>
        <w:rPr>
          <w:b/>
          <w:sz w:val="24"/>
        </w:rPr>
      </w:pPr>
      <w:r>
        <w:rPr>
          <w:b/>
          <w:sz w:val="24"/>
        </w:rPr>
        <w:t>（六）基金收益分配中发生的费用</w:t>
      </w:r>
    </w:p>
    <w:p>
      <w:pPr>
        <w:adjustRightInd w:val="0"/>
        <w:snapToGrid w:val="0"/>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adjustRightInd w:val="0"/>
        <w:snapToGrid w:val="0"/>
        <w:spacing w:line="360" w:lineRule="auto"/>
        <w:ind w:firstLine="482" w:firstLineChars="200"/>
        <w:outlineLvl w:val="1"/>
        <w:rPr>
          <w:b/>
          <w:sz w:val="24"/>
        </w:rPr>
      </w:pPr>
      <w:r>
        <w:rPr>
          <w:b/>
          <w:sz w:val="24"/>
        </w:rPr>
        <w:t>（七）收益分配方式的修改</w:t>
      </w:r>
    </w:p>
    <w:p>
      <w:pPr>
        <w:adjustRightInd w:val="0"/>
        <w:snapToGrid w:val="0"/>
        <w:spacing w:line="360" w:lineRule="auto"/>
        <w:ind w:firstLine="480" w:firstLineChars="200"/>
        <w:rPr>
          <w:sz w:val="24"/>
        </w:rPr>
      </w:pPr>
      <w:r>
        <w:rPr>
          <w:sz w:val="24"/>
        </w:rPr>
        <w:t>投资人可至销售机构办理收益分配方式的修改，投资人对本基金不同的交易账户可设置不同的收益分配方式。</w:t>
      </w:r>
    </w:p>
    <w:p>
      <w:pPr>
        <w:adjustRightInd w:val="0"/>
        <w:snapToGrid w:val="0"/>
        <w:spacing w:line="360" w:lineRule="auto"/>
        <w:ind w:firstLine="480" w:firstLineChars="20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pPr>
        <w:adjustRightInd w:val="0"/>
        <w:snapToGrid w:val="0"/>
        <w:spacing w:line="360" w:lineRule="auto"/>
        <w:ind w:firstLine="482" w:firstLineChars="200"/>
        <w:outlineLvl w:val="1"/>
        <w:rPr>
          <w:b/>
          <w:sz w:val="24"/>
        </w:rPr>
      </w:pPr>
      <w:r>
        <w:rPr>
          <w:rFonts w:hint="eastAsia"/>
          <w:b/>
          <w:sz w:val="24"/>
        </w:rPr>
        <w:t>（八</w:t>
      </w:r>
      <w:r>
        <w:rPr>
          <w:b/>
          <w:sz w:val="24"/>
        </w:rPr>
        <w:t>）</w:t>
      </w:r>
      <w:r>
        <w:rPr>
          <w:rFonts w:hint="eastAsia"/>
          <w:b/>
          <w:sz w:val="24"/>
        </w:rPr>
        <w:t>实施侧袋机制期间的收益分配</w:t>
      </w:r>
    </w:p>
    <w:p>
      <w:pPr>
        <w:adjustRightInd w:val="0"/>
        <w:snapToGrid w:val="0"/>
        <w:spacing w:line="360" w:lineRule="auto"/>
        <w:ind w:firstLine="480" w:firstLineChars="200"/>
        <w:rPr>
          <w:rFonts w:ascii="宋体" w:hAnsi="宋体"/>
          <w:b/>
          <w:kern w:val="0"/>
          <w:sz w:val="30"/>
        </w:rPr>
      </w:pPr>
      <w:r>
        <w:rPr>
          <w:rFonts w:hint="eastAsia"/>
          <w:sz w:val="24"/>
        </w:rPr>
        <w:t>本基金实施侧袋机制的，侧袋账户不进行收益分配。</w:t>
      </w:r>
      <w:bookmarkEnd w:id="93"/>
      <w:r>
        <w:rPr>
          <w:rFonts w:ascii="宋体" w:hAnsi="宋体"/>
          <w:b/>
          <w:kern w:val="0"/>
          <w:sz w:val="30"/>
        </w:rPr>
        <w:br w:type="page"/>
      </w:r>
    </w:p>
    <w:p>
      <w:pPr>
        <w:widowControl/>
        <w:adjustRightInd w:val="0"/>
        <w:snapToGrid w:val="0"/>
        <w:spacing w:before="143" w:beforeLines="50" w:after="143" w:afterLines="50" w:line="360" w:lineRule="auto"/>
        <w:jc w:val="center"/>
        <w:outlineLvl w:val="0"/>
        <w:rPr>
          <w:rFonts w:ascii="宋体" w:hAnsi="宋体"/>
          <w:b/>
          <w:kern w:val="0"/>
          <w:sz w:val="30"/>
        </w:rPr>
      </w:pPr>
      <w:bookmarkStart w:id="101" w:name="_Toc16148"/>
      <w:bookmarkStart w:id="102" w:name="_Toc16944"/>
      <w:bookmarkStart w:id="103" w:name="_Toc22696"/>
      <w:bookmarkStart w:id="104" w:name="_Toc48122015"/>
      <w:r>
        <w:rPr>
          <w:rFonts w:hint="eastAsia" w:ascii="宋体" w:hAnsi="宋体"/>
          <w:b/>
          <w:kern w:val="0"/>
          <w:sz w:val="30"/>
        </w:rPr>
        <w:t>十</w:t>
      </w:r>
      <w:r>
        <w:rPr>
          <w:rFonts w:hint="eastAsia" w:ascii="宋体" w:hAnsi="宋体"/>
          <w:b/>
          <w:kern w:val="0"/>
          <w:sz w:val="30"/>
          <w:lang w:val="en-US" w:eastAsia="zh-CN"/>
        </w:rPr>
        <w:t>三</w:t>
      </w:r>
      <w:r>
        <w:rPr>
          <w:rFonts w:hint="eastAsia" w:ascii="宋体" w:hAnsi="宋体"/>
          <w:b/>
          <w:kern w:val="0"/>
          <w:sz w:val="30"/>
        </w:rPr>
        <w:t>、基金的会计与审计</w:t>
      </w:r>
      <w:bookmarkEnd w:id="101"/>
      <w:bookmarkEnd w:id="102"/>
      <w:bookmarkEnd w:id="103"/>
      <w:bookmarkEnd w:id="104"/>
    </w:p>
    <w:p>
      <w:pPr>
        <w:adjustRightInd w:val="0"/>
        <w:snapToGrid w:val="0"/>
        <w:spacing w:line="360" w:lineRule="auto"/>
        <w:ind w:firstLine="482"/>
        <w:outlineLvl w:val="1"/>
        <w:rPr>
          <w:b/>
          <w:bCs/>
          <w:sz w:val="24"/>
        </w:rPr>
      </w:pPr>
      <w:bookmarkStart w:id="105" w:name="_Hlk49344167"/>
      <w:r>
        <w:rPr>
          <w:b/>
          <w:bCs/>
          <w:sz w:val="24"/>
        </w:rPr>
        <w:t>（一）基金会计政策</w:t>
      </w:r>
    </w:p>
    <w:p>
      <w:pPr>
        <w:adjustRightInd w:val="0"/>
        <w:snapToGrid w:val="0"/>
        <w:spacing w:line="360" w:lineRule="auto"/>
        <w:ind w:firstLine="480" w:firstLineChars="200"/>
        <w:rPr>
          <w:sz w:val="24"/>
          <w:szCs w:val="18"/>
        </w:rPr>
      </w:pPr>
      <w:r>
        <w:rPr>
          <w:sz w:val="24"/>
        </w:rPr>
        <w:t>1</w:t>
      </w:r>
      <w:r>
        <w:rPr>
          <w:rFonts w:hAnsi="宋体"/>
          <w:sz w:val="24"/>
        </w:rPr>
        <w:t>、基金管理人为本基金的基金会计责任方；</w:t>
      </w:r>
    </w:p>
    <w:p>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基金的会计年度为公历年度的1月1日至12月31日；基金首次募集的会计年度按如下原则：如果《基金合同》生效少于2个月，可以并入下一个会计年度披露；</w:t>
      </w:r>
    </w:p>
    <w:p>
      <w:pPr>
        <w:adjustRightInd w:val="0"/>
        <w:snapToGrid w:val="0"/>
        <w:spacing w:line="360" w:lineRule="auto"/>
        <w:ind w:firstLine="480" w:firstLineChars="200"/>
        <w:rPr>
          <w:sz w:val="24"/>
          <w:szCs w:val="18"/>
        </w:rPr>
      </w:pPr>
      <w:bookmarkStart w:id="106" w:name="_Toc109537394"/>
      <w:r>
        <w:rPr>
          <w:sz w:val="24"/>
        </w:rPr>
        <w:t>3</w:t>
      </w:r>
      <w:r>
        <w:rPr>
          <w:rFonts w:hAnsi="宋体"/>
          <w:sz w:val="24"/>
        </w:rPr>
        <w:t>、</w:t>
      </w:r>
      <w:r>
        <w:rPr>
          <w:rFonts w:hAnsi="宋体"/>
          <w:sz w:val="24"/>
          <w:szCs w:val="21"/>
        </w:rPr>
        <w:t>基金核</w:t>
      </w:r>
      <w:bookmarkEnd w:id="106"/>
      <w:r>
        <w:rPr>
          <w:rFonts w:hAnsi="宋体"/>
          <w:sz w:val="24"/>
          <w:szCs w:val="21"/>
        </w:rPr>
        <w:t>算以人民币为记账本位币，以人民币元为记账单位；</w:t>
      </w:r>
    </w:p>
    <w:p>
      <w:pPr>
        <w:adjustRightInd w:val="0"/>
        <w:snapToGrid w:val="0"/>
        <w:spacing w:line="360" w:lineRule="auto"/>
        <w:ind w:firstLine="480" w:firstLineChars="200"/>
        <w:rPr>
          <w:sz w:val="24"/>
          <w:szCs w:val="18"/>
        </w:rPr>
      </w:pPr>
      <w:r>
        <w:rPr>
          <w:sz w:val="24"/>
        </w:rPr>
        <w:t>4</w:t>
      </w:r>
      <w:r>
        <w:rPr>
          <w:rFonts w:hAnsi="宋体"/>
          <w:sz w:val="24"/>
        </w:rPr>
        <w:t>、会计制度执行国家有关会计制度；</w:t>
      </w:r>
    </w:p>
    <w:p>
      <w:pPr>
        <w:adjustRightInd w:val="0"/>
        <w:snapToGrid w:val="0"/>
        <w:spacing w:line="360" w:lineRule="auto"/>
        <w:ind w:firstLine="480" w:firstLineChars="200"/>
        <w:rPr>
          <w:sz w:val="24"/>
          <w:szCs w:val="18"/>
        </w:rPr>
      </w:pPr>
      <w:r>
        <w:rPr>
          <w:sz w:val="24"/>
        </w:rPr>
        <w:t>5</w:t>
      </w:r>
      <w:r>
        <w:rPr>
          <w:rFonts w:hAnsi="宋体"/>
          <w:sz w:val="24"/>
        </w:rPr>
        <w:t>、本基金独立建账、独立核算；</w:t>
      </w:r>
    </w:p>
    <w:p>
      <w:pPr>
        <w:adjustRightInd w:val="0"/>
        <w:snapToGrid w:val="0"/>
        <w:spacing w:line="360" w:lineRule="auto"/>
        <w:ind w:firstLine="480" w:firstLineChars="200"/>
        <w:rPr>
          <w:sz w:val="24"/>
          <w:szCs w:val="18"/>
        </w:rPr>
      </w:pPr>
      <w:r>
        <w:rPr>
          <w:sz w:val="24"/>
          <w:szCs w:val="18"/>
        </w:rPr>
        <w:t>6</w:t>
      </w:r>
      <w:r>
        <w:rPr>
          <w:rFonts w:hAnsi="宋体"/>
          <w:sz w:val="24"/>
          <w:szCs w:val="18"/>
        </w:rPr>
        <w:t>、基金管理人及基金托管人各自保留完整的会计账目、凭证并进行日常的会计核算，按照有关规定编制基金会计报表；</w:t>
      </w:r>
    </w:p>
    <w:p>
      <w:pPr>
        <w:adjustRightInd w:val="0"/>
        <w:snapToGrid w:val="0"/>
        <w:spacing w:line="360" w:lineRule="auto"/>
        <w:ind w:firstLine="480" w:firstLineChars="200"/>
        <w:rPr>
          <w:sz w:val="24"/>
        </w:rPr>
      </w:pPr>
      <w:r>
        <w:rPr>
          <w:sz w:val="24"/>
          <w:szCs w:val="18"/>
        </w:rPr>
        <w:t>7</w:t>
      </w:r>
      <w:r>
        <w:rPr>
          <w:rFonts w:hAnsi="宋体"/>
          <w:sz w:val="24"/>
          <w:szCs w:val="18"/>
        </w:rPr>
        <w:t>、基金托管人每月与基金管理人就基金的会计核算、报表编制等进行核对并以书面方式</w:t>
      </w:r>
      <w:r>
        <w:rPr>
          <w:rFonts w:hint="eastAsia"/>
          <w:bCs/>
          <w:sz w:val="24"/>
        </w:rPr>
        <w:t>或双方认可的其他方式</w:t>
      </w:r>
      <w:r>
        <w:rPr>
          <w:rFonts w:hAnsi="宋体"/>
          <w:sz w:val="24"/>
          <w:szCs w:val="18"/>
        </w:rPr>
        <w:t>确认。</w:t>
      </w:r>
    </w:p>
    <w:p>
      <w:pPr>
        <w:adjustRightInd w:val="0"/>
        <w:snapToGrid w:val="0"/>
        <w:spacing w:line="360" w:lineRule="auto"/>
        <w:ind w:firstLine="482"/>
        <w:outlineLvl w:val="1"/>
        <w:rPr>
          <w:b/>
          <w:bCs/>
          <w:sz w:val="24"/>
        </w:rPr>
      </w:pPr>
      <w:r>
        <w:rPr>
          <w:b/>
          <w:bCs/>
          <w:sz w:val="24"/>
        </w:rPr>
        <w:t>（二）基金的年度审计</w:t>
      </w:r>
    </w:p>
    <w:p>
      <w:pPr>
        <w:adjustRightInd w:val="0"/>
        <w:snapToGrid w:val="0"/>
        <w:spacing w:line="360" w:lineRule="auto"/>
        <w:ind w:firstLine="480" w:firstLineChars="200"/>
        <w:rPr>
          <w:rFonts w:hAnsi="宋体"/>
          <w:sz w:val="24"/>
          <w:szCs w:val="18"/>
        </w:rPr>
      </w:pPr>
      <w:r>
        <w:rPr>
          <w:rFonts w:hAnsi="宋体"/>
          <w:sz w:val="24"/>
          <w:szCs w:val="18"/>
        </w:rPr>
        <w:t>1、基金管理人聘请与基金管理人、基金托管人</w:t>
      </w:r>
      <w:r>
        <w:rPr>
          <w:rFonts w:hint="eastAsia" w:hAnsi="宋体"/>
          <w:sz w:val="24"/>
          <w:szCs w:val="18"/>
        </w:rPr>
        <w:t>、境外托管人</w:t>
      </w:r>
      <w:r>
        <w:rPr>
          <w:rFonts w:hAnsi="宋体"/>
          <w:sz w:val="24"/>
          <w:szCs w:val="18"/>
        </w:rPr>
        <w:t>相互独立的符合《中华人民共和国证券法》规定的会计师事务所及其注册会计师对本基金的年度财务报表进行审计。</w:t>
      </w:r>
    </w:p>
    <w:p>
      <w:pPr>
        <w:adjustRightInd w:val="0"/>
        <w:snapToGrid w:val="0"/>
        <w:spacing w:line="360" w:lineRule="auto"/>
        <w:ind w:firstLine="480" w:firstLineChars="200"/>
        <w:rPr>
          <w:rFonts w:hAnsi="宋体"/>
          <w:sz w:val="24"/>
          <w:szCs w:val="18"/>
        </w:rPr>
      </w:pPr>
      <w:r>
        <w:rPr>
          <w:rFonts w:hAnsi="宋体"/>
          <w:sz w:val="24"/>
          <w:szCs w:val="18"/>
        </w:rPr>
        <w:t>2、会计师事务所更换经办注册会计师，应事先征得基金管理人同意。</w:t>
      </w:r>
    </w:p>
    <w:p>
      <w:pPr>
        <w:adjustRightInd w:val="0"/>
        <w:snapToGrid w:val="0"/>
        <w:spacing w:line="360" w:lineRule="auto"/>
        <w:ind w:firstLine="480" w:firstLineChars="200"/>
        <w:rPr>
          <w:rFonts w:hAnsi="宋体"/>
          <w:sz w:val="24"/>
          <w:szCs w:val="18"/>
        </w:rPr>
      </w:pPr>
      <w:r>
        <w:rPr>
          <w:rFonts w:hAnsi="宋体"/>
          <w:sz w:val="24"/>
          <w:szCs w:val="18"/>
        </w:rPr>
        <w:t>3、</w:t>
      </w:r>
      <w:bookmarkStart w:id="107" w:name="_Hlt4221115"/>
      <w:bookmarkEnd w:id="107"/>
      <w:r>
        <w:rPr>
          <w:rFonts w:hAnsi="宋体"/>
          <w:sz w:val="24"/>
          <w:szCs w:val="18"/>
        </w:rPr>
        <w:t>基金管理人认为有充足理由更换会计师事务所，须通报基金托管人。更换会计师事务所需</w:t>
      </w:r>
      <w:r>
        <w:rPr>
          <w:rFonts w:hint="eastAsia" w:hAnsi="宋体"/>
          <w:sz w:val="24"/>
          <w:szCs w:val="18"/>
        </w:rPr>
        <w:t>依照《信息披露办法》的规定</w:t>
      </w:r>
      <w:r>
        <w:rPr>
          <w:rFonts w:hAnsi="宋体"/>
          <w:sz w:val="24"/>
          <w:szCs w:val="18"/>
        </w:rPr>
        <w:t>在</w:t>
      </w:r>
      <w:r>
        <w:rPr>
          <w:rFonts w:hint="eastAsia" w:hAnsi="宋体"/>
          <w:sz w:val="24"/>
          <w:szCs w:val="18"/>
        </w:rPr>
        <w:t>规定媒介</w:t>
      </w:r>
      <w:r>
        <w:rPr>
          <w:rFonts w:hAnsi="宋体"/>
          <w:sz w:val="24"/>
          <w:szCs w:val="18"/>
        </w:rPr>
        <w:t>公告。</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8" w:name="_Toc48122016"/>
      <w:bookmarkStart w:id="109" w:name="_Toc10490"/>
      <w:bookmarkStart w:id="110" w:name="_Toc17784"/>
      <w:bookmarkStart w:id="111" w:name="_Toc14445"/>
      <w:r>
        <w:rPr>
          <w:rFonts w:hint="eastAsia" w:ascii="宋体" w:hAnsi="宋体"/>
          <w:b/>
          <w:kern w:val="0"/>
          <w:sz w:val="30"/>
        </w:rPr>
        <w:t>十</w:t>
      </w:r>
      <w:r>
        <w:rPr>
          <w:rFonts w:hint="eastAsia" w:ascii="宋体" w:hAnsi="宋体"/>
          <w:b/>
          <w:kern w:val="0"/>
          <w:sz w:val="30"/>
          <w:lang w:val="en-US" w:eastAsia="zh-CN"/>
        </w:rPr>
        <w:t>四</w:t>
      </w:r>
      <w:r>
        <w:rPr>
          <w:rFonts w:hint="eastAsia" w:ascii="宋体" w:hAnsi="宋体"/>
          <w:b/>
          <w:kern w:val="0"/>
          <w:sz w:val="30"/>
        </w:rPr>
        <w:t>、基金的信息披露</w:t>
      </w:r>
      <w:bookmarkEnd w:id="108"/>
      <w:bookmarkEnd w:id="109"/>
      <w:bookmarkEnd w:id="110"/>
      <w:bookmarkEnd w:id="111"/>
    </w:p>
    <w:p>
      <w:pPr>
        <w:adjustRightInd w:val="0"/>
        <w:snapToGrid w:val="0"/>
        <w:spacing w:line="360" w:lineRule="auto"/>
        <w:ind w:firstLine="482" w:firstLineChars="200"/>
        <w:rPr>
          <w:rFonts w:hAnsi="宋体"/>
          <w:sz w:val="24"/>
        </w:rPr>
      </w:pPr>
      <w:r>
        <w:rPr>
          <w:rFonts w:hAnsi="宋体"/>
          <w:b/>
          <w:sz w:val="24"/>
        </w:rPr>
        <w:t>（一）</w:t>
      </w:r>
      <w:r>
        <w:rPr>
          <w:rFonts w:hint="eastAsia" w:hAnsi="宋体"/>
          <w:sz w:val="24"/>
        </w:rPr>
        <w:t>本基金的信息披露应符合《基金法》、《运作办法》、《信息披露办法》、《流动性风险管理规定》、《基金合同》及其他有关规定。相关法律法规关于信息披露的规定发生变化时，本基金从其最新规定。</w:t>
      </w:r>
    </w:p>
    <w:p>
      <w:pPr>
        <w:adjustRightInd w:val="0"/>
        <w:snapToGrid w:val="0"/>
        <w:spacing w:line="360" w:lineRule="auto"/>
        <w:ind w:firstLine="482" w:firstLineChars="200"/>
        <w:rPr>
          <w:b/>
          <w:sz w:val="24"/>
        </w:rPr>
      </w:pPr>
      <w:r>
        <w:rPr>
          <w:b/>
          <w:bCs/>
          <w:sz w:val="24"/>
        </w:rPr>
        <w:t>（二）信息披露义务人</w:t>
      </w:r>
    </w:p>
    <w:p>
      <w:pPr>
        <w:adjustRightInd w:val="0"/>
        <w:snapToGrid w:val="0"/>
        <w:spacing w:line="360" w:lineRule="auto"/>
        <w:ind w:firstLine="480" w:firstLineChars="200"/>
        <w:rPr>
          <w:rFonts w:hAnsi="宋体"/>
          <w:sz w:val="24"/>
        </w:rPr>
      </w:pPr>
      <w:r>
        <w:rPr>
          <w:rFonts w:hAnsi="宋体"/>
          <w:sz w:val="24"/>
        </w:rPr>
        <w:t>本基金信息披露义务人包括基金管理人、基金托管人、召集基金份额持有人大会的基金份额持有人等法律</w:t>
      </w:r>
      <w:r>
        <w:rPr>
          <w:rFonts w:hint="eastAsia" w:hAnsi="宋体"/>
          <w:sz w:val="24"/>
        </w:rPr>
        <w:t>、</w:t>
      </w:r>
      <w:r>
        <w:rPr>
          <w:rFonts w:hAnsi="宋体"/>
          <w:sz w:val="24"/>
        </w:rPr>
        <w:t>行政法规和中国证监会规定的自然人、法人和</w:t>
      </w:r>
      <w:r>
        <w:rPr>
          <w:rFonts w:hint="eastAsia"/>
          <w:bCs/>
          <w:sz w:val="24"/>
        </w:rPr>
        <w:t>非法人</w:t>
      </w:r>
      <w:r>
        <w:rPr>
          <w:rFonts w:hAnsi="宋体"/>
          <w:sz w:val="24"/>
        </w:rPr>
        <w:t>组织。</w:t>
      </w:r>
    </w:p>
    <w:p>
      <w:pPr>
        <w:adjustRightInd w:val="0"/>
        <w:snapToGrid w:val="0"/>
        <w:spacing w:line="360" w:lineRule="auto"/>
        <w:ind w:firstLine="480" w:firstLineChars="200"/>
        <w:rPr>
          <w:rFonts w:hAnsi="宋体"/>
          <w:sz w:val="24"/>
        </w:rPr>
      </w:pPr>
      <w:r>
        <w:rPr>
          <w:rFonts w:hAnsi="宋体"/>
          <w:sz w:val="24"/>
        </w:rPr>
        <w:t>本基金信息披露义务人</w:t>
      </w:r>
      <w:r>
        <w:rPr>
          <w:rFonts w:hint="eastAsia"/>
          <w:bCs/>
          <w:sz w:val="24"/>
        </w:rPr>
        <w:t>以保护基金份额持有人利益为根本出发点，</w:t>
      </w:r>
      <w:r>
        <w:rPr>
          <w:rFonts w:hAnsi="宋体"/>
          <w:sz w:val="24"/>
        </w:rPr>
        <w:t>按照法律法规和中国证监会的规定披露基金信息，并保证所披露信息的真实性、准确性</w:t>
      </w:r>
      <w:r>
        <w:rPr>
          <w:rFonts w:hint="eastAsia" w:hAnsi="宋体"/>
          <w:sz w:val="24"/>
        </w:rPr>
        <w:t>、</w:t>
      </w:r>
      <w:r>
        <w:rPr>
          <w:rFonts w:hAnsi="宋体"/>
          <w:sz w:val="24"/>
        </w:rPr>
        <w:t>完整性</w:t>
      </w:r>
      <w:r>
        <w:rPr>
          <w:rFonts w:hint="eastAsia"/>
          <w:bCs/>
          <w:sz w:val="24"/>
        </w:rPr>
        <w:t>、及时性、简明性和易得性</w:t>
      </w:r>
      <w:r>
        <w:rPr>
          <w:rFonts w:hAnsi="宋体"/>
          <w:sz w:val="24"/>
        </w:rPr>
        <w:t>。</w:t>
      </w:r>
    </w:p>
    <w:p>
      <w:pPr>
        <w:adjustRightInd w:val="0"/>
        <w:snapToGrid w:val="0"/>
        <w:spacing w:line="360" w:lineRule="auto"/>
        <w:ind w:firstLine="480" w:firstLineChars="200"/>
        <w:rPr>
          <w:rFonts w:hAnsi="宋体"/>
          <w:sz w:val="24"/>
        </w:rPr>
      </w:pPr>
      <w:r>
        <w:rPr>
          <w:rFonts w:hint="eastAsia"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adjustRightInd w:val="0"/>
        <w:snapToGrid w:val="0"/>
        <w:spacing w:line="360" w:lineRule="auto"/>
        <w:ind w:firstLine="482" w:firstLineChars="200"/>
        <w:rPr>
          <w:b/>
          <w:sz w:val="24"/>
        </w:rPr>
      </w:pPr>
      <w:r>
        <w:rPr>
          <w:rFonts w:hAnsi="宋体"/>
          <w:b/>
          <w:sz w:val="24"/>
        </w:rPr>
        <w:t>（三）本基金信息披露义务人承诺公开披露的基金信息，不得有下列行为：</w:t>
      </w:r>
    </w:p>
    <w:p>
      <w:pPr>
        <w:adjustRightInd w:val="0"/>
        <w:snapToGrid w:val="0"/>
        <w:spacing w:line="360" w:lineRule="auto"/>
        <w:ind w:firstLine="480" w:firstLineChars="200"/>
        <w:rPr>
          <w:rFonts w:hAnsi="宋体"/>
          <w:sz w:val="24"/>
        </w:rPr>
      </w:pPr>
      <w:r>
        <w:rPr>
          <w:rFonts w:hAnsi="宋体"/>
          <w:sz w:val="24"/>
        </w:rPr>
        <w:t>1、虚假记载、误导性陈述或者重大遗漏；</w:t>
      </w:r>
    </w:p>
    <w:p>
      <w:pPr>
        <w:adjustRightInd w:val="0"/>
        <w:snapToGrid w:val="0"/>
        <w:spacing w:line="360" w:lineRule="auto"/>
        <w:ind w:firstLine="480" w:firstLineChars="200"/>
        <w:rPr>
          <w:rFonts w:hAnsi="宋体"/>
          <w:sz w:val="24"/>
        </w:rPr>
      </w:pPr>
      <w:r>
        <w:rPr>
          <w:rFonts w:hAnsi="宋体"/>
          <w:sz w:val="24"/>
        </w:rPr>
        <w:t>2、对证券投资业绩进行预测；</w:t>
      </w:r>
    </w:p>
    <w:p>
      <w:pPr>
        <w:adjustRightInd w:val="0"/>
        <w:snapToGrid w:val="0"/>
        <w:spacing w:line="360" w:lineRule="auto"/>
        <w:ind w:firstLine="480" w:firstLineChars="200"/>
        <w:rPr>
          <w:rFonts w:hAnsi="宋体"/>
          <w:sz w:val="24"/>
        </w:rPr>
      </w:pPr>
      <w:r>
        <w:rPr>
          <w:rFonts w:hAnsi="宋体"/>
          <w:sz w:val="24"/>
        </w:rPr>
        <w:t>3、违规承诺收益或者承担损失；</w:t>
      </w:r>
    </w:p>
    <w:p>
      <w:pPr>
        <w:adjustRightInd w:val="0"/>
        <w:snapToGrid w:val="0"/>
        <w:spacing w:line="360" w:lineRule="auto"/>
        <w:ind w:firstLine="480" w:firstLineChars="200"/>
        <w:rPr>
          <w:rFonts w:hAnsi="宋体"/>
          <w:sz w:val="24"/>
        </w:rPr>
      </w:pPr>
      <w:r>
        <w:rPr>
          <w:rFonts w:hAnsi="宋体"/>
          <w:sz w:val="24"/>
        </w:rPr>
        <w:t>4、诋毁其他基金管理人、基金托管人或者基金销售机构；</w:t>
      </w:r>
    </w:p>
    <w:p>
      <w:pPr>
        <w:adjustRightInd w:val="0"/>
        <w:snapToGrid w:val="0"/>
        <w:spacing w:line="360" w:lineRule="auto"/>
        <w:ind w:firstLine="480" w:firstLineChars="200"/>
        <w:rPr>
          <w:rFonts w:hAnsi="宋体"/>
          <w:sz w:val="24"/>
        </w:rPr>
      </w:pPr>
      <w:r>
        <w:rPr>
          <w:rFonts w:hAnsi="宋体"/>
          <w:sz w:val="24"/>
        </w:rPr>
        <w:t>5、登载任何自然人、法人</w:t>
      </w:r>
      <w:r>
        <w:rPr>
          <w:rFonts w:hint="eastAsia"/>
          <w:bCs/>
          <w:sz w:val="24"/>
        </w:rPr>
        <w:t>和非法人</w:t>
      </w:r>
      <w:r>
        <w:rPr>
          <w:rFonts w:hAnsi="宋体"/>
          <w:sz w:val="24"/>
        </w:rPr>
        <w:t>组织的祝贺性、恭维性或推荐性的文字；</w:t>
      </w:r>
    </w:p>
    <w:p>
      <w:pPr>
        <w:adjustRightInd w:val="0"/>
        <w:snapToGrid w:val="0"/>
        <w:spacing w:line="360" w:lineRule="auto"/>
        <w:ind w:firstLine="480" w:firstLineChars="200"/>
        <w:rPr>
          <w:rFonts w:hAnsi="宋体"/>
          <w:sz w:val="24"/>
        </w:rPr>
      </w:pPr>
      <w:r>
        <w:rPr>
          <w:rFonts w:hAnsi="宋体"/>
          <w:sz w:val="24"/>
        </w:rPr>
        <w:t>6、中国证监会禁止的其他行为。</w:t>
      </w:r>
    </w:p>
    <w:p>
      <w:pPr>
        <w:adjustRightInd w:val="0"/>
        <w:snapToGrid w:val="0"/>
        <w:spacing w:line="360" w:lineRule="auto"/>
        <w:ind w:firstLine="482" w:firstLineChars="200"/>
        <w:rPr>
          <w:rFonts w:hAnsi="宋体"/>
          <w:sz w:val="24"/>
        </w:rPr>
      </w:pPr>
      <w:r>
        <w:rPr>
          <w:rFonts w:hAnsi="宋体"/>
          <w:b/>
          <w:sz w:val="24"/>
        </w:rPr>
        <w:t>（四）</w:t>
      </w:r>
      <w:r>
        <w:rPr>
          <w:bCs/>
          <w:sz w:val="24"/>
        </w:rPr>
        <w:t>本</w:t>
      </w:r>
      <w:r>
        <w:rPr>
          <w:rFonts w:hAnsi="宋体"/>
          <w:sz w:val="24"/>
        </w:rPr>
        <w:t>基金公开披露的信息应采用中文文本。如同时采用外文文本的，基金信息披露义务人应保证</w:t>
      </w:r>
      <w:r>
        <w:rPr>
          <w:rFonts w:hint="eastAsia"/>
          <w:bCs/>
          <w:sz w:val="24"/>
        </w:rPr>
        <w:t>不同</w:t>
      </w:r>
      <w:r>
        <w:rPr>
          <w:rFonts w:hAnsi="宋体"/>
          <w:sz w:val="24"/>
        </w:rPr>
        <w:t>文本的内容一致。</w:t>
      </w:r>
      <w:r>
        <w:rPr>
          <w:rFonts w:hint="eastAsia"/>
          <w:bCs/>
          <w:sz w:val="24"/>
        </w:rPr>
        <w:t>不同</w:t>
      </w:r>
      <w:r>
        <w:rPr>
          <w:rFonts w:hAnsi="宋体"/>
          <w:sz w:val="24"/>
        </w:rPr>
        <w:t>文本</w:t>
      </w:r>
      <w:r>
        <w:rPr>
          <w:rFonts w:hint="eastAsia" w:hAnsi="宋体"/>
          <w:sz w:val="24"/>
        </w:rPr>
        <w:t>之间</w:t>
      </w:r>
      <w:r>
        <w:rPr>
          <w:rFonts w:hAnsi="宋体"/>
          <w:sz w:val="24"/>
        </w:rPr>
        <w:t>发生歧义的，以中文文本为准。</w:t>
      </w:r>
    </w:p>
    <w:p>
      <w:pPr>
        <w:adjustRightInd w:val="0"/>
        <w:snapToGrid w:val="0"/>
        <w:spacing w:line="360" w:lineRule="auto"/>
        <w:ind w:firstLine="480" w:firstLineChars="200"/>
        <w:rPr>
          <w:sz w:val="24"/>
        </w:rPr>
      </w:pPr>
      <w:r>
        <w:rPr>
          <w:rFonts w:hAnsi="宋体"/>
          <w:sz w:val="24"/>
        </w:rPr>
        <w:t>本基金公开披露的信息采用阿拉伯数字；除特别说明外，货币单位为人民币元。</w:t>
      </w:r>
    </w:p>
    <w:p>
      <w:pPr>
        <w:adjustRightInd w:val="0"/>
        <w:snapToGrid w:val="0"/>
        <w:spacing w:line="360" w:lineRule="auto"/>
        <w:ind w:firstLine="482" w:firstLineChars="200"/>
        <w:rPr>
          <w:b/>
          <w:sz w:val="24"/>
        </w:rPr>
      </w:pPr>
      <w:r>
        <w:rPr>
          <w:rFonts w:hAnsi="宋体"/>
          <w:b/>
          <w:sz w:val="24"/>
        </w:rPr>
        <w:t>（五）公开披露的基金信息</w:t>
      </w:r>
    </w:p>
    <w:p>
      <w:pPr>
        <w:adjustRightInd w:val="0"/>
        <w:snapToGrid w:val="0"/>
        <w:spacing w:line="360" w:lineRule="auto"/>
        <w:ind w:firstLine="480" w:firstLineChars="200"/>
        <w:rPr>
          <w:b/>
          <w:bCs/>
          <w:sz w:val="24"/>
        </w:rPr>
      </w:pPr>
      <w:r>
        <w:rPr>
          <w:bCs/>
          <w:sz w:val="24"/>
        </w:rPr>
        <w:t>公开披露的基金信息包括：</w:t>
      </w:r>
    </w:p>
    <w:p>
      <w:pPr>
        <w:adjustRightInd w:val="0"/>
        <w:snapToGrid w:val="0"/>
        <w:spacing w:line="360" w:lineRule="auto"/>
        <w:ind w:firstLine="480" w:firstLineChars="200"/>
        <w:rPr>
          <w:bCs/>
          <w:sz w:val="24"/>
        </w:rPr>
      </w:pPr>
      <w:r>
        <w:rPr>
          <w:bCs/>
          <w:sz w:val="24"/>
        </w:rPr>
        <w:t>1、基金招募说明书、《基金合同》、基金托管协议</w:t>
      </w:r>
      <w:r>
        <w:rPr>
          <w:rFonts w:hint="eastAsia"/>
          <w:bCs/>
          <w:sz w:val="24"/>
        </w:rPr>
        <w:t>、基金产品资料概要</w:t>
      </w:r>
    </w:p>
    <w:p>
      <w:pPr>
        <w:adjustRightInd w:val="0"/>
        <w:snapToGrid w:val="0"/>
        <w:spacing w:line="360" w:lineRule="auto"/>
        <w:ind w:firstLine="480" w:firstLineChars="200"/>
        <w:rPr>
          <w:rFonts w:hAnsi="宋体"/>
          <w:sz w:val="24"/>
        </w:rPr>
      </w:pPr>
      <w:r>
        <w:rPr>
          <w:rFonts w:hAnsi="宋体"/>
          <w:sz w:val="24"/>
        </w:rPr>
        <w:t>（1）《基金合同》是界定《基金合同》当事人的各项权利、义务关系，明确基金份额持有人大会召开的规则及具体程序，说明基金产品的特性等涉及基金投资者重大利益的事项的法律文件。</w:t>
      </w:r>
    </w:p>
    <w:p>
      <w:pPr>
        <w:adjustRightInd w:val="0"/>
        <w:snapToGrid w:val="0"/>
        <w:spacing w:line="360" w:lineRule="auto"/>
        <w:ind w:firstLine="480" w:firstLineChars="200"/>
        <w:rPr>
          <w:rFonts w:hAnsi="宋体"/>
          <w:sz w:val="24"/>
        </w:rPr>
      </w:pPr>
      <w:r>
        <w:rPr>
          <w:rFonts w:hAnsi="宋体"/>
          <w:sz w:val="24"/>
        </w:rPr>
        <w:t>（2）基金招募说明书应当最大限度地披露影响基金投资者决策的全部事项，说明基金认购、申购和赎回安排、基金投资、基金产品特性、风险揭示、信息披露及基金份额持有人服务等内容。</w:t>
      </w:r>
      <w:r>
        <w:rPr>
          <w:bCs/>
          <w:sz w:val="24"/>
        </w:rPr>
        <w:t>《基金合同》生效后，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w:t>
      </w:r>
      <w:r>
        <w:rPr>
          <w:bCs/>
          <w:sz w:val="24"/>
        </w:rPr>
        <w:t>。</w:t>
      </w:r>
      <w:r>
        <w:rPr>
          <w:rFonts w:hint="eastAsia"/>
          <w:bCs/>
          <w:sz w:val="24"/>
        </w:rPr>
        <w:t>基金终止运作的，基金管理人不再更新基金招募说明书</w:t>
      </w:r>
      <w:r>
        <w:rPr>
          <w:rFonts w:hAnsi="宋体"/>
          <w:sz w:val="24"/>
        </w:rPr>
        <w:t>。</w:t>
      </w:r>
    </w:p>
    <w:p>
      <w:pPr>
        <w:adjustRightInd w:val="0"/>
        <w:snapToGrid w:val="0"/>
        <w:spacing w:line="360" w:lineRule="auto"/>
        <w:ind w:firstLine="480" w:firstLineChars="200"/>
        <w:rPr>
          <w:bCs/>
          <w:sz w:val="24"/>
        </w:rPr>
      </w:pPr>
      <w:r>
        <w:rPr>
          <w:rFonts w:hAnsi="宋体"/>
          <w:sz w:val="24"/>
        </w:rPr>
        <w:t>（3）基金托管协议是界定基金托管人和基金管理人在基金财产保管及基金运作监督等活动中的权利、义务关系的法律文件。</w:t>
      </w:r>
    </w:p>
    <w:p>
      <w:pPr>
        <w:adjustRightInd w:val="0"/>
        <w:snapToGrid w:val="0"/>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adjustRightInd w:val="0"/>
        <w:snapToGrid w:val="0"/>
        <w:spacing w:line="360" w:lineRule="auto"/>
        <w:ind w:firstLine="480" w:firstLineChars="200"/>
        <w:rPr>
          <w:rFonts w:hAnsi="宋体"/>
          <w:sz w:val="24"/>
        </w:rPr>
      </w:pPr>
      <w:r>
        <w:rPr>
          <w:rFonts w:hint="eastAsia" w:hAnsi="宋体"/>
          <w:sz w:val="24"/>
        </w:rPr>
        <w:t>基金募集申请经中国证监会注册后，基金管理人在基金份额发售的三日前，将基金份额发售公告、基金招募说明书提示性公告和《基金合同》提示性公告登载在</w:t>
      </w:r>
      <w:r>
        <w:rPr>
          <w:rFonts w:hint="eastAsia"/>
          <w:bCs/>
          <w:sz w:val="24"/>
        </w:rPr>
        <w:t>规定</w:t>
      </w:r>
      <w:r>
        <w:rPr>
          <w:rFonts w:hint="eastAsia" w:hAnsi="宋体"/>
          <w:sz w:val="24"/>
        </w:rPr>
        <w:t>报刊上，将基金份额发售公告、基金招募说明书、基金产品资料概要、《基金合同》和基金托管协议登载在</w:t>
      </w:r>
      <w:r>
        <w:rPr>
          <w:rFonts w:hint="eastAsia"/>
          <w:bCs/>
          <w:sz w:val="24"/>
        </w:rPr>
        <w:t>规定</w:t>
      </w:r>
      <w:r>
        <w:rPr>
          <w:rFonts w:hint="eastAsia" w:hAnsi="宋体"/>
          <w:sz w:val="24"/>
        </w:rPr>
        <w:t>网站上，并将基金产品资料概要登载在基金销售机构网站或营业网点；基金托管人应当同时将《基金合同》、基金托管协议登载在网站上。</w:t>
      </w:r>
    </w:p>
    <w:p>
      <w:pPr>
        <w:adjustRightInd w:val="0"/>
        <w:snapToGrid w:val="0"/>
        <w:spacing w:line="360" w:lineRule="auto"/>
        <w:ind w:firstLine="480" w:firstLineChars="200"/>
        <w:rPr>
          <w:sz w:val="24"/>
        </w:rPr>
      </w:pPr>
      <w:r>
        <w:rPr>
          <w:sz w:val="24"/>
        </w:rPr>
        <w:t>2</w:t>
      </w:r>
      <w:r>
        <w:rPr>
          <w:rFonts w:hAnsi="宋体"/>
          <w:sz w:val="24"/>
        </w:rPr>
        <w:t>、基金份额发售公告</w:t>
      </w:r>
    </w:p>
    <w:p>
      <w:pPr>
        <w:adjustRightInd w:val="0"/>
        <w:snapToGrid w:val="0"/>
        <w:spacing w:line="360" w:lineRule="auto"/>
        <w:ind w:firstLine="480" w:firstLineChars="200"/>
        <w:rPr>
          <w:rFonts w:hAnsi="宋体"/>
          <w:sz w:val="24"/>
        </w:rPr>
      </w:pPr>
      <w:r>
        <w:rPr>
          <w:rFonts w:hAnsi="宋体"/>
          <w:sz w:val="24"/>
        </w:rPr>
        <w:t>基金管理人应当就基金份额发售的具体事宜编制基金份额发售公告，并在披露招募说明书的当日登载于规定媒介上。</w:t>
      </w:r>
    </w:p>
    <w:p>
      <w:pPr>
        <w:adjustRightInd w:val="0"/>
        <w:snapToGrid w:val="0"/>
        <w:spacing w:line="360" w:lineRule="auto"/>
        <w:ind w:firstLine="480" w:firstLineChars="200"/>
        <w:rPr>
          <w:sz w:val="24"/>
        </w:rPr>
      </w:pPr>
      <w:r>
        <w:rPr>
          <w:sz w:val="24"/>
        </w:rPr>
        <w:t>3</w:t>
      </w:r>
      <w:r>
        <w:rPr>
          <w:rFonts w:hAnsi="宋体"/>
          <w:sz w:val="24"/>
        </w:rPr>
        <w:t>、</w:t>
      </w:r>
      <w:r>
        <w:rPr>
          <w:bCs/>
          <w:sz w:val="24"/>
        </w:rPr>
        <w:t>《基金合同》</w:t>
      </w:r>
      <w:r>
        <w:rPr>
          <w:rFonts w:hAnsi="宋体"/>
          <w:sz w:val="24"/>
        </w:rPr>
        <w:t>生效公告</w:t>
      </w:r>
    </w:p>
    <w:p>
      <w:pPr>
        <w:adjustRightInd w:val="0"/>
        <w:snapToGrid w:val="0"/>
        <w:spacing w:line="360" w:lineRule="auto"/>
        <w:ind w:firstLine="480" w:firstLineChars="200"/>
        <w:rPr>
          <w:rFonts w:hAnsi="宋体"/>
          <w:sz w:val="24"/>
        </w:rPr>
      </w:pPr>
      <w:r>
        <w:rPr>
          <w:rFonts w:hAnsi="宋体"/>
          <w:sz w:val="24"/>
        </w:rPr>
        <w:t>基金管理人应当在收到中国证监会确认文件的次日在规定媒介上登载《基金合同》生效公告。</w:t>
      </w:r>
    </w:p>
    <w:p>
      <w:pPr>
        <w:adjustRightInd w:val="0"/>
        <w:snapToGrid w:val="0"/>
        <w:spacing w:line="360" w:lineRule="auto"/>
        <w:ind w:firstLine="480" w:firstLineChars="200"/>
        <w:rPr>
          <w:sz w:val="24"/>
        </w:rPr>
      </w:pPr>
      <w:r>
        <w:rPr>
          <w:sz w:val="24"/>
        </w:rPr>
        <w:t>4</w:t>
      </w:r>
      <w:r>
        <w:rPr>
          <w:rFonts w:hAnsi="宋体"/>
          <w:sz w:val="24"/>
        </w:rPr>
        <w:t>、基金</w:t>
      </w:r>
      <w:r>
        <w:rPr>
          <w:rFonts w:hint="eastAsia"/>
          <w:bCs/>
          <w:sz w:val="24"/>
        </w:rPr>
        <w:t>净值信息</w:t>
      </w:r>
    </w:p>
    <w:p>
      <w:pPr>
        <w:adjustRightInd w:val="0"/>
        <w:snapToGrid w:val="0"/>
        <w:spacing w:line="360" w:lineRule="auto"/>
        <w:ind w:firstLine="480" w:firstLineChars="200"/>
        <w:rPr>
          <w:bCs/>
          <w:sz w:val="24"/>
        </w:rPr>
      </w:pPr>
      <w:r>
        <w:rPr>
          <w:rFonts w:hint="eastAsia"/>
          <w:bCs/>
          <w:sz w:val="24"/>
        </w:rPr>
        <w:t>《基金合同》生效后，在开始办理基金份额申购或者赎回前，基金管理人应当至少每周在规定网站分别披露一次A类基金份额和C类基金份额所对应的基金份额净值和基金份额累计净值。</w:t>
      </w:r>
    </w:p>
    <w:p>
      <w:pPr>
        <w:adjustRightInd w:val="0"/>
        <w:snapToGrid w:val="0"/>
        <w:spacing w:line="360" w:lineRule="auto"/>
        <w:ind w:firstLine="480" w:firstLineChars="200"/>
        <w:rPr>
          <w:bCs/>
          <w:sz w:val="24"/>
        </w:rPr>
      </w:pPr>
      <w:r>
        <w:rPr>
          <w:rFonts w:hint="eastAsia"/>
          <w:bCs/>
          <w:sz w:val="24"/>
        </w:rPr>
        <w:t>在开始办理基金份额申购或者赎回后，基金管理人应当在不晚于每个开放日后的两个工作日内，通过规定网站、基金销售机构网站或者营业网点分别披露开放日的</w:t>
      </w:r>
      <w:r>
        <w:rPr>
          <w:sz w:val="24"/>
        </w:rPr>
        <w:t>A</w:t>
      </w:r>
      <w:r>
        <w:rPr>
          <w:rFonts w:hAnsi="宋体"/>
          <w:sz w:val="24"/>
        </w:rPr>
        <w:t>类基金份额和</w:t>
      </w:r>
      <w:r>
        <w:rPr>
          <w:sz w:val="24"/>
        </w:rPr>
        <w:t>C</w:t>
      </w:r>
      <w:r>
        <w:rPr>
          <w:rFonts w:hAnsi="宋体"/>
          <w:sz w:val="24"/>
        </w:rPr>
        <w:t>类基金份额所对应</w:t>
      </w:r>
      <w:r>
        <w:rPr>
          <w:rFonts w:hint="eastAsia" w:hAnsi="宋体"/>
          <w:sz w:val="24"/>
        </w:rPr>
        <w:t>的</w:t>
      </w:r>
      <w:r>
        <w:rPr>
          <w:rFonts w:hint="eastAsia"/>
          <w:bCs/>
          <w:sz w:val="24"/>
        </w:rPr>
        <w:t>基金份额净值和基金份额累计净值。</w:t>
      </w:r>
    </w:p>
    <w:p>
      <w:pPr>
        <w:adjustRightInd w:val="0"/>
        <w:snapToGrid w:val="0"/>
        <w:spacing w:line="360" w:lineRule="auto"/>
        <w:ind w:firstLine="480" w:firstLineChars="200"/>
        <w:rPr>
          <w:rFonts w:hAnsi="宋体"/>
          <w:sz w:val="24"/>
        </w:rPr>
      </w:pPr>
      <w:r>
        <w:rPr>
          <w:rFonts w:hint="eastAsia"/>
          <w:bCs/>
          <w:sz w:val="24"/>
        </w:rPr>
        <w:t>基金管理人应当在不晚于半年度和年度最后一日后的两个工作日内，在规定网站披露半年度和年度最后一日A类基金份额和C类基金份额所对应的基金份额净值和基金份额累计净值。</w:t>
      </w:r>
    </w:p>
    <w:p>
      <w:pPr>
        <w:adjustRightInd w:val="0"/>
        <w:snapToGrid w:val="0"/>
        <w:spacing w:line="360" w:lineRule="auto"/>
        <w:ind w:firstLine="480" w:firstLineChars="200"/>
        <w:rPr>
          <w:sz w:val="24"/>
        </w:rPr>
      </w:pPr>
      <w:r>
        <w:rPr>
          <w:sz w:val="24"/>
        </w:rPr>
        <w:t>5</w:t>
      </w:r>
      <w:r>
        <w:rPr>
          <w:rFonts w:hAnsi="宋体"/>
          <w:sz w:val="24"/>
        </w:rPr>
        <w:t>、基金份额申购、赎回价格</w:t>
      </w:r>
    </w:p>
    <w:p>
      <w:pPr>
        <w:adjustRightInd w:val="0"/>
        <w:snapToGrid w:val="0"/>
        <w:spacing w:line="360" w:lineRule="auto"/>
        <w:ind w:firstLine="480" w:firstLineChars="200"/>
        <w:rPr>
          <w:rFonts w:hAnsi="宋体"/>
          <w:sz w:val="24"/>
        </w:rPr>
      </w:pPr>
      <w:r>
        <w:rPr>
          <w:rFonts w:hAnsi="宋体"/>
          <w:sz w:val="24"/>
        </w:rPr>
        <w:t>基金管理人应当在《基金合同》、招募说明书等信息披露文件上载明基金份额申购、赎回价格的计算方式及有关申购、赎回费率，并保证投资者能够在基金</w:t>
      </w:r>
      <w:r>
        <w:rPr>
          <w:rFonts w:hint="eastAsia" w:hAnsi="宋体"/>
          <w:bCs/>
          <w:sz w:val="24"/>
        </w:rPr>
        <w:t>销售机构</w:t>
      </w:r>
      <w:r>
        <w:rPr>
          <w:rFonts w:hint="eastAsia"/>
          <w:bCs/>
          <w:sz w:val="24"/>
        </w:rPr>
        <w:t>网站或营业网点</w:t>
      </w:r>
      <w:r>
        <w:rPr>
          <w:rFonts w:hAnsi="宋体"/>
          <w:sz w:val="24"/>
        </w:rPr>
        <w:t>查阅或者复制前述信息资料。</w:t>
      </w:r>
    </w:p>
    <w:p>
      <w:pPr>
        <w:adjustRightInd w:val="0"/>
        <w:snapToGrid w:val="0"/>
        <w:spacing w:line="360" w:lineRule="auto"/>
        <w:ind w:firstLine="480" w:firstLineChars="200"/>
        <w:rPr>
          <w:sz w:val="24"/>
        </w:rPr>
      </w:pPr>
      <w:r>
        <w:rPr>
          <w:sz w:val="24"/>
        </w:rPr>
        <w:t>6</w:t>
      </w:r>
      <w:r>
        <w:rPr>
          <w:rFonts w:hAnsi="宋体"/>
          <w:sz w:val="24"/>
        </w:rPr>
        <w:t>、</w:t>
      </w:r>
      <w:r>
        <w:rPr>
          <w:bCs/>
          <w:sz w:val="24"/>
        </w:rPr>
        <w:t>基金定期报告，包括基金年度报告、基金</w:t>
      </w:r>
      <w:r>
        <w:rPr>
          <w:rFonts w:hint="eastAsia"/>
          <w:bCs/>
          <w:sz w:val="24"/>
        </w:rPr>
        <w:t>中期</w:t>
      </w:r>
      <w:r>
        <w:rPr>
          <w:bCs/>
          <w:sz w:val="24"/>
        </w:rPr>
        <w:t>报告和基金季度报告</w:t>
      </w:r>
    </w:p>
    <w:p>
      <w:pPr>
        <w:adjustRightInd w:val="0"/>
        <w:snapToGrid w:val="0"/>
        <w:spacing w:line="360" w:lineRule="auto"/>
        <w:ind w:firstLine="480" w:firstLineChars="200"/>
        <w:rPr>
          <w:rFonts w:hAnsi="宋体"/>
          <w:sz w:val="24"/>
        </w:rPr>
      </w:pPr>
      <w:r>
        <w:rPr>
          <w:rFonts w:hint="eastAsia" w:hAnsi="宋体"/>
          <w:sz w:val="24"/>
        </w:rPr>
        <w:t>基金管理人应当在每年结束之日起三个月内，编制完成基金年度报告，将年度报告登载在规定网站上，并将年度报告提示性公告登载在</w:t>
      </w:r>
      <w:r>
        <w:rPr>
          <w:rFonts w:hint="eastAsia"/>
          <w:bCs/>
          <w:sz w:val="24"/>
        </w:rPr>
        <w:t>规定</w:t>
      </w:r>
      <w:r>
        <w:rPr>
          <w:rFonts w:hint="eastAsia" w:hAnsi="宋体"/>
          <w:sz w:val="24"/>
        </w:rPr>
        <w:t>报刊上。基金年度报告中的财务会计报告应当经过符合《中华人民共和国证券法》规定的会计师事务所审计。</w:t>
      </w:r>
    </w:p>
    <w:p>
      <w:pPr>
        <w:adjustRightInd w:val="0"/>
        <w:snapToGrid w:val="0"/>
        <w:spacing w:line="360" w:lineRule="auto"/>
        <w:ind w:firstLine="480" w:firstLineChars="200"/>
        <w:rPr>
          <w:rFonts w:hAnsi="宋体"/>
          <w:sz w:val="24"/>
        </w:rPr>
      </w:pPr>
      <w:r>
        <w:rPr>
          <w:rFonts w:hint="eastAsia" w:hAnsi="宋体"/>
          <w:sz w:val="24"/>
        </w:rPr>
        <w:t>基金管理人应当在上半年结束之日起两个月内，编制完成基金中期报告，将中期报告登载在规定网站上，并将中期报告提示性公告登载在</w:t>
      </w:r>
      <w:r>
        <w:rPr>
          <w:rFonts w:hint="eastAsia"/>
          <w:bCs/>
          <w:sz w:val="24"/>
        </w:rPr>
        <w:t>规定</w:t>
      </w:r>
      <w:r>
        <w:rPr>
          <w:rFonts w:hint="eastAsia" w:hAnsi="宋体"/>
          <w:sz w:val="24"/>
        </w:rPr>
        <w:t>报刊上。</w:t>
      </w:r>
    </w:p>
    <w:p>
      <w:pPr>
        <w:adjustRightInd w:val="0"/>
        <w:snapToGrid w:val="0"/>
        <w:spacing w:line="360" w:lineRule="auto"/>
        <w:ind w:firstLine="480" w:firstLineChars="200"/>
        <w:rPr>
          <w:rFonts w:hAnsi="宋体"/>
          <w:sz w:val="24"/>
        </w:rPr>
      </w:pPr>
      <w:r>
        <w:rPr>
          <w:rFonts w:hint="eastAsia" w:hAnsi="宋体"/>
          <w:sz w:val="24"/>
        </w:rPr>
        <w:t>基金管理人应当在季度结束之日起15个工作日内，编制完成基金季度报告，将季度报告登载在规定网站上，并将季度报告提示性公告登载在</w:t>
      </w:r>
      <w:r>
        <w:rPr>
          <w:rFonts w:hint="eastAsia"/>
          <w:bCs/>
          <w:sz w:val="24"/>
        </w:rPr>
        <w:t>规定</w:t>
      </w:r>
      <w:r>
        <w:rPr>
          <w:rFonts w:hint="eastAsia" w:hAnsi="宋体"/>
          <w:sz w:val="24"/>
        </w:rPr>
        <w:t>报刊上。</w:t>
      </w:r>
    </w:p>
    <w:p>
      <w:pPr>
        <w:adjustRightInd w:val="0"/>
        <w:snapToGrid w:val="0"/>
        <w:spacing w:line="360" w:lineRule="auto"/>
        <w:ind w:firstLine="480" w:firstLineChars="200"/>
        <w:rPr>
          <w:rFonts w:hAnsi="宋体"/>
          <w:sz w:val="24"/>
        </w:rPr>
      </w:pPr>
      <w:r>
        <w:rPr>
          <w:rFonts w:hint="eastAsia" w:hAnsi="宋体"/>
          <w:sz w:val="24"/>
        </w:rPr>
        <w:t>《基金合同》生效不足2个月的，基金管理人可以不编制当期季度报告、中期报告或者年度报告。</w:t>
      </w:r>
    </w:p>
    <w:p>
      <w:pPr>
        <w:adjustRightInd w:val="0"/>
        <w:snapToGrid w:val="0"/>
        <w:spacing w:line="360" w:lineRule="auto"/>
        <w:ind w:firstLine="480" w:firstLineChars="200"/>
        <w:rPr>
          <w:rFonts w:hAnsi="宋体"/>
          <w:sz w:val="24"/>
        </w:rPr>
      </w:pPr>
      <w:r>
        <w:rPr>
          <w:rFonts w:hint="eastAsia"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djustRightInd w:val="0"/>
        <w:snapToGrid w:val="0"/>
        <w:spacing w:line="360" w:lineRule="auto"/>
        <w:ind w:firstLine="480" w:firstLineChars="200"/>
        <w:rPr>
          <w:rFonts w:hAnsi="宋体"/>
          <w:sz w:val="24"/>
        </w:rPr>
      </w:pPr>
      <w:r>
        <w:rPr>
          <w:rFonts w:hint="eastAsia" w:hAnsi="宋体"/>
          <w:sz w:val="24"/>
        </w:rPr>
        <w:t>基金管理人应当在基金年度报告和</w:t>
      </w:r>
      <w:r>
        <w:rPr>
          <w:rFonts w:hint="eastAsia"/>
          <w:bCs/>
          <w:sz w:val="24"/>
        </w:rPr>
        <w:t>中期</w:t>
      </w:r>
      <w:r>
        <w:rPr>
          <w:rFonts w:hint="eastAsia" w:hAnsi="宋体"/>
          <w:sz w:val="24"/>
        </w:rPr>
        <w:t>报告中披露基金组合资产情况及其流动性风险分析等。</w:t>
      </w:r>
    </w:p>
    <w:p>
      <w:pPr>
        <w:adjustRightInd w:val="0"/>
        <w:snapToGrid w:val="0"/>
        <w:spacing w:line="360" w:lineRule="auto"/>
        <w:ind w:firstLine="480" w:firstLineChars="200"/>
        <w:rPr>
          <w:sz w:val="24"/>
        </w:rPr>
      </w:pPr>
      <w:r>
        <w:rPr>
          <w:sz w:val="24"/>
        </w:rPr>
        <w:t>7</w:t>
      </w:r>
      <w:r>
        <w:rPr>
          <w:rFonts w:hAnsi="宋体"/>
          <w:sz w:val="24"/>
        </w:rPr>
        <w:t>、临时报告</w:t>
      </w:r>
    </w:p>
    <w:p>
      <w:pPr>
        <w:adjustRightInd w:val="0"/>
        <w:snapToGrid w:val="0"/>
        <w:spacing w:line="360" w:lineRule="auto"/>
        <w:ind w:firstLine="480" w:firstLineChars="200"/>
        <w:rPr>
          <w:rFonts w:hAnsi="宋体"/>
          <w:sz w:val="24"/>
        </w:rPr>
      </w:pPr>
      <w:r>
        <w:rPr>
          <w:rFonts w:hAnsi="宋体"/>
          <w:sz w:val="24"/>
        </w:rPr>
        <w:t>本基金发生重大事件，有关信息披露义务人应当</w:t>
      </w:r>
      <w:r>
        <w:rPr>
          <w:rFonts w:hint="eastAsia" w:hAnsi="宋体"/>
          <w:sz w:val="24"/>
        </w:rPr>
        <w:t>依照《信息披露办法》的规定</w:t>
      </w:r>
      <w:r>
        <w:rPr>
          <w:rFonts w:hAnsi="宋体"/>
          <w:sz w:val="24"/>
        </w:rPr>
        <w:t>编制临时报告书，</w:t>
      </w:r>
      <w:r>
        <w:rPr>
          <w:rFonts w:hint="eastAsia"/>
          <w:bCs/>
          <w:sz w:val="24"/>
        </w:rPr>
        <w:t>并登载在规定报刊和规定网站上</w:t>
      </w:r>
      <w:r>
        <w:rPr>
          <w:rFonts w:hAnsi="宋体"/>
          <w:sz w:val="24"/>
        </w:rPr>
        <w:t>。</w:t>
      </w:r>
    </w:p>
    <w:p>
      <w:pPr>
        <w:adjustRightInd w:val="0"/>
        <w:snapToGrid w:val="0"/>
        <w:spacing w:line="360" w:lineRule="auto"/>
        <w:ind w:firstLine="480" w:firstLineChars="200"/>
        <w:rPr>
          <w:rFonts w:hAnsi="宋体"/>
          <w:sz w:val="24"/>
        </w:rPr>
      </w:pPr>
      <w:r>
        <w:rPr>
          <w:rFonts w:hAnsi="宋体"/>
          <w:sz w:val="24"/>
        </w:rPr>
        <w:t>前款所称重大事件，是指可能对基金份额持有人权益或者基金份额的价格产生重大影响的下列事件：</w:t>
      </w:r>
    </w:p>
    <w:p>
      <w:pPr>
        <w:adjustRightInd w:val="0"/>
        <w:snapToGrid w:val="0"/>
        <w:spacing w:line="360" w:lineRule="auto"/>
        <w:ind w:firstLine="480" w:firstLineChars="200"/>
        <w:rPr>
          <w:bCs/>
          <w:sz w:val="24"/>
        </w:rPr>
      </w:pPr>
      <w:r>
        <w:rPr>
          <w:rFonts w:hint="eastAsia"/>
          <w:bCs/>
          <w:sz w:val="24"/>
        </w:rPr>
        <w:t>（1）基金份额持有人大会的召开及决定的事项；</w:t>
      </w:r>
    </w:p>
    <w:p>
      <w:pPr>
        <w:adjustRightInd w:val="0"/>
        <w:snapToGrid w:val="0"/>
        <w:spacing w:line="360" w:lineRule="auto"/>
        <w:ind w:firstLine="480" w:firstLineChars="200"/>
        <w:rPr>
          <w:bCs/>
          <w:sz w:val="24"/>
        </w:rPr>
      </w:pPr>
      <w:r>
        <w:rPr>
          <w:rFonts w:hint="eastAsia"/>
          <w:bCs/>
          <w:sz w:val="24"/>
        </w:rPr>
        <w:t>（2）《基金合同》终止、基金清算；</w:t>
      </w:r>
    </w:p>
    <w:p>
      <w:pPr>
        <w:adjustRightInd w:val="0"/>
        <w:snapToGrid w:val="0"/>
        <w:spacing w:line="360" w:lineRule="auto"/>
        <w:ind w:firstLine="480" w:firstLineChars="200"/>
        <w:rPr>
          <w:bCs/>
          <w:sz w:val="24"/>
        </w:rPr>
      </w:pPr>
      <w:r>
        <w:rPr>
          <w:rFonts w:hint="eastAsia"/>
          <w:bCs/>
          <w:sz w:val="24"/>
        </w:rPr>
        <w:t>（3）转换基金运作方式、基金合并；</w:t>
      </w:r>
    </w:p>
    <w:p>
      <w:pPr>
        <w:adjustRightInd w:val="0"/>
        <w:snapToGrid w:val="0"/>
        <w:spacing w:line="360" w:lineRule="auto"/>
        <w:ind w:firstLine="480" w:firstLineChars="200"/>
        <w:rPr>
          <w:bCs/>
          <w:sz w:val="24"/>
        </w:rPr>
      </w:pPr>
      <w:r>
        <w:rPr>
          <w:rFonts w:hint="eastAsia"/>
          <w:bCs/>
          <w:sz w:val="24"/>
        </w:rPr>
        <w:t>（4）更换基金管理人、基金托管人、境外托管人、基金份额登记机构，基金改聘会计师事务所，选择、更换或撤销境外投资顾问（如有）；</w:t>
      </w:r>
    </w:p>
    <w:p>
      <w:pPr>
        <w:adjustRightInd w:val="0"/>
        <w:snapToGrid w:val="0"/>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pPr>
        <w:adjustRightInd w:val="0"/>
        <w:snapToGrid w:val="0"/>
        <w:spacing w:line="360" w:lineRule="auto"/>
        <w:ind w:firstLine="480" w:firstLineChars="200"/>
        <w:rPr>
          <w:bCs/>
          <w:sz w:val="24"/>
        </w:rPr>
      </w:pPr>
      <w:r>
        <w:rPr>
          <w:rFonts w:hint="eastAsia"/>
          <w:bCs/>
          <w:sz w:val="24"/>
        </w:rPr>
        <w:t>（6）基金管理人、基金托管人、境外托管人的法定名称、住所发生变更；</w:t>
      </w:r>
    </w:p>
    <w:p>
      <w:pPr>
        <w:adjustRightInd w:val="0"/>
        <w:snapToGrid w:val="0"/>
        <w:spacing w:line="360" w:lineRule="auto"/>
        <w:ind w:firstLine="480" w:firstLineChars="200"/>
        <w:rPr>
          <w:bCs/>
          <w:sz w:val="24"/>
        </w:rPr>
      </w:pPr>
      <w:r>
        <w:rPr>
          <w:rFonts w:hint="eastAsia"/>
          <w:bCs/>
          <w:sz w:val="24"/>
        </w:rPr>
        <w:t>（7）基金管理人变更持有百分之五以上股权的股东、基金管理人的实际控制人变更；</w:t>
      </w:r>
    </w:p>
    <w:p>
      <w:pPr>
        <w:adjustRightInd w:val="0"/>
        <w:snapToGrid w:val="0"/>
        <w:spacing w:line="360" w:lineRule="auto"/>
        <w:ind w:firstLine="480" w:firstLineChars="200"/>
        <w:rPr>
          <w:bCs/>
          <w:sz w:val="24"/>
        </w:rPr>
      </w:pPr>
      <w:r>
        <w:rPr>
          <w:rFonts w:hint="eastAsia"/>
          <w:bCs/>
          <w:sz w:val="24"/>
        </w:rPr>
        <w:t>（8）基金募集期延长或提前结束募集；</w:t>
      </w:r>
    </w:p>
    <w:p>
      <w:pPr>
        <w:adjustRightInd w:val="0"/>
        <w:snapToGrid w:val="0"/>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pPr>
        <w:adjustRightInd w:val="0"/>
        <w:snapToGrid w:val="0"/>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pPr>
        <w:adjustRightInd w:val="0"/>
        <w:snapToGrid w:val="0"/>
        <w:spacing w:line="360" w:lineRule="auto"/>
        <w:ind w:firstLine="480" w:firstLineChars="200"/>
        <w:rPr>
          <w:bCs/>
          <w:sz w:val="24"/>
        </w:rPr>
      </w:pPr>
      <w:r>
        <w:rPr>
          <w:rFonts w:hint="eastAsia"/>
          <w:bCs/>
          <w:sz w:val="24"/>
        </w:rPr>
        <w:t>（11）涉及基金财产、基金管理业务、基金托管业务的诉讼或仲裁；</w:t>
      </w:r>
    </w:p>
    <w:p>
      <w:pPr>
        <w:adjustRightInd w:val="0"/>
        <w:snapToGrid w:val="0"/>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对基金投资可能产生重大影响的境外投资顾问（如有）主要负责人员发生变更；</w:t>
      </w:r>
    </w:p>
    <w:p>
      <w:pPr>
        <w:adjustRightInd w:val="0"/>
        <w:snapToGrid w:val="0"/>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djustRightInd w:val="0"/>
        <w:snapToGrid w:val="0"/>
        <w:spacing w:line="360" w:lineRule="auto"/>
        <w:ind w:firstLine="480" w:firstLineChars="200"/>
        <w:rPr>
          <w:bCs/>
          <w:sz w:val="24"/>
        </w:rPr>
      </w:pPr>
      <w:r>
        <w:rPr>
          <w:rFonts w:hint="eastAsia"/>
          <w:bCs/>
          <w:sz w:val="24"/>
        </w:rPr>
        <w:t>（14）基金收益分配事项；</w:t>
      </w:r>
    </w:p>
    <w:p>
      <w:pPr>
        <w:adjustRightInd w:val="0"/>
        <w:snapToGrid w:val="0"/>
        <w:spacing w:line="360" w:lineRule="auto"/>
        <w:ind w:firstLine="480" w:firstLineChars="200"/>
        <w:rPr>
          <w:bCs/>
          <w:sz w:val="24"/>
        </w:rPr>
      </w:pPr>
      <w:r>
        <w:rPr>
          <w:rFonts w:hint="eastAsia"/>
          <w:bCs/>
          <w:sz w:val="24"/>
        </w:rPr>
        <w:t>（15）管理费、托管费、销售服务费、申购费、赎回费等费用计提标准、计提方式和费率发生变更；</w:t>
      </w:r>
    </w:p>
    <w:p>
      <w:pPr>
        <w:adjustRightInd w:val="0"/>
        <w:snapToGrid w:val="0"/>
        <w:spacing w:line="360" w:lineRule="auto"/>
        <w:ind w:firstLine="480" w:firstLineChars="200"/>
        <w:rPr>
          <w:bCs/>
          <w:sz w:val="24"/>
        </w:rPr>
      </w:pPr>
      <w:r>
        <w:rPr>
          <w:rFonts w:hint="eastAsia"/>
          <w:bCs/>
          <w:sz w:val="24"/>
        </w:rPr>
        <w:t>（16）任一类基金份额净值计价错误达该类基金份额净值百分之零点五；</w:t>
      </w:r>
    </w:p>
    <w:p>
      <w:pPr>
        <w:adjustRightInd w:val="0"/>
        <w:snapToGrid w:val="0"/>
        <w:spacing w:line="360" w:lineRule="auto"/>
        <w:ind w:firstLine="480" w:firstLineChars="200"/>
        <w:rPr>
          <w:bCs/>
          <w:sz w:val="24"/>
        </w:rPr>
      </w:pPr>
      <w:r>
        <w:rPr>
          <w:rFonts w:hint="eastAsia"/>
          <w:bCs/>
          <w:sz w:val="24"/>
        </w:rPr>
        <w:t>（17）本基金开始办理申购、赎回；</w:t>
      </w:r>
    </w:p>
    <w:p>
      <w:pPr>
        <w:adjustRightInd w:val="0"/>
        <w:snapToGrid w:val="0"/>
        <w:spacing w:line="360" w:lineRule="auto"/>
        <w:ind w:firstLine="480" w:firstLineChars="200"/>
        <w:rPr>
          <w:bCs/>
          <w:sz w:val="24"/>
        </w:rPr>
      </w:pPr>
      <w:r>
        <w:rPr>
          <w:rFonts w:hint="eastAsia"/>
          <w:bCs/>
          <w:sz w:val="24"/>
        </w:rPr>
        <w:t>（18）本基金发生巨额赎回并延期办理；</w:t>
      </w:r>
    </w:p>
    <w:p>
      <w:pPr>
        <w:adjustRightInd w:val="0"/>
        <w:snapToGrid w:val="0"/>
        <w:spacing w:line="360" w:lineRule="auto"/>
        <w:ind w:firstLine="480" w:firstLineChars="200"/>
        <w:rPr>
          <w:bCs/>
          <w:sz w:val="24"/>
        </w:rPr>
      </w:pPr>
      <w:r>
        <w:rPr>
          <w:rFonts w:hint="eastAsia"/>
          <w:bCs/>
          <w:sz w:val="24"/>
        </w:rPr>
        <w:t>（19）本基金连续发生巨额赎回并暂停接受赎回申请或延缓支付赎回款项；</w:t>
      </w:r>
    </w:p>
    <w:p>
      <w:pPr>
        <w:adjustRightInd w:val="0"/>
        <w:snapToGrid w:val="0"/>
        <w:spacing w:line="360" w:lineRule="auto"/>
        <w:ind w:firstLine="480" w:firstLineChars="200"/>
        <w:rPr>
          <w:bCs/>
          <w:sz w:val="24"/>
        </w:rPr>
      </w:pPr>
      <w:r>
        <w:rPr>
          <w:rFonts w:hint="eastAsia"/>
          <w:bCs/>
          <w:sz w:val="24"/>
        </w:rPr>
        <w:t>（20）本基金暂停接受申购、赎回申请或重新接受申购、赎回申请；</w:t>
      </w:r>
    </w:p>
    <w:p>
      <w:pPr>
        <w:adjustRightInd w:val="0"/>
        <w:snapToGrid w:val="0"/>
        <w:spacing w:line="360" w:lineRule="auto"/>
        <w:ind w:firstLine="480" w:firstLineChars="200"/>
        <w:rPr>
          <w:bCs/>
          <w:sz w:val="24"/>
        </w:rPr>
      </w:pPr>
      <w:r>
        <w:rPr>
          <w:rFonts w:hint="eastAsia"/>
          <w:bCs/>
          <w:sz w:val="24"/>
        </w:rPr>
        <w:t>（21）发生涉及基金申购、赎回事项调整或潜在影响投资者赎回等重大事项时；</w:t>
      </w:r>
    </w:p>
    <w:p>
      <w:pPr>
        <w:adjustRightInd w:val="0"/>
        <w:snapToGrid w:val="0"/>
        <w:spacing w:line="360" w:lineRule="auto"/>
        <w:ind w:firstLine="480" w:firstLineChars="200"/>
        <w:rPr>
          <w:bCs/>
          <w:sz w:val="24"/>
        </w:rPr>
      </w:pPr>
      <w:r>
        <w:rPr>
          <w:rFonts w:hint="eastAsia"/>
          <w:bCs/>
          <w:sz w:val="24"/>
        </w:rPr>
        <w:t>（22）基金管理人采用摆动定价机制进行估值；</w:t>
      </w:r>
    </w:p>
    <w:p>
      <w:pPr>
        <w:adjustRightInd w:val="0"/>
        <w:snapToGrid w:val="0"/>
        <w:spacing w:line="360" w:lineRule="auto"/>
        <w:ind w:firstLine="480" w:firstLineChars="200"/>
        <w:rPr>
          <w:bCs/>
          <w:sz w:val="24"/>
        </w:rPr>
      </w:pPr>
      <w:r>
        <w:rPr>
          <w:rFonts w:hint="eastAsia"/>
          <w:bCs/>
          <w:sz w:val="24"/>
        </w:rPr>
        <w:t>（23）本基金增加或调整基金份额类别；</w:t>
      </w:r>
    </w:p>
    <w:p>
      <w:pPr>
        <w:adjustRightInd w:val="0"/>
        <w:snapToGrid w:val="0"/>
        <w:spacing w:line="360" w:lineRule="auto"/>
        <w:ind w:firstLine="480" w:firstLineChars="200"/>
        <w:rPr>
          <w:bCs/>
          <w:sz w:val="24"/>
        </w:rPr>
      </w:pPr>
      <w:r>
        <w:rPr>
          <w:rFonts w:hint="eastAsia"/>
          <w:bCs/>
          <w:sz w:val="24"/>
        </w:rPr>
        <w:t>（24）本基金接受其它币种的申购、赎回；</w:t>
      </w:r>
    </w:p>
    <w:p>
      <w:pPr>
        <w:adjustRightInd w:val="0"/>
        <w:snapToGrid w:val="0"/>
        <w:spacing w:line="360" w:lineRule="auto"/>
        <w:ind w:firstLine="480" w:firstLineChars="200"/>
        <w:rPr>
          <w:bCs/>
          <w:sz w:val="24"/>
        </w:rPr>
      </w:pPr>
      <w:r>
        <w:rPr>
          <w:rFonts w:hint="eastAsia"/>
          <w:bCs/>
          <w:sz w:val="24"/>
        </w:rPr>
        <w:t>（25）本基金推出新业务或服务；</w:t>
      </w:r>
    </w:p>
    <w:p>
      <w:pPr>
        <w:adjustRightInd w:val="0"/>
        <w:snapToGrid w:val="0"/>
        <w:spacing w:line="360" w:lineRule="auto"/>
        <w:ind w:firstLine="480" w:firstLineChars="200"/>
        <w:rPr>
          <w:bCs/>
          <w:sz w:val="24"/>
        </w:rPr>
      </w:pPr>
      <w:r>
        <w:rPr>
          <w:rFonts w:hint="eastAsia"/>
          <w:bCs/>
          <w:sz w:val="24"/>
        </w:rPr>
        <w:t>（26）基金信息披露义务人认为可能对基金份额持有人权益或者基金份额的价格产生重大影响的其他事项或中国证监会规定和基金合同约定的其他事项。</w:t>
      </w:r>
    </w:p>
    <w:p>
      <w:pPr>
        <w:adjustRightInd w:val="0"/>
        <w:snapToGrid w:val="0"/>
        <w:spacing w:line="360" w:lineRule="auto"/>
        <w:ind w:firstLine="480" w:firstLineChars="200"/>
        <w:rPr>
          <w:sz w:val="24"/>
        </w:rPr>
      </w:pPr>
      <w:r>
        <w:rPr>
          <w:sz w:val="24"/>
        </w:rPr>
        <w:t>8</w:t>
      </w:r>
      <w:r>
        <w:rPr>
          <w:rFonts w:hAnsi="宋体"/>
          <w:sz w:val="24"/>
        </w:rPr>
        <w:t>、澄清公告</w:t>
      </w:r>
    </w:p>
    <w:p>
      <w:pPr>
        <w:adjustRightInd w:val="0"/>
        <w:snapToGrid w:val="0"/>
        <w:spacing w:line="360" w:lineRule="auto"/>
        <w:ind w:firstLine="480" w:firstLineChars="200"/>
        <w:rPr>
          <w:rFonts w:hAnsi="宋体"/>
          <w:sz w:val="24"/>
        </w:rPr>
      </w:pPr>
      <w:r>
        <w:rPr>
          <w:rFonts w:hAnsi="宋体"/>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Ansi="宋体"/>
          <w:sz w:val="24"/>
        </w:rPr>
        <w:t>的，相关信息披露义务人知悉后应当立即对该消息进行公开澄清。</w:t>
      </w:r>
    </w:p>
    <w:p>
      <w:pPr>
        <w:adjustRightInd w:val="0"/>
        <w:snapToGrid w:val="0"/>
        <w:spacing w:line="360" w:lineRule="auto"/>
        <w:ind w:firstLine="480" w:firstLineChars="200"/>
        <w:rPr>
          <w:sz w:val="24"/>
        </w:rPr>
      </w:pPr>
      <w:r>
        <w:rPr>
          <w:sz w:val="24"/>
        </w:rPr>
        <w:t>9</w:t>
      </w:r>
      <w:r>
        <w:rPr>
          <w:rFonts w:hAnsi="宋体"/>
          <w:sz w:val="24"/>
        </w:rPr>
        <w:t>、基金份额持有人大会决议</w:t>
      </w:r>
    </w:p>
    <w:p>
      <w:pPr>
        <w:adjustRightInd w:val="0"/>
        <w:snapToGrid w:val="0"/>
        <w:spacing w:line="360" w:lineRule="auto"/>
        <w:ind w:firstLine="480" w:firstLineChars="200"/>
        <w:rPr>
          <w:bCs/>
          <w:sz w:val="24"/>
        </w:rPr>
      </w:pPr>
      <w:r>
        <w:rPr>
          <w:rFonts w:hint="eastAsia"/>
          <w:bCs/>
          <w:sz w:val="24"/>
        </w:rPr>
        <w:t>基金份额持有人大会决定的事项，应当依法报中国证监会备案，并予以公告。</w:t>
      </w:r>
    </w:p>
    <w:p>
      <w:pPr>
        <w:adjustRightInd w:val="0"/>
        <w:snapToGrid w:val="0"/>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pPr>
        <w:adjustRightInd w:val="0"/>
        <w:snapToGrid w:val="0"/>
        <w:spacing w:line="360" w:lineRule="auto"/>
        <w:ind w:firstLine="480" w:firstLineChars="200"/>
        <w:rPr>
          <w:sz w:val="24"/>
        </w:rPr>
      </w:pPr>
      <w:r>
        <w:rPr>
          <w:rFonts w:hint="eastAsia"/>
          <w:sz w:val="24"/>
        </w:rPr>
        <w:t>1</w:t>
      </w:r>
      <w:r>
        <w:rPr>
          <w:sz w:val="24"/>
        </w:rPr>
        <w:t>0、</w:t>
      </w:r>
      <w:r>
        <w:rPr>
          <w:rFonts w:hint="eastAsia"/>
          <w:sz w:val="24"/>
        </w:rPr>
        <w:t>实施侧袋机制期间的信息披露</w:t>
      </w:r>
    </w:p>
    <w:p>
      <w:pPr>
        <w:adjustRightInd w:val="0"/>
        <w:snapToGrid w:val="0"/>
        <w:spacing w:line="360" w:lineRule="auto"/>
        <w:ind w:firstLine="480" w:firstLineChars="200"/>
        <w:rPr>
          <w:sz w:val="24"/>
        </w:rPr>
      </w:pPr>
      <w:r>
        <w:rPr>
          <w:rFonts w:hint="eastAsia"/>
          <w:sz w:val="24"/>
        </w:rPr>
        <w:t>本基金实施侧袋机制的，相关信息披露义务人应当根据法律法规、基金合同和招募说明书的规定进行信息披露，详见本招募说明书“侧袋</w:t>
      </w:r>
      <w:r>
        <w:rPr>
          <w:sz w:val="24"/>
        </w:rPr>
        <w:t>机制</w:t>
      </w:r>
      <w:r>
        <w:rPr>
          <w:rFonts w:hint="eastAsia"/>
          <w:sz w:val="24"/>
        </w:rPr>
        <w:t>”部分的规定。</w:t>
      </w:r>
    </w:p>
    <w:p>
      <w:pPr>
        <w:adjustRightInd w:val="0"/>
        <w:snapToGrid w:val="0"/>
        <w:spacing w:line="360" w:lineRule="auto"/>
        <w:ind w:firstLine="480" w:firstLineChars="200"/>
        <w:rPr>
          <w:sz w:val="24"/>
        </w:rPr>
      </w:pPr>
      <w:r>
        <w:rPr>
          <w:rFonts w:hint="eastAsia"/>
          <w:sz w:val="24"/>
        </w:rPr>
        <w:t>11、清算报告</w:t>
      </w:r>
    </w:p>
    <w:p>
      <w:pPr>
        <w:adjustRightInd w:val="0"/>
        <w:snapToGrid w:val="0"/>
        <w:spacing w:line="360" w:lineRule="auto"/>
        <w:ind w:firstLine="480" w:firstLineChars="200"/>
        <w:rPr>
          <w:sz w:val="24"/>
        </w:rPr>
      </w:pPr>
      <w:r>
        <w:rPr>
          <w:rFonts w:hint="eastAsia"/>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w:t>
      </w:r>
      <w:r>
        <w:rPr>
          <w:rFonts w:hint="eastAsia"/>
          <w:bCs/>
          <w:sz w:val="24"/>
        </w:rPr>
        <w:t>规定</w:t>
      </w:r>
      <w:r>
        <w:rPr>
          <w:rFonts w:hint="eastAsia"/>
          <w:sz w:val="24"/>
        </w:rPr>
        <w:t>报刊上。</w:t>
      </w:r>
    </w:p>
    <w:p>
      <w:pPr>
        <w:adjustRightInd w:val="0"/>
        <w:snapToGrid w:val="0"/>
        <w:spacing w:line="360" w:lineRule="auto"/>
        <w:ind w:firstLine="480" w:firstLineChars="200"/>
        <w:rPr>
          <w:sz w:val="24"/>
        </w:rPr>
      </w:pPr>
      <w:r>
        <w:rPr>
          <w:rFonts w:hint="eastAsia"/>
          <w:sz w:val="24"/>
        </w:rPr>
        <w:t>1</w:t>
      </w:r>
      <w:r>
        <w:rPr>
          <w:sz w:val="24"/>
        </w:rPr>
        <w:t>2、</w:t>
      </w:r>
      <w:r>
        <w:rPr>
          <w:rFonts w:hint="eastAsia"/>
          <w:sz w:val="24"/>
        </w:rPr>
        <w:t>基金投资资产支持证券情况</w:t>
      </w:r>
    </w:p>
    <w:p>
      <w:pPr>
        <w:adjustRightInd w:val="0"/>
        <w:snapToGrid w:val="0"/>
        <w:spacing w:line="360" w:lineRule="auto"/>
        <w:ind w:firstLine="480" w:firstLineChars="200"/>
        <w:rPr>
          <w:sz w:val="24"/>
        </w:rPr>
      </w:pPr>
      <w:r>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djustRightInd w:val="0"/>
        <w:snapToGrid w:val="0"/>
        <w:spacing w:line="360" w:lineRule="auto"/>
        <w:ind w:firstLine="480" w:firstLineChars="200"/>
        <w:rPr>
          <w:sz w:val="24"/>
        </w:rPr>
      </w:pPr>
      <w:r>
        <w:rPr>
          <w:rFonts w:hint="eastAsia"/>
          <w:sz w:val="24"/>
        </w:rPr>
        <w:t>1</w:t>
      </w:r>
      <w:r>
        <w:rPr>
          <w:sz w:val="24"/>
        </w:rPr>
        <w:t>3、</w:t>
      </w:r>
      <w:r>
        <w:rPr>
          <w:rFonts w:hint="eastAsia"/>
          <w:sz w:val="24"/>
        </w:rPr>
        <w:t>基金投资股指期货情况</w:t>
      </w:r>
    </w:p>
    <w:p>
      <w:pPr>
        <w:adjustRightInd w:val="0"/>
        <w:snapToGrid w:val="0"/>
        <w:spacing w:line="360" w:lineRule="auto"/>
        <w:ind w:firstLine="480" w:firstLineChars="200"/>
        <w:rPr>
          <w:sz w:val="24"/>
        </w:rPr>
      </w:pPr>
      <w:r>
        <w:rPr>
          <w:rFonts w:hint="eastAsia"/>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pPr>
        <w:adjustRightInd w:val="0"/>
        <w:snapToGrid w:val="0"/>
        <w:spacing w:line="360" w:lineRule="auto"/>
        <w:ind w:firstLine="480" w:firstLineChars="200"/>
        <w:rPr>
          <w:sz w:val="24"/>
        </w:rPr>
      </w:pPr>
      <w:r>
        <w:rPr>
          <w:rFonts w:hint="eastAsia"/>
          <w:sz w:val="24"/>
        </w:rPr>
        <w:t>1</w:t>
      </w:r>
      <w:r>
        <w:rPr>
          <w:sz w:val="24"/>
        </w:rPr>
        <w:t>4、</w:t>
      </w:r>
      <w:r>
        <w:rPr>
          <w:rFonts w:hint="eastAsia"/>
          <w:sz w:val="24"/>
        </w:rPr>
        <w:t>基金投资港股通标的股票情况</w:t>
      </w:r>
    </w:p>
    <w:p>
      <w:pPr>
        <w:adjustRightInd w:val="0"/>
        <w:snapToGrid w:val="0"/>
        <w:spacing w:line="360" w:lineRule="auto"/>
        <w:ind w:firstLine="480" w:firstLineChars="200"/>
        <w:rPr>
          <w:sz w:val="24"/>
        </w:rPr>
      </w:pPr>
      <w:r>
        <w:rPr>
          <w:rFonts w:hint="eastAsia"/>
          <w:sz w:val="24"/>
        </w:rPr>
        <w:t>本基金投资港股通标的股票，基金应当在季度报告、中期报告、年度报告等定期报告和招募说明书（更新）等文件中披露港股通标的股票的投资情况。法律法规或中国证监会另有规定的，从其规定。</w:t>
      </w:r>
    </w:p>
    <w:p>
      <w:pPr>
        <w:adjustRightInd w:val="0"/>
        <w:snapToGrid w:val="0"/>
        <w:spacing w:line="360" w:lineRule="auto"/>
        <w:ind w:firstLine="480" w:firstLineChars="200"/>
        <w:rPr>
          <w:sz w:val="24"/>
        </w:rPr>
      </w:pPr>
      <w:r>
        <w:rPr>
          <w:rFonts w:hint="eastAsia"/>
          <w:sz w:val="24"/>
        </w:rPr>
        <w:t>15、基金投资境外基金的信息披露</w:t>
      </w:r>
    </w:p>
    <w:p>
      <w:pPr>
        <w:adjustRightInd w:val="0"/>
        <w:snapToGrid w:val="0"/>
        <w:spacing w:line="360" w:lineRule="auto"/>
        <w:ind w:firstLine="480" w:firstLineChars="200"/>
        <w:rPr>
          <w:sz w:val="24"/>
        </w:rPr>
      </w:pPr>
      <w:r>
        <w:rPr>
          <w:rFonts w:hint="eastAsia"/>
          <w:sz w:val="24"/>
        </w:rPr>
        <w:t>本基金如投资境外基金的，应当披露本基金与境外基金之间的费率安排。</w:t>
      </w:r>
    </w:p>
    <w:p>
      <w:pPr>
        <w:adjustRightInd w:val="0"/>
        <w:snapToGrid w:val="0"/>
        <w:spacing w:line="360" w:lineRule="auto"/>
        <w:ind w:firstLine="480" w:firstLineChars="200"/>
        <w:rPr>
          <w:sz w:val="24"/>
        </w:rPr>
      </w:pPr>
      <w:r>
        <w:rPr>
          <w:rFonts w:hint="eastAsia"/>
          <w:sz w:val="24"/>
        </w:rPr>
        <w:t>16、基金投资股票期权情况</w:t>
      </w:r>
    </w:p>
    <w:p>
      <w:pPr>
        <w:adjustRightInd w:val="0"/>
        <w:snapToGrid w:val="0"/>
        <w:spacing w:line="360" w:lineRule="auto"/>
        <w:ind w:firstLine="480" w:firstLineChars="200"/>
        <w:rPr>
          <w:rFonts w:hAnsi="宋体"/>
          <w:sz w:val="24"/>
        </w:rPr>
      </w:pPr>
      <w:r>
        <w:rPr>
          <w:rFonts w:hint="eastAsia"/>
          <w:sz w:val="24"/>
        </w:rPr>
        <w:t>本基金如投资股票期权的，基金管理人应当在定期信息披露文件中披露股票期权交易情况，包括投资政策、持仓情况、损益情况、风险指标、估值方法等，并充分揭示股票期权交易对本基金总体风险的影响以及是否符合既定的投资政策和投资目标。</w:t>
      </w:r>
    </w:p>
    <w:p>
      <w:pPr>
        <w:adjustRightInd w:val="0"/>
        <w:snapToGrid w:val="0"/>
        <w:spacing w:line="360" w:lineRule="auto"/>
        <w:ind w:firstLine="480" w:firstLineChars="200"/>
        <w:rPr>
          <w:sz w:val="24"/>
        </w:rPr>
      </w:pPr>
      <w:r>
        <w:rPr>
          <w:rFonts w:hint="eastAsia" w:hAnsi="宋体"/>
          <w:sz w:val="24"/>
        </w:rPr>
        <w:t>17、</w:t>
      </w:r>
      <w:r>
        <w:rPr>
          <w:rFonts w:hAnsi="宋体"/>
          <w:sz w:val="24"/>
        </w:rPr>
        <w:t>中国证监会规定的其他信息</w:t>
      </w:r>
      <w:r>
        <w:rPr>
          <w:rFonts w:hint="eastAsia" w:hAnsi="宋体"/>
          <w:sz w:val="24"/>
        </w:rPr>
        <w:t>。</w:t>
      </w:r>
    </w:p>
    <w:p>
      <w:pPr>
        <w:adjustRightInd w:val="0"/>
        <w:snapToGrid w:val="0"/>
        <w:spacing w:line="360" w:lineRule="auto"/>
        <w:ind w:firstLine="482" w:firstLineChars="200"/>
        <w:rPr>
          <w:b/>
          <w:bCs/>
          <w:sz w:val="24"/>
        </w:rPr>
      </w:pPr>
      <w:r>
        <w:rPr>
          <w:b/>
          <w:bCs/>
          <w:sz w:val="24"/>
        </w:rPr>
        <w:t>（六）信息披露事务管理</w:t>
      </w:r>
    </w:p>
    <w:p>
      <w:pPr>
        <w:adjustRightInd w:val="0"/>
        <w:snapToGrid w:val="0"/>
        <w:spacing w:line="360" w:lineRule="auto"/>
        <w:ind w:firstLine="480" w:firstLineChars="200"/>
        <w:rPr>
          <w:rFonts w:hAnsi="宋体"/>
          <w:sz w:val="24"/>
        </w:rPr>
      </w:pPr>
      <w:r>
        <w:rPr>
          <w:rFonts w:hint="eastAsia" w:hAnsi="宋体"/>
          <w:sz w:val="24"/>
        </w:rPr>
        <w:t>基金管理人、基金托管人应当建立健全信息披露管理制度，指定</w:t>
      </w:r>
      <w:r>
        <w:rPr>
          <w:rFonts w:hint="eastAsia"/>
          <w:bCs/>
          <w:sz w:val="24"/>
        </w:rPr>
        <w:t>专门部门及高级管理人员</w:t>
      </w:r>
      <w:r>
        <w:rPr>
          <w:rFonts w:hint="eastAsia" w:hAnsi="宋体"/>
          <w:sz w:val="24"/>
        </w:rPr>
        <w:t>负责管理信息披露事务。</w:t>
      </w:r>
    </w:p>
    <w:p>
      <w:pPr>
        <w:adjustRightInd w:val="0"/>
        <w:snapToGrid w:val="0"/>
        <w:spacing w:line="360" w:lineRule="auto"/>
        <w:ind w:firstLine="480" w:firstLineChars="200"/>
        <w:rPr>
          <w:rFonts w:hAnsi="宋体"/>
          <w:sz w:val="24"/>
        </w:rPr>
      </w:pPr>
      <w:r>
        <w:rPr>
          <w:rFonts w:hint="eastAsia" w:hAnsi="宋体"/>
          <w:sz w:val="24"/>
        </w:rPr>
        <w:t>基金信息披露义务人公开披露基金信息，应当符合中国证监会相关基金信息披露内容与格式准则</w:t>
      </w:r>
      <w:r>
        <w:rPr>
          <w:rFonts w:hint="eastAsia"/>
          <w:bCs/>
          <w:sz w:val="24"/>
        </w:rPr>
        <w:t>等法律法规</w:t>
      </w:r>
      <w:r>
        <w:rPr>
          <w:rFonts w:hint="eastAsia" w:hAnsi="宋体"/>
          <w:sz w:val="24"/>
        </w:rPr>
        <w:t>的规定。</w:t>
      </w:r>
    </w:p>
    <w:p>
      <w:pPr>
        <w:adjustRightInd w:val="0"/>
        <w:snapToGrid w:val="0"/>
        <w:spacing w:line="360" w:lineRule="auto"/>
        <w:ind w:firstLine="480" w:firstLineChars="200"/>
        <w:rPr>
          <w:rFonts w:hAnsi="宋体"/>
          <w:sz w:val="24"/>
        </w:rPr>
      </w:pPr>
      <w:r>
        <w:rPr>
          <w:rFonts w:hint="eastAsia" w:hAnsi="宋体"/>
          <w:sz w:val="24"/>
        </w:rPr>
        <w:t>基金托管人应当按照相关法律法规、中国证监会的规定和《基金合同》的约定，对基金管理人编制的基金资产净值、各类基金份额的基金份额净值、基金份额申购赎回价格、基金定期报告</w:t>
      </w:r>
      <w:r>
        <w:rPr>
          <w:rFonts w:hint="eastAsia"/>
          <w:bCs/>
          <w:sz w:val="24"/>
        </w:rPr>
        <w:t>、</w:t>
      </w:r>
      <w:r>
        <w:rPr>
          <w:rFonts w:hint="eastAsia" w:hAnsi="宋体"/>
          <w:sz w:val="24"/>
        </w:rPr>
        <w:t>更新的招募说明书</w:t>
      </w:r>
      <w:r>
        <w:rPr>
          <w:rFonts w:hint="eastAsia"/>
          <w:bCs/>
          <w:sz w:val="24"/>
        </w:rPr>
        <w:t>、基金产品资料概要、基金清算报告</w:t>
      </w:r>
      <w:r>
        <w:rPr>
          <w:rFonts w:hint="eastAsia" w:hAnsi="宋体"/>
          <w:sz w:val="24"/>
        </w:rPr>
        <w:t>等相关基金信息进行复核、审查，并向基金管理人</w:t>
      </w:r>
      <w:r>
        <w:rPr>
          <w:rFonts w:hint="eastAsia"/>
          <w:bCs/>
          <w:sz w:val="24"/>
        </w:rPr>
        <w:t>进行书面或电子</w:t>
      </w:r>
      <w:r>
        <w:rPr>
          <w:rFonts w:hint="eastAsia" w:hAnsi="宋体"/>
          <w:sz w:val="24"/>
        </w:rPr>
        <w:t>确认。</w:t>
      </w:r>
    </w:p>
    <w:p>
      <w:pPr>
        <w:adjustRightInd w:val="0"/>
        <w:snapToGrid w:val="0"/>
        <w:spacing w:line="360" w:lineRule="auto"/>
        <w:ind w:firstLine="480" w:firstLineChars="200"/>
        <w:rPr>
          <w:rFonts w:hAnsi="宋体"/>
          <w:sz w:val="24"/>
        </w:rPr>
      </w:pPr>
      <w:r>
        <w:rPr>
          <w:rFonts w:hint="eastAsia" w:hAnsi="宋体"/>
          <w:sz w:val="24"/>
        </w:rPr>
        <w:t>基金管理人、基金托管人应当在</w:t>
      </w:r>
      <w:r>
        <w:rPr>
          <w:rFonts w:hint="eastAsia"/>
          <w:bCs/>
          <w:sz w:val="24"/>
        </w:rPr>
        <w:t>规定报刊</w:t>
      </w:r>
      <w:r>
        <w:rPr>
          <w:bCs/>
          <w:sz w:val="24"/>
        </w:rPr>
        <w:t>中选择</w:t>
      </w:r>
      <w:r>
        <w:rPr>
          <w:rFonts w:hint="eastAsia"/>
          <w:bCs/>
          <w:sz w:val="24"/>
        </w:rPr>
        <w:t>一家</w:t>
      </w:r>
      <w:r>
        <w:rPr>
          <w:bCs/>
          <w:sz w:val="24"/>
        </w:rPr>
        <w:t>披露信息的</w:t>
      </w:r>
      <w:r>
        <w:rPr>
          <w:rFonts w:hint="eastAsia"/>
          <w:bCs/>
          <w:sz w:val="24"/>
        </w:rPr>
        <w:t>报刊</w:t>
      </w:r>
      <w:r>
        <w:rPr>
          <w:bCs/>
          <w:sz w:val="24"/>
        </w:rPr>
        <w:t>。</w:t>
      </w:r>
      <w:r>
        <w:rPr>
          <w:rFonts w:hint="eastAsia"/>
          <w:bCs/>
          <w:sz w:val="24"/>
        </w:rPr>
        <w:t>基金管理人、基金托管人应当向中国证监会基金电子披露网站报送拟披露的基金信息，并保证相关报送信息的真实、准确、完整、及时</w:t>
      </w:r>
      <w:r>
        <w:rPr>
          <w:rFonts w:hint="eastAsia" w:hAnsi="宋体"/>
          <w:sz w:val="24"/>
        </w:rPr>
        <w:t>。</w:t>
      </w:r>
    </w:p>
    <w:p>
      <w:pPr>
        <w:adjustRightInd w:val="0"/>
        <w:snapToGrid w:val="0"/>
        <w:spacing w:line="360" w:lineRule="auto"/>
        <w:ind w:firstLine="480" w:firstLineChars="200"/>
        <w:rPr>
          <w:rFonts w:hAnsi="宋体"/>
          <w:sz w:val="24"/>
        </w:rPr>
      </w:pPr>
      <w:r>
        <w:rPr>
          <w:rFonts w:hint="eastAsia"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adjustRightInd w:val="0"/>
        <w:snapToGrid w:val="0"/>
        <w:spacing w:line="360" w:lineRule="auto"/>
        <w:ind w:firstLine="480" w:firstLineChars="200"/>
        <w:rPr>
          <w:rFonts w:hAnsi="宋体"/>
          <w:sz w:val="24"/>
        </w:rPr>
      </w:pPr>
      <w:r>
        <w:rPr>
          <w:rFonts w:hint="eastAsia" w:hAnsi="宋体"/>
          <w:sz w:val="24"/>
        </w:rPr>
        <w:t>为基金信息披露义务人公开披露的基金信息出具审计报告、法律意见书的专业机构，应当制作工作底稿，并将相关档案至少保存到《基金合同》终止后10年。</w:t>
      </w:r>
    </w:p>
    <w:p>
      <w:pPr>
        <w:adjustRightInd w:val="0"/>
        <w:snapToGrid w:val="0"/>
        <w:spacing w:line="360" w:lineRule="auto"/>
        <w:ind w:firstLine="480" w:firstLineChars="200"/>
        <w:rPr>
          <w:rFonts w:hAnsi="宋体"/>
          <w:sz w:val="24"/>
        </w:rPr>
      </w:pPr>
      <w:r>
        <w:rPr>
          <w:rFonts w:hint="eastAsia"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djustRightInd w:val="0"/>
        <w:snapToGrid w:val="0"/>
        <w:spacing w:line="360" w:lineRule="auto"/>
        <w:ind w:firstLine="482" w:firstLineChars="200"/>
        <w:rPr>
          <w:b/>
          <w:sz w:val="24"/>
        </w:rPr>
      </w:pPr>
      <w:r>
        <w:rPr>
          <w:rFonts w:hAnsi="宋体"/>
          <w:b/>
          <w:sz w:val="24"/>
        </w:rPr>
        <w:t>（七）信息披露文件的存放与查阅</w:t>
      </w:r>
    </w:p>
    <w:p>
      <w:pPr>
        <w:adjustRightInd w:val="0"/>
        <w:snapToGrid w:val="0"/>
        <w:spacing w:line="360" w:lineRule="auto"/>
        <w:ind w:firstLine="480" w:firstLineChars="200"/>
      </w:pPr>
      <w:r>
        <w:rPr>
          <w:rFonts w:hint="eastAsia"/>
          <w:bCs/>
          <w:sz w:val="24"/>
        </w:rPr>
        <w:t>依法必须披露的信息发布后，基金管理人、基金托管人应当按照相关法律法规规定将信息置备于各自办公场所，供社会公众查阅、复制</w:t>
      </w:r>
      <w:r>
        <w:rPr>
          <w:bCs/>
          <w:sz w:val="24"/>
        </w:rPr>
        <w:t>。</w:t>
      </w:r>
      <w:bookmarkEnd w:id="105"/>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2" w:name="_Toc18298"/>
      <w:bookmarkStart w:id="113" w:name="_Toc497"/>
      <w:bookmarkStart w:id="114" w:name="_Toc48122017"/>
      <w:bookmarkStart w:id="115" w:name="_Toc5413"/>
      <w:r>
        <w:rPr>
          <w:rFonts w:hint="eastAsia" w:ascii="宋体" w:hAnsi="宋体"/>
          <w:b/>
          <w:kern w:val="0"/>
          <w:sz w:val="30"/>
        </w:rPr>
        <w:t>十</w:t>
      </w:r>
      <w:r>
        <w:rPr>
          <w:rFonts w:hint="eastAsia" w:ascii="宋体" w:hAnsi="宋体"/>
          <w:b/>
          <w:kern w:val="0"/>
          <w:sz w:val="30"/>
          <w:lang w:val="en-US" w:eastAsia="zh-CN"/>
        </w:rPr>
        <w:t>五</w:t>
      </w:r>
      <w:r>
        <w:rPr>
          <w:rFonts w:hint="eastAsia" w:ascii="宋体" w:hAnsi="宋体"/>
          <w:b/>
          <w:kern w:val="0"/>
          <w:sz w:val="30"/>
        </w:rPr>
        <w:t>、侧袋机制</w:t>
      </w:r>
      <w:bookmarkEnd w:id="112"/>
      <w:bookmarkEnd w:id="113"/>
      <w:bookmarkEnd w:id="114"/>
      <w:bookmarkEnd w:id="115"/>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（一）侧袋机制的实施条件</w:t>
      </w:r>
    </w:p>
    <w:p>
      <w:pPr>
        <w:adjustRightInd w:val="0"/>
        <w:snapToGrid w:val="0"/>
        <w:spacing w:line="360" w:lineRule="auto"/>
        <w:ind w:firstLine="480" w:firstLineChars="200"/>
        <w:rPr>
          <w:rFonts w:hAnsi="宋体"/>
          <w:bCs/>
          <w:sz w:val="24"/>
          <w:szCs w:val="24"/>
        </w:rPr>
      </w:pPr>
      <w:r>
        <w:rPr>
          <w:rFonts w:hint="eastAsia"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基金管理人应当在启用侧袋机制后及时发布临时公告，</w:t>
      </w:r>
      <w:bookmarkStart w:id="116" w:name="_Hlk45746268"/>
      <w:r>
        <w:rPr>
          <w:rFonts w:hint="eastAsia" w:hAnsi="宋体"/>
          <w:bCs/>
          <w:sz w:val="24"/>
          <w:szCs w:val="24"/>
        </w:rPr>
        <w:t>并在</w:t>
      </w:r>
      <w:bookmarkStart w:id="117" w:name="_Hlk45746204"/>
      <w:r>
        <w:rPr>
          <w:rFonts w:hint="eastAsia" w:hAnsi="宋体"/>
          <w:bCs/>
          <w:sz w:val="24"/>
          <w:szCs w:val="24"/>
        </w:rPr>
        <w:t>五个工作日内</w:t>
      </w:r>
      <w:bookmarkEnd w:id="116"/>
      <w:bookmarkEnd w:id="117"/>
      <w:r>
        <w:rPr>
          <w:rFonts w:hint="eastAsia" w:hAnsi="宋体"/>
          <w:bCs/>
          <w:sz w:val="24"/>
          <w:szCs w:val="24"/>
        </w:rPr>
        <w:t>聘请</w:t>
      </w:r>
      <w:bookmarkStart w:id="118" w:name="_Hlk45746277"/>
      <w:r>
        <w:rPr>
          <w:rFonts w:hint="eastAsia" w:hAnsi="宋体"/>
          <w:bCs/>
          <w:sz w:val="24"/>
          <w:szCs w:val="24"/>
        </w:rPr>
        <w:t>侧袋机制启用日发表意见且</w:t>
      </w:r>
      <w:bookmarkEnd w:id="118"/>
      <w:r>
        <w:rPr>
          <w:rFonts w:hint="eastAsia" w:hAnsi="宋体"/>
          <w:bCs/>
          <w:sz w:val="24"/>
          <w:szCs w:val="24"/>
        </w:rPr>
        <w:t>符合《中华人民共和国证券法》规定的会计师事务所</w:t>
      </w:r>
      <w:bookmarkStart w:id="119" w:name="_Hlk45746299"/>
      <w:r>
        <w:rPr>
          <w:rFonts w:hint="eastAsia" w:hAnsi="宋体"/>
          <w:bCs/>
          <w:sz w:val="24"/>
          <w:szCs w:val="24"/>
        </w:rPr>
        <w:t>进行审计并披露</w:t>
      </w:r>
      <w:bookmarkEnd w:id="119"/>
      <w:r>
        <w:rPr>
          <w:rFonts w:hint="eastAsia" w:hAnsi="宋体"/>
          <w:bCs/>
          <w:sz w:val="24"/>
          <w:szCs w:val="24"/>
        </w:rPr>
        <w:t>专项审计意见。</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（二）实施侧袋机制期间基金份额的申购与赎回</w:t>
      </w:r>
    </w:p>
    <w:p>
      <w:pPr>
        <w:adjustRightInd w:val="0"/>
        <w:snapToGrid w:val="0"/>
        <w:spacing w:line="360" w:lineRule="auto"/>
        <w:ind w:firstLine="480" w:firstLineChars="200"/>
        <w:rPr>
          <w:rFonts w:hAnsi="宋体"/>
          <w:bCs/>
          <w:sz w:val="24"/>
          <w:szCs w:val="24"/>
        </w:rPr>
      </w:pPr>
      <w:r>
        <w:rPr>
          <w:rFonts w:hint="eastAsia" w:hAnsi="宋体"/>
          <w:bCs/>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pPr>
        <w:adjustRightInd w:val="0"/>
        <w:snapToGrid w:val="0"/>
        <w:spacing w:line="360" w:lineRule="auto"/>
        <w:ind w:firstLine="480" w:firstLineChars="200"/>
        <w:rPr>
          <w:rFonts w:hAnsi="宋体"/>
          <w:bCs/>
          <w:sz w:val="24"/>
          <w:szCs w:val="24"/>
        </w:rPr>
      </w:pPr>
      <w:r>
        <w:rPr>
          <w:rFonts w:hAnsi="宋体"/>
          <w:bCs/>
          <w:sz w:val="24"/>
          <w:szCs w:val="24"/>
        </w:rPr>
        <w:t>3</w:t>
      </w:r>
      <w:r>
        <w:rPr>
          <w:rFonts w:hint="eastAsia" w:hAnsi="宋体"/>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int="eastAsia" w:hAnsi="宋体"/>
          <w:bCs/>
          <w:sz w:val="24"/>
          <w:szCs w:val="24"/>
        </w:rPr>
        <w:t>%认定。</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（三）实施侧袋机制期间的基金投资</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侧袋机制实施期间，招募说明书“基金的投资”部分约定的</w:t>
      </w:r>
      <w:r>
        <w:rPr>
          <w:rFonts w:hAnsi="宋体"/>
          <w:bCs/>
          <w:sz w:val="24"/>
          <w:szCs w:val="24"/>
        </w:rPr>
        <w:t>投资组合比例</w:t>
      </w:r>
      <w:r>
        <w:rPr>
          <w:rFonts w:hint="eastAsia" w:hAnsi="宋体"/>
          <w:bCs/>
          <w:sz w:val="24"/>
          <w:szCs w:val="24"/>
        </w:rPr>
        <w:t>、投资策略、</w:t>
      </w:r>
      <w:r>
        <w:rPr>
          <w:rFonts w:hAnsi="宋体"/>
          <w:bCs/>
          <w:sz w:val="24"/>
          <w:szCs w:val="24"/>
        </w:rPr>
        <w:t>组合限制</w:t>
      </w:r>
      <w:r>
        <w:rPr>
          <w:rFonts w:hint="eastAsia" w:hAnsi="宋体"/>
          <w:bCs/>
          <w:sz w:val="24"/>
          <w:szCs w:val="24"/>
        </w:rPr>
        <w:t>、业绩比较基准、风险收益特征等约定仅适用于主袋账户。基金管理人计算各项投资运作指标和基金业绩指标时仅需考虑主袋账户资产。</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基金管理人原则上应当在侧袋</w:t>
      </w:r>
      <w:r>
        <w:rPr>
          <w:rFonts w:hAnsi="宋体"/>
          <w:bCs/>
          <w:sz w:val="24"/>
          <w:szCs w:val="24"/>
        </w:rPr>
        <w:t>机制启用后20个交易日内完成对主袋账户投资组合的调整，</w:t>
      </w:r>
      <w:r>
        <w:rPr>
          <w:rFonts w:hint="eastAsia" w:hAnsi="宋体"/>
          <w:bCs/>
          <w:sz w:val="24"/>
          <w:szCs w:val="24"/>
        </w:rPr>
        <w:t>因资产流动性受限等中国证监会规定的情形除外。</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基金管理人不得在侧袋账户中进行除特定资产处置变现以外的其他投资操作。</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（四）实施侧袋机制期间的基金估值</w:t>
      </w:r>
    </w:p>
    <w:p>
      <w:pPr>
        <w:adjustRightInd w:val="0"/>
        <w:snapToGrid w:val="0"/>
        <w:spacing w:line="360" w:lineRule="auto"/>
        <w:ind w:firstLine="480" w:firstLineChars="200"/>
        <w:rPr>
          <w:rFonts w:hAnsi="宋体"/>
          <w:bCs/>
          <w:sz w:val="24"/>
          <w:szCs w:val="24"/>
        </w:rPr>
      </w:pPr>
      <w:r>
        <w:rPr>
          <w:rFonts w:hint="eastAsia" w:hAnsi="宋体"/>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（五）实施侧袋账户期间的基金费用</w:t>
      </w:r>
    </w:p>
    <w:p>
      <w:pPr>
        <w:adjustRightInd w:val="0"/>
        <w:snapToGrid w:val="0"/>
        <w:spacing w:line="360" w:lineRule="auto"/>
        <w:ind w:firstLine="480" w:firstLineChars="200"/>
        <w:rPr>
          <w:rFonts w:hAnsi="宋体"/>
          <w:bCs/>
          <w:sz w:val="24"/>
          <w:szCs w:val="24"/>
        </w:rPr>
      </w:pPr>
      <w:r>
        <w:rPr>
          <w:rFonts w:hint="eastAsia" w:hAnsi="宋体"/>
          <w:bCs/>
          <w:sz w:val="24"/>
          <w:szCs w:val="24"/>
        </w:rPr>
        <w:t>1、本基金实施侧袋机制的，管理费、托管费等按主袋账户基金资产净值作为基数计提。</w:t>
      </w:r>
    </w:p>
    <w:p>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、与侧袋账户有关的费用可从侧袋账户中列支，但应待侧袋账户资产变现后方可列支，有关费用可酌情收取或减免，但不得收取管理费。</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（六）侧袋账户中特定资产的处置变现和支付</w:t>
      </w:r>
    </w:p>
    <w:p>
      <w:pPr>
        <w:adjustRightInd w:val="0"/>
        <w:snapToGrid w:val="0"/>
        <w:spacing w:line="360" w:lineRule="auto"/>
        <w:ind w:firstLine="480" w:firstLineChars="200"/>
        <w:rPr>
          <w:rFonts w:hAnsi="宋体"/>
          <w:bCs/>
          <w:sz w:val="24"/>
          <w:szCs w:val="24"/>
        </w:rPr>
      </w:pPr>
      <w:r>
        <w:rPr>
          <w:rFonts w:hint="eastAsia" w:hAnsi="宋体"/>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djustRightInd w:val="0"/>
        <w:snapToGrid w:val="0"/>
        <w:spacing w:line="360" w:lineRule="auto"/>
        <w:ind w:firstLine="480" w:firstLineChars="200"/>
        <w:rPr>
          <w:rFonts w:hAnsi="宋体"/>
          <w:bCs/>
          <w:sz w:val="24"/>
          <w:szCs w:val="24"/>
        </w:rPr>
      </w:pPr>
      <w:r>
        <w:rPr>
          <w:rFonts w:hint="eastAsia" w:hAnsi="宋体"/>
          <w:bCs/>
          <w:sz w:val="24"/>
          <w:szCs w:val="24"/>
        </w:rPr>
        <w:t>侧袋账户资产全部完成变现并终止侧袋机制后，基金管理人应及时聘请符合《中华人民共和国证券法》规定的会计师事务所进行审计并披露专项审计意见。</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（七）侧袋机制的信息披露</w:t>
      </w:r>
    </w:p>
    <w:p>
      <w:pPr>
        <w:adjustRightInd w:val="0"/>
        <w:snapToGrid w:val="0"/>
        <w:spacing w:line="360" w:lineRule="auto"/>
        <w:ind w:firstLine="480" w:firstLineChars="200"/>
        <w:rPr>
          <w:rFonts w:hAnsi="宋体"/>
          <w:bCs/>
          <w:sz w:val="24"/>
          <w:szCs w:val="24"/>
        </w:rPr>
      </w:pPr>
      <w:r>
        <w:rPr>
          <w:rFonts w:hint="eastAsia" w:hAnsi="宋体"/>
          <w:bCs/>
          <w:sz w:val="24"/>
          <w:szCs w:val="24"/>
        </w:rPr>
        <w:t>1、临时公告</w:t>
      </w:r>
    </w:p>
    <w:p>
      <w:pPr>
        <w:adjustRightInd w:val="0"/>
        <w:snapToGrid w:val="0"/>
        <w:spacing w:line="360" w:lineRule="auto"/>
        <w:ind w:firstLine="480" w:firstLineChars="200"/>
        <w:rPr>
          <w:rFonts w:hAnsi="宋体"/>
          <w:bCs/>
          <w:sz w:val="24"/>
          <w:szCs w:val="24"/>
        </w:rPr>
      </w:pPr>
      <w:r>
        <w:rPr>
          <w:rFonts w:hint="eastAsia" w:hAnsi="宋体"/>
          <w:bCs/>
          <w:sz w:val="24"/>
          <w:szCs w:val="24"/>
        </w:rPr>
        <w:t>在启用侧袋机制、处置特定资产、终止侧袋机制以及发生其他可能对投资者利益产生重大影响的事项后基金管理人应及时发布临时公告。</w:t>
      </w:r>
    </w:p>
    <w:p>
      <w:pPr>
        <w:adjustRightInd w:val="0"/>
        <w:snapToGrid w:val="0"/>
        <w:spacing w:line="360" w:lineRule="auto"/>
        <w:ind w:firstLine="480" w:firstLineChars="200"/>
        <w:rPr>
          <w:rFonts w:hAnsi="宋体"/>
          <w:bCs/>
          <w:sz w:val="24"/>
          <w:szCs w:val="24"/>
        </w:rPr>
      </w:pPr>
      <w:r>
        <w:rPr>
          <w:rFonts w:hint="eastAsia" w:hAnsi="宋体"/>
          <w:bCs/>
          <w:sz w:val="24"/>
          <w:szCs w:val="24"/>
        </w:rPr>
        <w:t>2、基金净值信息</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pPr>
        <w:adjustRightInd w:val="0"/>
        <w:snapToGrid w:val="0"/>
        <w:spacing w:line="360" w:lineRule="auto"/>
        <w:ind w:firstLine="480" w:firstLineChars="200"/>
        <w:rPr>
          <w:rFonts w:hAnsi="宋体"/>
          <w:bCs/>
          <w:sz w:val="24"/>
          <w:szCs w:val="24"/>
        </w:rPr>
      </w:pPr>
      <w:r>
        <w:rPr>
          <w:rFonts w:hint="eastAsia" w:hAnsi="宋体"/>
          <w:bCs/>
          <w:sz w:val="24"/>
          <w:szCs w:val="24"/>
        </w:rPr>
        <w:t>3、定期报告</w:t>
      </w:r>
    </w:p>
    <w:p>
      <w:pPr>
        <w:widowControl/>
        <w:adjustRightInd w:val="0"/>
        <w:snapToGrid w:val="0"/>
        <w:spacing w:before="0" w:beforeLines="-2147483648" w:after="0" w:afterLines="-2147483648" w:line="360" w:lineRule="auto"/>
        <w:ind w:firstLine="480" w:firstLineChars="200"/>
        <w:jc w:val="left"/>
        <w:outlineLvl w:val="9"/>
        <w:rPr>
          <w:rFonts w:ascii="宋体" w:hAnsi="宋体"/>
          <w:b/>
          <w:kern w:val="0"/>
          <w:sz w:val="30"/>
        </w:rPr>
      </w:pPr>
      <w:r>
        <w:rPr>
          <w:rFonts w:hint="eastAsia" w:hAnsi="宋体"/>
          <w:bCs/>
          <w:sz w:val="24"/>
          <w:szCs w:val="24"/>
        </w:rPr>
        <w:t>侧袋机制实施期间，基金管理人应当在基金定期报告中披露报告期内侧袋账户相关信息，基金定期报告中的基金会计报表仅需针对主袋账户进行编制。</w:t>
      </w:r>
      <w:bookmarkStart w:id="120" w:name="_Hlk45747214"/>
      <w:r>
        <w:rPr>
          <w:rFonts w:hint="eastAsia" w:hAnsi="宋体"/>
          <w:bCs/>
          <w:sz w:val="24"/>
          <w:szCs w:val="24"/>
        </w:rPr>
        <w:t>会计师事务所对基金年度报告进行审计时，应对报告期内基金侧袋机制运行相关的会计核算和年度报告披露等发表审计意见。</w:t>
      </w:r>
      <w:bookmarkEnd w:id="120"/>
    </w:p>
    <w:p>
      <w:pPr>
        <w:widowControl/>
        <w:adjustRightInd w:val="0"/>
        <w:snapToGrid w:val="0"/>
        <w:spacing w:before="143" w:beforeLines="50" w:after="143" w:afterLines="50" w:line="360" w:lineRule="auto"/>
        <w:jc w:val="center"/>
        <w:outlineLvl w:val="0"/>
        <w:rPr>
          <w:b/>
          <w:kern w:val="0"/>
          <w:sz w:val="30"/>
        </w:rPr>
      </w:pPr>
      <w:bookmarkStart w:id="121" w:name="OLE_LINK15"/>
      <w:r>
        <w:rPr>
          <w:rFonts w:hAnsi="宋体"/>
          <w:b/>
          <w:kern w:val="0"/>
          <w:sz w:val="30"/>
        </w:rPr>
        <w:br w:type="page"/>
      </w:r>
      <w:bookmarkStart w:id="122" w:name="_Toc21586"/>
      <w:bookmarkStart w:id="123" w:name="_Toc26805"/>
      <w:bookmarkStart w:id="124" w:name="_Toc32606"/>
      <w:bookmarkStart w:id="125" w:name="_Toc48122019"/>
      <w:r>
        <w:rPr>
          <w:rFonts w:hint="eastAsia" w:hAnsi="宋体"/>
          <w:b/>
          <w:kern w:val="0"/>
          <w:sz w:val="30"/>
        </w:rPr>
        <w:t>十</w:t>
      </w:r>
      <w:r>
        <w:rPr>
          <w:rFonts w:hint="eastAsia" w:hAnsi="宋体"/>
          <w:b/>
          <w:kern w:val="0"/>
          <w:sz w:val="30"/>
          <w:lang w:val="en-US" w:eastAsia="zh-CN"/>
        </w:rPr>
        <w:t>六</w:t>
      </w:r>
      <w:r>
        <w:rPr>
          <w:rFonts w:hAnsi="宋体"/>
          <w:b/>
          <w:kern w:val="0"/>
          <w:sz w:val="30"/>
        </w:rPr>
        <w:t>、基金合同的变更、终止与基金财</w:t>
      </w:r>
      <w:bookmarkEnd w:id="121"/>
      <w:r>
        <w:rPr>
          <w:rFonts w:hAnsi="宋体"/>
          <w:b/>
          <w:kern w:val="0"/>
          <w:sz w:val="30"/>
        </w:rPr>
        <w:t>产的清算</w:t>
      </w:r>
      <w:bookmarkEnd w:id="122"/>
      <w:bookmarkEnd w:id="123"/>
      <w:bookmarkEnd w:id="124"/>
      <w:bookmarkEnd w:id="125"/>
    </w:p>
    <w:p>
      <w:pPr>
        <w:adjustRightInd w:val="0"/>
        <w:snapToGrid w:val="0"/>
        <w:spacing w:line="360" w:lineRule="auto"/>
        <w:ind w:firstLine="482"/>
        <w:outlineLvl w:val="1"/>
        <w:rPr>
          <w:b/>
          <w:bCs/>
          <w:sz w:val="24"/>
        </w:rPr>
      </w:pPr>
      <w:r>
        <w:rPr>
          <w:b/>
          <w:bCs/>
          <w:sz w:val="24"/>
        </w:rPr>
        <w:t>（一）《基金合同》的变更</w:t>
      </w:r>
    </w:p>
    <w:p>
      <w:pPr>
        <w:adjustRightInd w:val="0"/>
        <w:snapToGrid w:val="0"/>
        <w:spacing w:line="360" w:lineRule="auto"/>
        <w:ind w:firstLine="480" w:firstLineChars="200"/>
        <w:rPr>
          <w:rFonts w:hAnsi="宋体"/>
          <w:kern w:val="0"/>
          <w:sz w:val="24"/>
        </w:rPr>
      </w:pPr>
      <w:r>
        <w:rPr>
          <w:rFonts w:hint="eastAsia" w:hAnsi="宋体"/>
          <w:kern w:val="0"/>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djustRightInd w:val="0"/>
        <w:snapToGrid w:val="0"/>
        <w:spacing w:line="360" w:lineRule="auto"/>
        <w:ind w:firstLine="480" w:firstLineChars="200"/>
        <w:rPr>
          <w:rFonts w:hAnsi="宋体"/>
          <w:kern w:val="0"/>
          <w:sz w:val="24"/>
        </w:rPr>
      </w:pPr>
      <w:r>
        <w:rPr>
          <w:rFonts w:hint="eastAsia" w:hAnsi="宋体"/>
          <w:kern w:val="0"/>
          <w:sz w:val="24"/>
        </w:rPr>
        <w:t>2、关于《基金合同》变更的基金份额持有人大会决议自生效后方可执行，</w:t>
      </w:r>
      <w:r>
        <w:rPr>
          <w:rFonts w:hAnsi="宋体"/>
          <w:bCs/>
          <w:kern w:val="0"/>
          <w:sz w:val="24"/>
        </w:rPr>
        <w:t>自</w:t>
      </w:r>
      <w:r>
        <w:rPr>
          <w:rFonts w:hint="eastAsia" w:hAnsi="宋体"/>
          <w:bCs/>
          <w:kern w:val="0"/>
          <w:sz w:val="24"/>
        </w:rPr>
        <w:t>决议</w:t>
      </w:r>
      <w:r>
        <w:rPr>
          <w:rFonts w:hint="eastAsia" w:hAnsi="宋体"/>
          <w:kern w:val="0"/>
          <w:sz w:val="24"/>
        </w:rPr>
        <w:t>生效后依照《信息披露办法》的规定在规定媒介公告。</w:t>
      </w:r>
    </w:p>
    <w:p>
      <w:pPr>
        <w:adjustRightInd w:val="0"/>
        <w:snapToGrid w:val="0"/>
        <w:spacing w:line="360" w:lineRule="auto"/>
        <w:ind w:firstLine="482"/>
        <w:outlineLvl w:val="1"/>
        <w:rPr>
          <w:b/>
          <w:bCs/>
          <w:sz w:val="24"/>
        </w:rPr>
      </w:pPr>
      <w:r>
        <w:rPr>
          <w:b/>
          <w:bCs/>
          <w:sz w:val="24"/>
        </w:rPr>
        <w:t>（二）《基金合同》的终止事由</w:t>
      </w:r>
    </w:p>
    <w:p>
      <w:pPr>
        <w:adjustRightInd w:val="0"/>
        <w:snapToGrid w:val="0"/>
        <w:spacing w:line="360" w:lineRule="auto"/>
        <w:ind w:firstLine="480" w:firstLineChars="200"/>
        <w:rPr>
          <w:rFonts w:hAnsi="宋体"/>
          <w:kern w:val="0"/>
          <w:sz w:val="24"/>
        </w:rPr>
      </w:pPr>
      <w:r>
        <w:rPr>
          <w:rFonts w:hint="eastAsia" w:hAnsi="宋体"/>
          <w:kern w:val="0"/>
          <w:sz w:val="24"/>
        </w:rPr>
        <w:t>有下列情形之一的，</w:t>
      </w:r>
      <w:r>
        <w:rPr>
          <w:rFonts w:hint="eastAsia"/>
          <w:bCs/>
          <w:sz w:val="24"/>
        </w:rPr>
        <w:t>经履行相关程序后，</w:t>
      </w:r>
      <w:r>
        <w:rPr>
          <w:rFonts w:hint="eastAsia" w:hAnsi="宋体"/>
          <w:kern w:val="0"/>
          <w:sz w:val="24"/>
        </w:rPr>
        <w:t>《基金合同》应当终止：</w:t>
      </w:r>
    </w:p>
    <w:p>
      <w:pPr>
        <w:adjustRightInd w:val="0"/>
        <w:snapToGrid w:val="0"/>
        <w:spacing w:line="360" w:lineRule="auto"/>
        <w:ind w:firstLine="480" w:firstLineChars="200"/>
        <w:rPr>
          <w:rFonts w:hAnsi="宋体"/>
          <w:kern w:val="0"/>
          <w:sz w:val="24"/>
        </w:rPr>
      </w:pPr>
      <w:r>
        <w:rPr>
          <w:rFonts w:hint="eastAsia" w:hAnsi="宋体"/>
          <w:kern w:val="0"/>
          <w:sz w:val="24"/>
        </w:rPr>
        <w:t>1、基金份额持有人大会决定终止的；</w:t>
      </w:r>
    </w:p>
    <w:p>
      <w:pPr>
        <w:adjustRightInd w:val="0"/>
        <w:snapToGrid w:val="0"/>
        <w:spacing w:line="360" w:lineRule="auto"/>
        <w:ind w:firstLine="480" w:firstLineChars="200"/>
        <w:rPr>
          <w:rFonts w:hAnsi="宋体"/>
          <w:kern w:val="0"/>
          <w:sz w:val="24"/>
        </w:rPr>
      </w:pPr>
      <w:r>
        <w:rPr>
          <w:rFonts w:hint="eastAsia" w:hAnsi="宋体"/>
          <w:kern w:val="0"/>
          <w:sz w:val="24"/>
        </w:rPr>
        <w:t>2、基金管理人、基金托管人职责终止，在6个月内没有新基金管理人、新基金托管人承接的；</w:t>
      </w:r>
    </w:p>
    <w:p>
      <w:pPr>
        <w:adjustRightInd w:val="0"/>
        <w:snapToGrid w:val="0"/>
        <w:spacing w:line="360" w:lineRule="auto"/>
        <w:ind w:firstLine="480" w:firstLineChars="200"/>
        <w:rPr>
          <w:rFonts w:hAnsi="宋体"/>
          <w:kern w:val="0"/>
          <w:sz w:val="24"/>
        </w:rPr>
      </w:pPr>
      <w:r>
        <w:rPr>
          <w:rFonts w:hint="eastAsia" w:hAnsi="宋体"/>
          <w:kern w:val="0"/>
          <w:sz w:val="24"/>
        </w:rPr>
        <w:t>3、《基金合同》约定的其他情形；</w:t>
      </w:r>
    </w:p>
    <w:p>
      <w:pPr>
        <w:adjustRightInd w:val="0"/>
        <w:snapToGrid w:val="0"/>
        <w:spacing w:line="360" w:lineRule="auto"/>
        <w:ind w:firstLine="480" w:firstLineChars="200"/>
        <w:rPr>
          <w:rFonts w:hAnsi="宋体"/>
          <w:kern w:val="0"/>
          <w:sz w:val="24"/>
        </w:rPr>
      </w:pPr>
      <w:r>
        <w:rPr>
          <w:rFonts w:hint="eastAsia" w:hAnsi="宋体"/>
          <w:kern w:val="0"/>
          <w:sz w:val="24"/>
        </w:rPr>
        <w:t>4、相关法律法规和中国证监会规定的其他情况。</w:t>
      </w:r>
    </w:p>
    <w:p>
      <w:pPr>
        <w:adjustRightInd w:val="0"/>
        <w:snapToGrid w:val="0"/>
        <w:spacing w:line="360" w:lineRule="auto"/>
        <w:ind w:firstLine="482"/>
        <w:outlineLvl w:val="1"/>
        <w:rPr>
          <w:b/>
          <w:bCs/>
          <w:sz w:val="24"/>
        </w:rPr>
      </w:pPr>
      <w:r>
        <w:rPr>
          <w:b/>
          <w:bCs/>
          <w:sz w:val="24"/>
        </w:rPr>
        <w:t>（三）基金财产的清算</w:t>
      </w:r>
    </w:p>
    <w:p>
      <w:pPr>
        <w:adjustRightInd w:val="0"/>
        <w:snapToGrid w:val="0"/>
        <w:spacing w:line="360" w:lineRule="auto"/>
        <w:ind w:firstLine="480" w:firstLineChars="200"/>
        <w:rPr>
          <w:rFonts w:hAnsi="宋体"/>
          <w:kern w:val="0"/>
          <w:sz w:val="24"/>
        </w:rPr>
      </w:pPr>
      <w:r>
        <w:rPr>
          <w:rFonts w:hint="eastAsia" w:hAnsi="宋体"/>
          <w:kern w:val="0"/>
          <w:sz w:val="24"/>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rFonts w:hAnsi="宋体"/>
          <w:kern w:val="0"/>
          <w:sz w:val="24"/>
        </w:rPr>
      </w:pPr>
      <w:r>
        <w:rPr>
          <w:rFonts w:hint="eastAsia" w:hAnsi="宋体"/>
          <w:kern w:val="0"/>
          <w:sz w:val="24"/>
        </w:rPr>
        <w:t>2、基金财产清算小组组成：基金财产清算小组成员由基金管理人、基金托管人、</w:t>
      </w:r>
      <w:r>
        <w:rPr>
          <w:bCs/>
          <w:sz w:val="24"/>
        </w:rPr>
        <w:t>符合</w:t>
      </w:r>
      <w:r>
        <w:rPr>
          <w:rFonts w:hint="eastAsia"/>
          <w:bCs/>
          <w:sz w:val="24"/>
        </w:rPr>
        <w:t>《中华人民共和国证券法》规定</w:t>
      </w:r>
      <w:r>
        <w:rPr>
          <w:rFonts w:hint="eastAsia" w:hAnsi="宋体"/>
          <w:kern w:val="0"/>
          <w:sz w:val="24"/>
        </w:rPr>
        <w:t>的注册会计师、律师以及中国证监会指定的人员组成。基金财产清算小组可以聘用必要的工作人员。</w:t>
      </w:r>
    </w:p>
    <w:p>
      <w:pPr>
        <w:adjustRightInd w:val="0"/>
        <w:snapToGrid w:val="0"/>
        <w:spacing w:line="360" w:lineRule="auto"/>
        <w:ind w:firstLine="480" w:firstLineChars="200"/>
        <w:rPr>
          <w:rFonts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rFonts w:hAnsi="宋体"/>
          <w:kern w:val="0"/>
          <w:sz w:val="24"/>
        </w:rPr>
      </w:pPr>
      <w:r>
        <w:rPr>
          <w:rFonts w:hint="eastAsia" w:hAnsi="宋体"/>
          <w:kern w:val="0"/>
          <w:sz w:val="24"/>
        </w:rPr>
        <w:t>4、基金财产清算程序：</w:t>
      </w:r>
    </w:p>
    <w:p>
      <w:pPr>
        <w:adjustRightInd w:val="0"/>
        <w:snapToGrid w:val="0"/>
        <w:spacing w:line="360" w:lineRule="auto"/>
        <w:ind w:firstLine="480" w:firstLineChars="200"/>
        <w:rPr>
          <w:rFonts w:hAnsi="宋体"/>
          <w:kern w:val="0"/>
          <w:sz w:val="24"/>
        </w:rPr>
      </w:pPr>
      <w:r>
        <w:rPr>
          <w:rFonts w:hint="eastAsia" w:hAnsi="宋体"/>
          <w:kern w:val="0"/>
          <w:sz w:val="24"/>
        </w:rPr>
        <w:t>（1）《基金合同》终止情形出现时，由基金财产清算小组统一接管基金财产；</w:t>
      </w:r>
    </w:p>
    <w:p>
      <w:pPr>
        <w:adjustRightInd w:val="0"/>
        <w:snapToGrid w:val="0"/>
        <w:spacing w:line="360" w:lineRule="auto"/>
        <w:ind w:firstLine="480" w:firstLineChars="200"/>
        <w:rPr>
          <w:rFonts w:hAnsi="宋体"/>
          <w:kern w:val="0"/>
          <w:sz w:val="24"/>
        </w:rPr>
      </w:pPr>
      <w:r>
        <w:rPr>
          <w:rFonts w:hint="eastAsia" w:hAnsi="宋体"/>
          <w:kern w:val="0"/>
          <w:sz w:val="24"/>
        </w:rPr>
        <w:t>（2）对基金财产和债权债务进行清理和确认；</w:t>
      </w:r>
    </w:p>
    <w:p>
      <w:pPr>
        <w:adjustRightInd w:val="0"/>
        <w:snapToGrid w:val="0"/>
        <w:spacing w:line="360" w:lineRule="auto"/>
        <w:ind w:firstLine="480" w:firstLineChars="200"/>
        <w:rPr>
          <w:rFonts w:hAnsi="宋体"/>
          <w:kern w:val="0"/>
          <w:sz w:val="24"/>
        </w:rPr>
      </w:pPr>
      <w:r>
        <w:rPr>
          <w:rFonts w:hint="eastAsia" w:hAnsi="宋体"/>
          <w:kern w:val="0"/>
          <w:sz w:val="24"/>
        </w:rPr>
        <w:t>（3）对基金财产进行估值和变现；</w:t>
      </w:r>
    </w:p>
    <w:p>
      <w:pPr>
        <w:adjustRightInd w:val="0"/>
        <w:snapToGrid w:val="0"/>
        <w:spacing w:line="360" w:lineRule="auto"/>
        <w:ind w:firstLine="480" w:firstLineChars="200"/>
        <w:rPr>
          <w:rFonts w:hAnsi="宋体"/>
          <w:kern w:val="0"/>
          <w:sz w:val="24"/>
        </w:rPr>
      </w:pPr>
      <w:r>
        <w:rPr>
          <w:rFonts w:hint="eastAsia" w:hAnsi="宋体"/>
          <w:kern w:val="0"/>
          <w:sz w:val="24"/>
        </w:rPr>
        <w:t>（4）制作清算报告；</w:t>
      </w:r>
    </w:p>
    <w:p>
      <w:pPr>
        <w:adjustRightInd w:val="0"/>
        <w:snapToGrid w:val="0"/>
        <w:spacing w:line="360" w:lineRule="auto"/>
        <w:ind w:firstLine="480" w:firstLineChars="200"/>
        <w:rPr>
          <w:rFonts w:hAnsi="宋体"/>
          <w:kern w:val="0"/>
          <w:sz w:val="24"/>
        </w:rPr>
      </w:pPr>
      <w:r>
        <w:rPr>
          <w:rFonts w:hint="eastAsia" w:hAnsi="宋体"/>
          <w:kern w:val="0"/>
          <w:sz w:val="24"/>
        </w:rPr>
        <w:t>（5）聘请符合《中华人民共和国证券法》规定的会计师事务所对清算报告进行外部审计，聘请律师事务所对清算报告出具法律意见书；</w:t>
      </w:r>
    </w:p>
    <w:p>
      <w:pPr>
        <w:adjustRightInd w:val="0"/>
        <w:snapToGrid w:val="0"/>
        <w:spacing w:line="360" w:lineRule="auto"/>
        <w:ind w:firstLine="480" w:firstLineChars="200"/>
        <w:rPr>
          <w:rFonts w:hAnsi="宋体"/>
          <w:kern w:val="0"/>
          <w:sz w:val="24"/>
        </w:rPr>
      </w:pPr>
      <w:r>
        <w:rPr>
          <w:rFonts w:hint="eastAsia" w:hAnsi="宋体"/>
          <w:kern w:val="0"/>
          <w:sz w:val="24"/>
        </w:rPr>
        <w:t>（6）将清算报告报中国证监会备案并公告；</w:t>
      </w:r>
    </w:p>
    <w:p>
      <w:pPr>
        <w:adjustRightInd w:val="0"/>
        <w:snapToGrid w:val="0"/>
        <w:spacing w:line="360" w:lineRule="auto"/>
        <w:ind w:firstLine="480" w:firstLineChars="200"/>
        <w:rPr>
          <w:rFonts w:hAnsi="宋体"/>
          <w:kern w:val="0"/>
          <w:sz w:val="24"/>
        </w:rPr>
      </w:pPr>
      <w:r>
        <w:rPr>
          <w:rFonts w:hint="eastAsia" w:hAnsi="宋体"/>
          <w:kern w:val="0"/>
          <w:sz w:val="24"/>
        </w:rPr>
        <w:t>（7）对基金剩余财产进行分配。</w:t>
      </w:r>
    </w:p>
    <w:p>
      <w:pPr>
        <w:adjustRightInd w:val="0"/>
        <w:snapToGrid w:val="0"/>
        <w:spacing w:line="360" w:lineRule="auto"/>
        <w:ind w:firstLine="480" w:firstLineChars="200"/>
        <w:rPr>
          <w:rFonts w:hAnsi="宋体"/>
          <w:kern w:val="0"/>
          <w:sz w:val="24"/>
        </w:rPr>
      </w:pPr>
      <w:r>
        <w:rPr>
          <w:rFonts w:hint="eastAsia" w:hAnsi="宋体"/>
          <w:kern w:val="0"/>
          <w:sz w:val="24"/>
        </w:rPr>
        <w:t>5、基金财产清算的期限为6个月，但因本基金所持证券的流动性受到限制而不能及时变现的，清算期限相应顺延。</w:t>
      </w:r>
    </w:p>
    <w:p>
      <w:pPr>
        <w:adjustRightInd w:val="0"/>
        <w:snapToGrid w:val="0"/>
        <w:spacing w:line="360" w:lineRule="auto"/>
        <w:ind w:firstLine="482"/>
        <w:outlineLvl w:val="1"/>
        <w:rPr>
          <w:b/>
          <w:bCs/>
          <w:sz w:val="24"/>
        </w:rPr>
      </w:pPr>
      <w:r>
        <w:rPr>
          <w:b/>
          <w:bCs/>
          <w:sz w:val="24"/>
        </w:rPr>
        <w:t>（四）清算费用</w:t>
      </w:r>
    </w:p>
    <w:p>
      <w:pPr>
        <w:adjustRightInd w:val="0"/>
        <w:snapToGrid w:val="0"/>
        <w:spacing w:line="360" w:lineRule="auto"/>
        <w:ind w:firstLine="480" w:firstLineChars="200"/>
        <w:rPr>
          <w:rFonts w:hAnsi="宋体"/>
          <w:kern w:val="0"/>
          <w:sz w:val="24"/>
        </w:rPr>
      </w:pPr>
      <w:r>
        <w:rPr>
          <w:rFonts w:hint="eastAsia" w:hAnsi="宋体"/>
          <w:kern w:val="0"/>
          <w:sz w:val="24"/>
        </w:rPr>
        <w:t>清算费用是指基金财产清算小组在进行基金财产清算过程中发生的所有合理费用，清算费用由基金财产清算小组优先从基金财产中支付。</w:t>
      </w:r>
    </w:p>
    <w:p>
      <w:pPr>
        <w:adjustRightInd w:val="0"/>
        <w:snapToGrid w:val="0"/>
        <w:spacing w:line="360" w:lineRule="auto"/>
        <w:ind w:firstLine="482"/>
        <w:outlineLvl w:val="1"/>
        <w:rPr>
          <w:b/>
          <w:bCs/>
          <w:sz w:val="24"/>
        </w:rPr>
      </w:pPr>
      <w:r>
        <w:rPr>
          <w:b/>
          <w:bCs/>
          <w:sz w:val="24"/>
        </w:rPr>
        <w:t>（五）基金财产清算剩余资产的分配</w:t>
      </w:r>
    </w:p>
    <w:p>
      <w:pPr>
        <w:adjustRightInd w:val="0"/>
        <w:snapToGrid w:val="0"/>
        <w:spacing w:line="360" w:lineRule="auto"/>
        <w:ind w:firstLine="480" w:firstLineChars="200"/>
        <w:rPr>
          <w:rFonts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依据基金财产清算的分配方案，将基金财产清算后的全部剩余资产扣除基金财产清算费用、交纳所欠税款并清偿基金债务后，按基金份额持有人持有的基金份额比例进行分配。</w:t>
      </w:r>
    </w:p>
    <w:p>
      <w:pPr>
        <w:adjustRightInd w:val="0"/>
        <w:snapToGrid w:val="0"/>
        <w:spacing w:line="360" w:lineRule="auto"/>
        <w:ind w:firstLine="480" w:firstLineChars="200"/>
        <w:rPr>
          <w:rFonts w:hAnsi="宋体"/>
          <w:kern w:val="0"/>
          <w:sz w:val="24"/>
        </w:rPr>
      </w:pPr>
      <w:r>
        <w:rPr>
          <w:rFonts w:hint="eastAsia" w:hAnsi="宋体"/>
          <w:kern w:val="0"/>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djustRightInd w:val="0"/>
        <w:snapToGrid w:val="0"/>
        <w:spacing w:line="360" w:lineRule="auto"/>
        <w:ind w:firstLine="482"/>
        <w:outlineLvl w:val="1"/>
        <w:rPr>
          <w:b/>
          <w:bCs/>
          <w:sz w:val="24"/>
        </w:rPr>
      </w:pPr>
      <w:r>
        <w:rPr>
          <w:b/>
          <w:bCs/>
          <w:sz w:val="24"/>
        </w:rPr>
        <w:t>（六）基金财产清算的公告</w:t>
      </w:r>
    </w:p>
    <w:p>
      <w:pPr>
        <w:adjustRightInd w:val="0"/>
        <w:snapToGrid w:val="0"/>
        <w:spacing w:line="360" w:lineRule="auto"/>
        <w:ind w:firstLine="480" w:firstLineChars="200"/>
        <w:rPr>
          <w:rFonts w:hAnsi="宋体"/>
          <w:kern w:val="0"/>
          <w:sz w:val="24"/>
          <w:szCs w:val="24"/>
        </w:rPr>
      </w:pPr>
      <w:r>
        <w:rPr>
          <w:rFonts w:hint="eastAsia"/>
          <w:sz w:val="24"/>
          <w:szCs w:val="24"/>
        </w:rPr>
        <w:t>清算过程中的有关重大事项须及时公告；基金财产清算报告经</w:t>
      </w:r>
      <w:r>
        <w:rPr>
          <w:rFonts w:hint="eastAsia"/>
          <w:bCs/>
          <w:sz w:val="24"/>
        </w:rPr>
        <w:t>符合《中华人民共和国证券法》规定的</w:t>
      </w:r>
      <w:r>
        <w:rPr>
          <w:rFonts w:hint="eastAsia"/>
          <w:sz w:val="24"/>
          <w:szCs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rFonts w:hint="eastAsia"/>
          <w:sz w:val="24"/>
          <w:szCs w:val="24"/>
        </w:rPr>
        <w:t>。</w:t>
      </w:r>
    </w:p>
    <w:p>
      <w:pPr>
        <w:adjustRightInd w:val="0"/>
        <w:snapToGrid w:val="0"/>
        <w:spacing w:line="360" w:lineRule="auto"/>
        <w:ind w:firstLine="482"/>
        <w:outlineLvl w:val="1"/>
        <w:rPr>
          <w:b/>
          <w:bCs/>
          <w:sz w:val="24"/>
        </w:rPr>
      </w:pPr>
      <w:r>
        <w:rPr>
          <w:b/>
          <w:bCs/>
          <w:sz w:val="24"/>
        </w:rPr>
        <w:t>（七）基金财产清算账册及文件的保存</w:t>
      </w:r>
    </w:p>
    <w:p>
      <w:pPr>
        <w:adjustRightInd w:val="0"/>
        <w:snapToGrid w:val="0"/>
        <w:spacing w:line="360" w:lineRule="auto"/>
        <w:ind w:firstLine="480" w:firstLineChars="200"/>
        <w:rPr>
          <w:rFonts w:hint="eastAsia" w:hAnsi="宋体"/>
          <w:kern w:val="0"/>
          <w:sz w:val="24"/>
        </w:rPr>
      </w:pPr>
      <w:r>
        <w:rPr>
          <w:rFonts w:hint="eastAsia" w:hAnsi="宋体"/>
          <w:kern w:val="0"/>
          <w:sz w:val="24"/>
        </w:rPr>
        <w:t>基金财产清算账册及有关文件由基金托管人保存</w:t>
      </w:r>
      <w:r>
        <w:rPr>
          <w:rFonts w:hint="eastAsia"/>
          <w:bCs/>
          <w:sz w:val="24"/>
        </w:rPr>
        <w:t>不低于法律法规规定的最低期限</w:t>
      </w:r>
      <w:r>
        <w:rPr>
          <w:rFonts w:hint="eastAsia" w:hAnsi="宋体"/>
          <w:kern w:val="0"/>
          <w:sz w:val="24"/>
        </w:rPr>
        <w:t>。</w:t>
      </w:r>
    </w:p>
    <w:p>
      <w:pPr>
        <w:adjustRightInd/>
        <w:snapToGrid/>
        <w:spacing w:line="240" w:lineRule="auto"/>
        <w:ind w:firstLine="0" w:firstLineChars="0"/>
        <w:rPr>
          <w:rFonts w:hint="eastAsia" w:hAnsi="宋体"/>
          <w:kern w:val="0"/>
          <w:sz w:val="24"/>
        </w:rPr>
      </w:pPr>
      <w:r>
        <w:rPr>
          <w:rFonts w:hint="eastAsia" w:hAnsi="宋体"/>
          <w:kern w:val="0"/>
          <w:sz w:val="24"/>
        </w:rPr>
        <w:br w:type="page"/>
      </w:r>
    </w:p>
    <w:p>
      <w:pPr>
        <w:widowControl/>
        <w:adjustRightInd w:val="0"/>
        <w:snapToGrid w:val="0"/>
        <w:spacing w:before="143" w:beforeLines="50" w:after="143" w:afterLines="50" w:line="360" w:lineRule="auto"/>
        <w:jc w:val="center"/>
        <w:outlineLvl w:val="0"/>
        <w:rPr>
          <w:rFonts w:hint="eastAsia" w:ascii="宋体" w:hAnsi="宋体" w:eastAsia="宋体"/>
          <w:b/>
          <w:kern w:val="0"/>
          <w:sz w:val="30"/>
          <w:lang w:eastAsia="zh-CN"/>
        </w:rPr>
      </w:pPr>
      <w:bookmarkStart w:id="126" w:name="_Toc12576"/>
      <w:bookmarkStart w:id="127" w:name="_Toc4572"/>
      <w:r>
        <w:rPr>
          <w:rFonts w:hint="eastAsia" w:ascii="宋体" w:hAnsi="宋体"/>
          <w:b/>
          <w:kern w:val="0"/>
          <w:sz w:val="30"/>
          <w:lang w:val="en-US" w:eastAsia="zh-CN"/>
        </w:rPr>
        <w:t>十七</w:t>
      </w:r>
      <w:r>
        <w:rPr>
          <w:rFonts w:hint="eastAsia" w:ascii="宋体" w:hAnsi="宋体"/>
          <w:b/>
          <w:kern w:val="0"/>
          <w:sz w:val="30"/>
        </w:rPr>
        <w:t>、基金</w:t>
      </w:r>
      <w:r>
        <w:rPr>
          <w:rFonts w:hint="eastAsia" w:ascii="宋体" w:hAnsi="宋体"/>
          <w:b/>
          <w:kern w:val="0"/>
          <w:sz w:val="30"/>
          <w:lang w:val="en-US" w:eastAsia="zh-CN"/>
        </w:rPr>
        <w:t>托管人</w:t>
      </w:r>
      <w:bookmarkEnd w:id="126"/>
      <w:bookmarkEnd w:id="127"/>
    </w:p>
    <w:p>
      <w:pPr>
        <w:adjustRightInd w:val="0"/>
        <w:snapToGrid w:val="0"/>
        <w:spacing w:line="360" w:lineRule="auto"/>
        <w:ind w:firstLine="482" w:firstLineChars="200"/>
        <w:outlineLvl w:val="1"/>
        <w:rPr>
          <w:b/>
          <w:sz w:val="24"/>
          <w:szCs w:val="24"/>
        </w:rPr>
      </w:pPr>
      <w:r>
        <w:rPr>
          <w:rFonts w:hint="eastAsia"/>
          <w:b/>
          <w:sz w:val="24"/>
          <w:szCs w:val="24"/>
        </w:rPr>
        <w:t>（</w:t>
      </w:r>
      <w:r>
        <w:rPr>
          <w:rFonts w:hAnsi="宋体"/>
          <w:b/>
          <w:sz w:val="24"/>
          <w:szCs w:val="24"/>
        </w:rPr>
        <w:t>一</w:t>
      </w:r>
      <w:r>
        <w:rPr>
          <w:rFonts w:hint="eastAsia"/>
          <w:b/>
          <w:sz w:val="24"/>
          <w:szCs w:val="24"/>
        </w:rPr>
        <w:t>）</w:t>
      </w:r>
      <w:r>
        <w:rPr>
          <w:rFonts w:hAnsi="宋体"/>
          <w:b/>
          <w:sz w:val="24"/>
          <w:szCs w:val="24"/>
        </w:rPr>
        <w:t>基金托管人情况</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1、基本情况</w:t>
      </w:r>
    </w:p>
    <w:p>
      <w:pPr>
        <w:widowControl/>
        <w:adjustRightInd w:val="0"/>
        <w:snapToGrid w:val="0"/>
        <w:spacing w:line="360" w:lineRule="auto"/>
        <w:ind w:firstLine="480" w:firstLineChars="200"/>
        <w:rPr>
          <w:kern w:val="0"/>
          <w:sz w:val="24"/>
          <w:szCs w:val="24"/>
        </w:rPr>
      </w:pPr>
      <w:r>
        <w:rPr>
          <w:rFonts w:hint="eastAsia"/>
          <w:kern w:val="0"/>
          <w:sz w:val="24"/>
          <w:szCs w:val="24"/>
        </w:rPr>
        <w:t>名称：中国农业银行股份有限公司（简称“中国农业银行”）</w:t>
      </w:r>
    </w:p>
    <w:p>
      <w:pPr>
        <w:widowControl/>
        <w:adjustRightInd w:val="0"/>
        <w:snapToGrid w:val="0"/>
        <w:spacing w:line="360" w:lineRule="auto"/>
        <w:ind w:firstLine="480" w:firstLineChars="200"/>
        <w:rPr>
          <w:kern w:val="0"/>
          <w:sz w:val="24"/>
          <w:szCs w:val="24"/>
        </w:rPr>
      </w:pPr>
      <w:r>
        <w:rPr>
          <w:rFonts w:hint="eastAsia"/>
          <w:kern w:val="0"/>
          <w:sz w:val="24"/>
          <w:szCs w:val="24"/>
        </w:rPr>
        <w:t>住所：北京市东城区建国门内大街69号</w:t>
      </w:r>
    </w:p>
    <w:p>
      <w:pPr>
        <w:widowControl/>
        <w:adjustRightInd w:val="0"/>
        <w:snapToGrid w:val="0"/>
        <w:spacing w:line="360" w:lineRule="auto"/>
        <w:ind w:firstLine="480" w:firstLineChars="200"/>
        <w:rPr>
          <w:kern w:val="0"/>
          <w:sz w:val="24"/>
          <w:szCs w:val="24"/>
        </w:rPr>
      </w:pPr>
      <w:r>
        <w:rPr>
          <w:rFonts w:hint="eastAsia"/>
          <w:kern w:val="0"/>
          <w:sz w:val="24"/>
          <w:szCs w:val="24"/>
        </w:rPr>
        <w:t>办公地址：北京市西城区复兴门内大街28号凯晨世贸中心东座九层</w:t>
      </w:r>
    </w:p>
    <w:p>
      <w:pPr>
        <w:widowControl/>
        <w:adjustRightInd w:val="0"/>
        <w:snapToGrid w:val="0"/>
        <w:spacing w:line="360" w:lineRule="auto"/>
        <w:ind w:firstLine="480" w:firstLineChars="200"/>
        <w:rPr>
          <w:kern w:val="0"/>
          <w:sz w:val="24"/>
          <w:szCs w:val="24"/>
        </w:rPr>
      </w:pPr>
      <w:r>
        <w:rPr>
          <w:rFonts w:hint="eastAsia"/>
          <w:kern w:val="0"/>
          <w:sz w:val="24"/>
          <w:szCs w:val="24"/>
        </w:rPr>
        <w:t>法定代表人：谷澍</w:t>
      </w:r>
    </w:p>
    <w:p>
      <w:pPr>
        <w:widowControl/>
        <w:adjustRightInd w:val="0"/>
        <w:snapToGrid w:val="0"/>
        <w:spacing w:line="360" w:lineRule="auto"/>
        <w:ind w:firstLine="480" w:firstLineChars="200"/>
        <w:rPr>
          <w:kern w:val="0"/>
          <w:sz w:val="24"/>
          <w:szCs w:val="24"/>
        </w:rPr>
      </w:pPr>
      <w:r>
        <w:rPr>
          <w:rFonts w:hint="eastAsia"/>
          <w:kern w:val="0"/>
          <w:sz w:val="24"/>
          <w:szCs w:val="24"/>
        </w:rPr>
        <w:t>成立日期：2009年1月15日</w:t>
      </w:r>
    </w:p>
    <w:p>
      <w:pPr>
        <w:widowControl/>
        <w:adjustRightInd w:val="0"/>
        <w:snapToGrid w:val="0"/>
        <w:spacing w:line="360" w:lineRule="auto"/>
        <w:ind w:firstLine="480" w:firstLineChars="200"/>
        <w:rPr>
          <w:kern w:val="0"/>
          <w:sz w:val="24"/>
          <w:szCs w:val="24"/>
        </w:rPr>
      </w:pPr>
      <w:r>
        <w:rPr>
          <w:rFonts w:hint="eastAsia"/>
          <w:kern w:val="0"/>
          <w:sz w:val="24"/>
          <w:szCs w:val="24"/>
        </w:rPr>
        <w:t>批准设立机关和批准设立文号：中国银监会银监复[2009]13号</w:t>
      </w:r>
    </w:p>
    <w:p>
      <w:pPr>
        <w:widowControl/>
        <w:adjustRightInd w:val="0"/>
        <w:snapToGrid w:val="0"/>
        <w:spacing w:line="360" w:lineRule="auto"/>
        <w:ind w:firstLine="480" w:firstLineChars="200"/>
        <w:rPr>
          <w:kern w:val="0"/>
          <w:sz w:val="24"/>
          <w:szCs w:val="24"/>
        </w:rPr>
      </w:pPr>
      <w:r>
        <w:rPr>
          <w:rFonts w:hint="eastAsia"/>
          <w:kern w:val="0"/>
          <w:sz w:val="24"/>
          <w:szCs w:val="24"/>
        </w:rPr>
        <w:t>基金托管资格批文及文号：中国证监会证监基字[1998]23号</w:t>
      </w:r>
    </w:p>
    <w:p>
      <w:pPr>
        <w:widowControl/>
        <w:adjustRightInd w:val="0"/>
        <w:snapToGrid w:val="0"/>
        <w:spacing w:line="360" w:lineRule="auto"/>
        <w:ind w:firstLine="480" w:firstLineChars="200"/>
        <w:rPr>
          <w:kern w:val="0"/>
          <w:sz w:val="24"/>
          <w:szCs w:val="24"/>
        </w:rPr>
      </w:pPr>
      <w:r>
        <w:rPr>
          <w:rFonts w:hint="eastAsia"/>
          <w:kern w:val="0"/>
          <w:sz w:val="24"/>
          <w:szCs w:val="24"/>
        </w:rPr>
        <w:t>注册资本：34,998,303.4万元人民币</w:t>
      </w:r>
    </w:p>
    <w:p>
      <w:pPr>
        <w:widowControl/>
        <w:adjustRightInd w:val="0"/>
        <w:snapToGrid w:val="0"/>
        <w:spacing w:line="360" w:lineRule="auto"/>
        <w:ind w:firstLine="480" w:firstLineChars="200"/>
        <w:rPr>
          <w:kern w:val="0"/>
          <w:sz w:val="24"/>
          <w:szCs w:val="24"/>
        </w:rPr>
      </w:pPr>
      <w:r>
        <w:rPr>
          <w:rFonts w:hint="eastAsia"/>
          <w:kern w:val="0"/>
          <w:sz w:val="24"/>
          <w:szCs w:val="24"/>
        </w:rPr>
        <w:t>存续期间：持续经营</w:t>
      </w:r>
    </w:p>
    <w:p>
      <w:pPr>
        <w:widowControl/>
        <w:adjustRightInd w:val="0"/>
        <w:snapToGrid w:val="0"/>
        <w:spacing w:line="360" w:lineRule="auto"/>
        <w:ind w:firstLine="480" w:firstLineChars="200"/>
        <w:rPr>
          <w:kern w:val="0"/>
          <w:sz w:val="24"/>
          <w:szCs w:val="24"/>
        </w:rPr>
      </w:pPr>
      <w:r>
        <w:rPr>
          <w:rFonts w:hint="eastAsia"/>
          <w:kern w:val="0"/>
          <w:sz w:val="24"/>
          <w:szCs w:val="24"/>
        </w:rPr>
        <w:t>联系电话：010-66060069</w:t>
      </w:r>
    </w:p>
    <w:p>
      <w:pPr>
        <w:widowControl/>
        <w:adjustRightInd w:val="0"/>
        <w:snapToGrid w:val="0"/>
        <w:spacing w:line="360" w:lineRule="auto"/>
        <w:ind w:firstLine="480" w:firstLineChars="200"/>
        <w:rPr>
          <w:kern w:val="0"/>
          <w:sz w:val="24"/>
          <w:szCs w:val="24"/>
        </w:rPr>
      </w:pPr>
      <w:r>
        <w:rPr>
          <w:rFonts w:hint="eastAsia"/>
          <w:kern w:val="0"/>
          <w:sz w:val="24"/>
          <w:szCs w:val="24"/>
        </w:rPr>
        <w:t>传真：010-68121816</w:t>
      </w:r>
    </w:p>
    <w:p>
      <w:pPr>
        <w:widowControl/>
        <w:adjustRightInd w:val="0"/>
        <w:snapToGrid w:val="0"/>
        <w:spacing w:line="360" w:lineRule="auto"/>
        <w:ind w:firstLine="480" w:firstLineChars="200"/>
        <w:rPr>
          <w:kern w:val="0"/>
          <w:sz w:val="24"/>
          <w:szCs w:val="24"/>
        </w:rPr>
      </w:pPr>
      <w:r>
        <w:rPr>
          <w:rFonts w:hint="eastAsia"/>
          <w:kern w:val="0"/>
          <w:sz w:val="24"/>
          <w:szCs w:val="24"/>
        </w:rPr>
        <w:t>联系人：任航</w:t>
      </w:r>
    </w:p>
    <w:p>
      <w:pPr>
        <w:widowControl/>
        <w:adjustRightInd w:val="0"/>
        <w:snapToGrid w:val="0"/>
        <w:spacing w:line="360" w:lineRule="auto"/>
        <w:ind w:firstLine="480" w:firstLineChars="200"/>
        <w:rPr>
          <w:kern w:val="0"/>
          <w:sz w:val="24"/>
          <w:szCs w:val="24"/>
        </w:rPr>
      </w:pPr>
      <w:r>
        <w:rPr>
          <w:rFonts w:hint="eastAsia"/>
          <w:kern w:val="0"/>
          <w:sz w:val="24"/>
          <w:szCs w:val="24"/>
        </w:rPr>
        <w:t>中国农业银行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pPr>
        <w:widowControl/>
        <w:adjustRightInd w:val="0"/>
        <w:snapToGrid w:val="0"/>
        <w:spacing w:line="360" w:lineRule="auto"/>
        <w:ind w:firstLine="480" w:firstLineChars="200"/>
        <w:rPr>
          <w:kern w:val="0"/>
          <w:sz w:val="24"/>
          <w:szCs w:val="24"/>
        </w:rPr>
      </w:pPr>
      <w:r>
        <w:rPr>
          <w:rFonts w:hint="eastAsia"/>
          <w:kern w:val="0"/>
          <w:sz w:val="24"/>
          <w:szCs w:val="24"/>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pPr>
        <w:widowControl/>
        <w:adjustRightInd w:val="0"/>
        <w:snapToGrid w:val="0"/>
        <w:spacing w:line="360" w:lineRule="auto"/>
        <w:ind w:firstLine="480" w:firstLineChars="200"/>
        <w:rPr>
          <w:bCs/>
          <w:kern w:val="0"/>
          <w:sz w:val="24"/>
          <w:szCs w:val="24"/>
        </w:rPr>
      </w:pPr>
      <w:r>
        <w:rPr>
          <w:rFonts w:hint="eastAsia"/>
          <w:kern w:val="0"/>
          <w:sz w:val="24"/>
          <w:szCs w:val="24"/>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pPr>
        <w:widowControl/>
        <w:numPr>
          <w:ilvl w:val="255"/>
          <w:numId w:val="0"/>
        </w:numPr>
        <w:adjustRightInd w:val="0"/>
        <w:snapToGrid w:val="0"/>
        <w:spacing w:line="360" w:lineRule="auto"/>
        <w:ind w:firstLine="480" w:firstLineChars="200"/>
        <w:rPr>
          <w:kern w:val="0"/>
          <w:sz w:val="24"/>
          <w:szCs w:val="24"/>
        </w:rPr>
      </w:pPr>
      <w:r>
        <w:rPr>
          <w:rFonts w:hint="eastAsia"/>
          <w:kern w:val="0"/>
          <w:sz w:val="24"/>
          <w:szCs w:val="24"/>
        </w:rPr>
        <w:t>2、主要人员情况</w:t>
      </w:r>
    </w:p>
    <w:p>
      <w:pPr>
        <w:widowControl/>
        <w:adjustRightInd w:val="0"/>
        <w:snapToGrid w:val="0"/>
        <w:spacing w:line="360" w:lineRule="auto"/>
        <w:ind w:firstLine="480" w:firstLineChars="200"/>
        <w:rPr>
          <w:kern w:val="0"/>
          <w:sz w:val="24"/>
          <w:szCs w:val="24"/>
        </w:rPr>
      </w:pPr>
      <w:r>
        <w:rPr>
          <w:rFonts w:hint="eastAsia"/>
          <w:kern w:val="0"/>
          <w:sz w:val="24"/>
          <w:szCs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pPr>
        <w:widowControl/>
        <w:adjustRightInd w:val="0"/>
        <w:snapToGrid w:val="0"/>
        <w:spacing w:line="360" w:lineRule="auto"/>
        <w:ind w:firstLine="480" w:firstLineChars="200"/>
        <w:rPr>
          <w:kern w:val="0"/>
          <w:sz w:val="24"/>
          <w:szCs w:val="24"/>
        </w:rPr>
      </w:pPr>
      <w:r>
        <w:rPr>
          <w:rFonts w:hint="eastAsia"/>
          <w:kern w:val="0"/>
          <w:sz w:val="24"/>
          <w:szCs w:val="24"/>
        </w:rPr>
        <w:t>3、基金托管业务经营情况</w:t>
      </w:r>
    </w:p>
    <w:p>
      <w:pPr>
        <w:widowControl/>
        <w:adjustRightInd w:val="0"/>
        <w:snapToGrid w:val="0"/>
        <w:spacing w:line="360" w:lineRule="auto"/>
        <w:ind w:firstLine="480" w:firstLineChars="200"/>
        <w:rPr>
          <w:kern w:val="0"/>
          <w:sz w:val="24"/>
          <w:szCs w:val="24"/>
        </w:rPr>
      </w:pPr>
      <w:r>
        <w:rPr>
          <w:rFonts w:hint="eastAsia"/>
          <w:kern w:val="0"/>
          <w:sz w:val="24"/>
          <w:szCs w:val="24"/>
        </w:rPr>
        <w:t>截止到2025年6月30日，中国农业银行托管的封闭式证券投资基金和开放式证券投资基金共957只。</w:t>
      </w:r>
    </w:p>
    <w:p>
      <w:pPr>
        <w:spacing w:line="360" w:lineRule="auto"/>
        <w:ind w:firstLine="482" w:firstLineChars="200"/>
        <w:outlineLvl w:val="1"/>
        <w:rPr>
          <w:rFonts w:ascii="宋体" w:hAnsi="宋体" w:cs="宋体"/>
          <w:b/>
          <w:kern w:val="0"/>
          <w:sz w:val="24"/>
          <w:szCs w:val="24"/>
        </w:rPr>
      </w:pPr>
      <w:r>
        <w:rPr>
          <w:rFonts w:hint="eastAsia" w:ascii="宋体" w:hAnsi="宋体" w:cs="宋体"/>
          <w:b/>
          <w:kern w:val="0"/>
          <w:sz w:val="24"/>
          <w:szCs w:val="24"/>
        </w:rPr>
        <w:t>（二）基金托管人的内部风险控制制度说明</w:t>
      </w:r>
    </w:p>
    <w:p>
      <w:pPr>
        <w:snapToGrid w:val="0"/>
        <w:spacing w:line="360" w:lineRule="auto"/>
        <w:ind w:firstLine="480" w:firstLineChars="200"/>
        <w:rPr>
          <w:bCs/>
          <w:kern w:val="0"/>
          <w:sz w:val="24"/>
          <w:szCs w:val="24"/>
        </w:rPr>
      </w:pPr>
      <w:r>
        <w:rPr>
          <w:rFonts w:hint="eastAsia"/>
          <w:bCs/>
          <w:kern w:val="0"/>
          <w:sz w:val="24"/>
          <w:szCs w:val="24"/>
        </w:rPr>
        <w:t>1、内部控制目标</w:t>
      </w:r>
    </w:p>
    <w:p>
      <w:pPr>
        <w:snapToGrid w:val="0"/>
        <w:spacing w:line="360" w:lineRule="auto"/>
        <w:ind w:firstLine="480" w:firstLineChars="200"/>
        <w:rPr>
          <w:bCs/>
          <w:kern w:val="0"/>
          <w:sz w:val="24"/>
          <w:szCs w:val="24"/>
        </w:rPr>
      </w:pPr>
      <w:r>
        <w:rPr>
          <w:rFonts w:hint="eastAsia"/>
          <w:bCs/>
          <w:kern w:val="0"/>
          <w:sz w:val="24"/>
          <w:szCs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pPr>
        <w:snapToGrid w:val="0"/>
        <w:spacing w:line="360" w:lineRule="auto"/>
        <w:ind w:firstLine="480" w:firstLineChars="200"/>
        <w:rPr>
          <w:bCs/>
          <w:kern w:val="0"/>
          <w:sz w:val="24"/>
          <w:szCs w:val="24"/>
        </w:rPr>
      </w:pPr>
      <w:r>
        <w:rPr>
          <w:rFonts w:hint="eastAsia"/>
          <w:bCs/>
          <w:kern w:val="0"/>
          <w:sz w:val="24"/>
          <w:szCs w:val="24"/>
        </w:rPr>
        <w:t>2、内部控制组织结构</w:t>
      </w:r>
    </w:p>
    <w:p>
      <w:pPr>
        <w:snapToGrid w:val="0"/>
        <w:spacing w:line="360" w:lineRule="auto"/>
        <w:ind w:firstLine="480" w:firstLineChars="200"/>
        <w:rPr>
          <w:bCs/>
          <w:kern w:val="0"/>
          <w:sz w:val="24"/>
          <w:szCs w:val="24"/>
        </w:rPr>
      </w:pPr>
      <w:r>
        <w:rPr>
          <w:rFonts w:hint="eastAsia"/>
          <w:bCs/>
          <w:kern w:val="0"/>
          <w:sz w:val="24"/>
          <w:szCs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pPr>
        <w:snapToGrid w:val="0"/>
        <w:spacing w:line="360" w:lineRule="auto"/>
        <w:ind w:firstLine="480" w:firstLineChars="200"/>
        <w:rPr>
          <w:bCs/>
          <w:kern w:val="0"/>
          <w:sz w:val="24"/>
          <w:szCs w:val="24"/>
        </w:rPr>
      </w:pPr>
      <w:r>
        <w:rPr>
          <w:rFonts w:hint="eastAsia"/>
          <w:bCs/>
          <w:kern w:val="0"/>
          <w:sz w:val="24"/>
          <w:szCs w:val="24"/>
        </w:rPr>
        <w:t>3、内部控制制度及措施</w:t>
      </w:r>
    </w:p>
    <w:p>
      <w:pPr>
        <w:snapToGrid w:val="0"/>
        <w:spacing w:line="360" w:lineRule="auto"/>
        <w:ind w:firstLine="480" w:firstLineChars="200"/>
        <w:rPr>
          <w:bCs/>
          <w:kern w:val="0"/>
          <w:sz w:val="24"/>
          <w:szCs w:val="24"/>
        </w:rPr>
      </w:pPr>
      <w:r>
        <w:rPr>
          <w:rFonts w:hint="eastAsia"/>
          <w:bCs/>
          <w:kern w:val="0"/>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pPr>
        <w:widowControl/>
        <w:spacing w:line="360" w:lineRule="auto"/>
        <w:ind w:right="-178" w:rightChars="-85" w:firstLine="482" w:firstLineChars="200"/>
        <w:outlineLvl w:val="1"/>
        <w:rPr>
          <w:rFonts w:ascii="宋体" w:hAnsi="宋体" w:cs="宋体"/>
          <w:b/>
          <w:kern w:val="0"/>
          <w:sz w:val="24"/>
          <w:szCs w:val="24"/>
        </w:rPr>
      </w:pPr>
      <w:r>
        <w:rPr>
          <w:rFonts w:hint="eastAsia" w:ascii="宋体" w:hAnsi="宋体" w:cs="宋体"/>
          <w:b/>
          <w:kern w:val="0"/>
          <w:sz w:val="24"/>
          <w:szCs w:val="24"/>
        </w:rPr>
        <w:t>（三）基金托管人对基金管理人运作基金进行监督的方法和程序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当基金出现异常交易行为时，基金托管人应当针对不同情况进行以下方式的处理：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1、电话提示。对媒体和舆论反映集中的问题，电话提示基金管理人；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2、书面警示。对本基金投资比例接近超标、资金头寸不足等问题，以书面方式对基金管理人进行提示；</w:t>
      </w:r>
    </w:p>
    <w:p>
      <w:pPr>
        <w:adjustRightInd w:val="0"/>
        <w:snapToGrid w:val="0"/>
        <w:spacing w:line="360" w:lineRule="auto"/>
        <w:ind w:firstLine="480" w:firstLineChars="200"/>
        <w:rPr>
          <w:bCs/>
          <w:kern w:val="0"/>
          <w:sz w:val="24"/>
          <w:szCs w:val="24"/>
        </w:rPr>
      </w:pPr>
      <w:r>
        <w:rPr>
          <w:rFonts w:hint="eastAsia"/>
          <w:bCs/>
          <w:kern w:val="0"/>
          <w:sz w:val="24"/>
          <w:szCs w:val="24"/>
        </w:rPr>
        <w:t>3、书面报告。对投资比例超标、清算资金透支以及其他涉嫌违规交易等行为，书面提示有关基金管理人并报中国证监会。</w:t>
      </w:r>
    </w:p>
    <w:p>
      <w:pPr>
        <w:adjustRightInd/>
        <w:snapToGrid/>
        <w:spacing w:line="240" w:lineRule="auto"/>
        <w:ind w:firstLine="0" w:firstLineChars="0"/>
        <w:rPr>
          <w:bCs/>
          <w:kern w:val="0"/>
          <w:sz w:val="24"/>
          <w:szCs w:val="24"/>
        </w:rPr>
      </w:pPr>
      <w:r>
        <w:rPr>
          <w:rFonts w:hint="eastAsia"/>
          <w:bCs/>
          <w:kern w:val="0"/>
          <w:sz w:val="24"/>
          <w:szCs w:val="24"/>
        </w:rPr>
        <w:br w:type="page"/>
      </w:r>
    </w:p>
    <w:p>
      <w:pPr>
        <w:widowControl/>
        <w:adjustRightInd w:val="0"/>
        <w:snapToGrid w:val="0"/>
        <w:spacing w:before="143" w:beforeLines="50" w:after="143" w:afterLines="50" w:line="360" w:lineRule="auto"/>
        <w:ind w:firstLine="602" w:firstLineChars="200"/>
        <w:jc w:val="center"/>
        <w:outlineLvl w:val="0"/>
        <w:rPr>
          <w:rFonts w:ascii="宋体" w:hAnsi="宋体"/>
          <w:b/>
          <w:kern w:val="0"/>
          <w:sz w:val="30"/>
        </w:rPr>
      </w:pPr>
      <w:bookmarkStart w:id="128" w:name="_Toc11435"/>
      <w:bookmarkStart w:id="129" w:name="_Toc5882"/>
      <w:r>
        <w:rPr>
          <w:rFonts w:hint="eastAsia" w:ascii="宋体" w:hAnsi="宋体"/>
          <w:b/>
          <w:kern w:val="0"/>
          <w:sz w:val="30"/>
          <w:lang w:val="en-US" w:eastAsia="zh-CN"/>
        </w:rPr>
        <w:t>十八</w:t>
      </w:r>
      <w:r>
        <w:rPr>
          <w:rFonts w:hint="eastAsia" w:ascii="宋体" w:hAnsi="宋体"/>
          <w:b/>
          <w:kern w:val="0"/>
          <w:sz w:val="30"/>
        </w:rPr>
        <w:t>、境外托管人</w:t>
      </w:r>
      <w:bookmarkEnd w:id="128"/>
      <w:bookmarkEnd w:id="129"/>
    </w:p>
    <w:p>
      <w:pPr>
        <w:widowControl/>
        <w:adjustRightInd w:val="0"/>
        <w:snapToGrid w:val="0"/>
        <w:spacing w:line="360" w:lineRule="auto"/>
        <w:ind w:firstLine="482" w:firstLineChars="200"/>
        <w:outlineLvl w:val="1"/>
        <w:rPr>
          <w:b/>
          <w:kern w:val="0"/>
          <w:sz w:val="24"/>
        </w:rPr>
      </w:pPr>
      <w:r>
        <w:rPr>
          <w:rFonts w:hAnsi="宋体"/>
          <w:b/>
          <w:kern w:val="0"/>
          <w:sz w:val="24"/>
        </w:rPr>
        <w:t>（一）</w:t>
      </w:r>
      <w:r>
        <w:rPr>
          <w:rFonts w:hint="eastAsia" w:hAnsi="宋体"/>
          <w:b/>
          <w:kern w:val="0"/>
          <w:sz w:val="24"/>
        </w:rPr>
        <w:t>境外托管人基本情况</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名称：摩根大通银行（JPMorgan Chase Bank, National Association）</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注册地址：1111 Polaris Parkway, Columbus, Ohio 43240, U.S.A.</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办公地址：383 Madison Avenue, New York, NY 10179-0001</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法定代表人：James Dimon</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成立时间：1799年</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总资产（截止2025年9月30日）：4.56万亿美元</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实收资本（截止2025年9月30日）：1,214亿美元</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托管资产规模（截止2025年9月30日）：40.1万亿美元</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信用等级：穆迪评级Aa2（高级信用债券）</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作为全球领先的金融服务公司，摩根大通拥有4.56万亿美元资产，在超过60个国家经营。在投资银行业务、消费者金融服务、小企业和商业银行业务、金融交易处理、资产管理和私募股权投资基金等方面，摩根大通均为业界领导者。</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摩根大通自1946年开始为其美国客户提供托管服务。之后为响应客户投资海外的要求，该公司在1974年率先开展了一种综合性的服务–全球托管。此后，摩根大通继续扩展服务，以满足不断变化的客户需要。通过提供优质服务和创新的产品，摩根大通始终保持其领先地位。</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作为全球托管行业的领先者，摩根大通托管资产达40.1万亿美元（截至2025年9月30日），为全世界最大的机构投资者提供创新的托管、基金会计和服务以及证券服务。</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摩根大通是一家真正的全球机构，在超过60个国家有实体运作。与很多竞争对手不同之处在于，摩根大通还可为客户提供市场领先的投资银行服务，包括外汇交易、全球期货与期权清算、股权及股权挂钩产品以及固定收益投资的交易与研究。同时，在资产负债表内和表外的现金和流动性方面，我们也有很强的解决方案能力。</w:t>
      </w:r>
    </w:p>
    <w:p>
      <w:pPr>
        <w:adjustRightInd w:val="0"/>
        <w:snapToGrid w:val="0"/>
        <w:spacing w:line="360" w:lineRule="auto"/>
        <w:ind w:firstLine="480" w:firstLineChars="200"/>
        <w:rPr>
          <w:rFonts w:hAnsi="宋体"/>
          <w:kern w:val="0"/>
          <w:sz w:val="24"/>
          <w:szCs w:val="24"/>
        </w:rPr>
      </w:pPr>
      <w:r>
        <w:rPr>
          <w:rFonts w:hint="eastAsia" w:hAnsi="宋体"/>
          <w:kern w:val="0"/>
          <w:sz w:val="24"/>
          <w:szCs w:val="24"/>
        </w:rPr>
        <w:t>此外，摩根大通还是亚太地区全球托管的先行者之一，其历史可以追溯到1974 年，在亚太地区15个国家/地区均有客户：日本、澳大利亚、文莱、中国大陆、中国香港、印度、马来西亚、新西兰、新加坡、韩国、中国台湾、菲律宾、泰国、东帝汶和越南。</w:t>
      </w:r>
    </w:p>
    <w:p>
      <w:pPr>
        <w:widowControl/>
        <w:adjustRightInd w:val="0"/>
        <w:snapToGrid w:val="0"/>
        <w:spacing w:line="360" w:lineRule="auto"/>
        <w:ind w:firstLine="482" w:firstLineChars="200"/>
        <w:outlineLvl w:val="1"/>
        <w:rPr>
          <w:rFonts w:hAnsi="宋体"/>
          <w:b/>
          <w:kern w:val="0"/>
          <w:sz w:val="24"/>
        </w:rPr>
      </w:pPr>
      <w:r>
        <w:rPr>
          <w:rFonts w:hAnsi="宋体"/>
          <w:b/>
          <w:kern w:val="0"/>
          <w:sz w:val="24"/>
        </w:rPr>
        <w:t>（二）境外托管人的职责</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1、安全保管基金的境外资产，及时办理清算、交割事宜。</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2、准时将公司行为信息通知基金管理人和/或基金托管人，确保基金及时收取所有应得收入。</w:t>
      </w:r>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3、其他由基金托管人委托其履行的职责。</w:t>
      </w:r>
    </w:p>
    <w:p>
      <w:pPr>
        <w:adjustRightInd w:val="0"/>
        <w:snapToGrid w:val="0"/>
        <w:spacing w:line="360" w:lineRule="auto"/>
        <w:ind w:firstLine="480" w:firstLineChars="200"/>
        <w:rPr>
          <w:rFonts w:hAnsi="宋体"/>
          <w:kern w:val="0"/>
          <w:sz w:val="24"/>
          <w:szCs w:val="24"/>
        </w:rPr>
      </w:pPr>
    </w:p>
    <w:p>
      <w:pPr>
        <w:widowControl/>
        <w:adjustRightInd w:val="0"/>
        <w:snapToGrid w:val="0"/>
        <w:spacing w:before="143" w:beforeLines="50" w:after="143" w:afterLines="50" w:line="360" w:lineRule="auto"/>
        <w:ind w:firstLine="602" w:firstLineChars="200"/>
        <w:jc w:val="center"/>
        <w:outlineLvl w:val="0"/>
        <w:rPr>
          <w:rFonts w:ascii="宋体" w:hAnsi="宋体"/>
          <w:b/>
          <w:kern w:val="0"/>
          <w:sz w:val="30"/>
        </w:rPr>
      </w:pPr>
      <w:r>
        <w:rPr>
          <w:rFonts w:ascii="宋体" w:hAnsi="宋体"/>
          <w:b/>
          <w:kern w:val="0"/>
          <w:sz w:val="30"/>
        </w:rPr>
        <w:br w:type="page"/>
      </w:r>
      <w:bookmarkStart w:id="130" w:name="_Toc6866"/>
      <w:bookmarkStart w:id="131" w:name="_Toc20640"/>
      <w:r>
        <w:rPr>
          <w:rFonts w:hint="eastAsia" w:ascii="宋体" w:hAnsi="宋体"/>
          <w:b/>
          <w:kern w:val="0"/>
          <w:sz w:val="30"/>
          <w:lang w:val="en-US" w:eastAsia="zh-CN"/>
        </w:rPr>
        <w:t>十九</w:t>
      </w:r>
      <w:r>
        <w:rPr>
          <w:rFonts w:hint="eastAsia" w:ascii="宋体" w:hAnsi="宋体"/>
          <w:b/>
          <w:kern w:val="0"/>
          <w:sz w:val="30"/>
        </w:rPr>
        <w:t>、相关服务机构</w:t>
      </w:r>
      <w:bookmarkEnd w:id="130"/>
      <w:bookmarkEnd w:id="131"/>
    </w:p>
    <w:p>
      <w:pPr>
        <w:widowControl/>
        <w:adjustRightInd w:val="0"/>
        <w:snapToGrid w:val="0"/>
        <w:spacing w:line="360" w:lineRule="auto"/>
        <w:ind w:firstLine="482" w:firstLineChars="200"/>
        <w:outlineLvl w:val="1"/>
        <w:rPr>
          <w:b/>
          <w:kern w:val="0"/>
          <w:sz w:val="24"/>
        </w:rPr>
      </w:pPr>
      <w:r>
        <w:rPr>
          <w:rFonts w:hAnsi="宋体"/>
          <w:b/>
          <w:kern w:val="0"/>
          <w:sz w:val="24"/>
        </w:rPr>
        <w:t>（一）基金份额销售机构</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1、直销机构</w:t>
      </w:r>
    </w:p>
    <w:p>
      <w:pPr>
        <w:adjustRightInd w:val="0"/>
        <w:snapToGrid w:val="0"/>
        <w:spacing w:line="360" w:lineRule="auto"/>
        <w:ind w:firstLine="465"/>
        <w:rPr>
          <w:rFonts w:hAnsi="宋体"/>
          <w:sz w:val="24"/>
        </w:rPr>
      </w:pPr>
      <w:r>
        <w:rPr>
          <w:rFonts w:hAnsi="宋体"/>
          <w:sz w:val="24"/>
        </w:rPr>
        <w:t>本基金直销机构为</w:t>
      </w:r>
      <w:r>
        <w:rPr>
          <w:rFonts w:hint="eastAsia" w:hAnsi="宋体"/>
          <w:sz w:val="24"/>
        </w:rPr>
        <w:t>基金管理人直销柜台</w:t>
      </w:r>
      <w:r>
        <w:rPr>
          <w:rFonts w:hAnsi="宋体"/>
          <w:sz w:val="24"/>
        </w:rPr>
        <w:t>以及</w:t>
      </w:r>
      <w:r>
        <w:rPr>
          <w:rFonts w:hint="eastAsia" w:hAnsi="宋体"/>
          <w:sz w:val="24"/>
        </w:rPr>
        <w:t>基金管理人</w:t>
      </w:r>
      <w:r>
        <w:rPr>
          <w:rFonts w:hAnsi="宋体"/>
          <w:sz w:val="24"/>
        </w:rPr>
        <w:t>的网上直销交易平台</w:t>
      </w:r>
      <w:r>
        <w:rPr>
          <w:rFonts w:hint="eastAsia" w:hAnsi="宋体"/>
          <w:sz w:val="24"/>
        </w:rPr>
        <w:t>（网站</w:t>
      </w:r>
      <w:r>
        <w:rPr>
          <w:rFonts w:hAnsi="宋体"/>
          <w:sz w:val="24"/>
        </w:rPr>
        <w:t>及手机APP，下同）。</w:t>
      </w:r>
    </w:p>
    <w:p>
      <w:pPr>
        <w:adjustRightInd w:val="0"/>
        <w:snapToGrid w:val="0"/>
        <w:spacing w:line="360" w:lineRule="auto"/>
        <w:ind w:firstLine="465"/>
        <w:rPr>
          <w:rFonts w:hAnsi="宋体"/>
          <w:sz w:val="24"/>
        </w:rPr>
      </w:pPr>
      <w:r>
        <w:rPr>
          <w:rFonts w:hAnsi="宋体"/>
          <w:sz w:val="24"/>
        </w:rPr>
        <w:t>名称：</w:t>
      </w:r>
      <w:r>
        <w:rPr>
          <w:rFonts w:hint="eastAsia" w:hAnsi="宋体"/>
          <w:sz w:val="24"/>
        </w:rPr>
        <w:t>交银施罗德基金管理有限公司</w:t>
      </w:r>
    </w:p>
    <w:p>
      <w:pPr>
        <w:adjustRightInd w:val="0"/>
        <w:snapToGrid w:val="0"/>
        <w:spacing w:line="360" w:lineRule="auto"/>
        <w:ind w:firstLine="465"/>
        <w:rPr>
          <w:rFonts w:hAnsi="宋体"/>
          <w:sz w:val="24"/>
        </w:rPr>
      </w:pPr>
      <w:r>
        <w:rPr>
          <w:rFonts w:hAnsi="宋体"/>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w:t>
      </w:r>
      <w:r>
        <w:rPr>
          <w:rFonts w:hint="eastAsia" w:hAnsi="宋体"/>
          <w:sz w:val="24"/>
        </w:rPr>
        <w:t>银城中路188号交通银行大楼二层（裙）</w:t>
      </w:r>
    </w:p>
    <w:p>
      <w:pPr>
        <w:adjustRightInd w:val="0"/>
        <w:snapToGrid w:val="0"/>
        <w:spacing w:line="360" w:lineRule="auto"/>
        <w:ind w:firstLine="465"/>
        <w:rPr>
          <w:rFonts w:hAnsi="宋体"/>
          <w:sz w:val="24"/>
        </w:rPr>
      </w:pPr>
      <w:r>
        <w:rPr>
          <w:rFonts w:hAnsi="宋体"/>
          <w:sz w:val="24"/>
        </w:rPr>
        <w:t>办公地址：</w:t>
      </w:r>
      <w:r>
        <w:rPr>
          <w:rFonts w:hint="eastAsia" w:hAnsi="宋体"/>
          <w:sz w:val="24"/>
        </w:rPr>
        <w:t>上海市浦东新区世纪大道8号国金中心二期21-22楼</w:t>
      </w:r>
    </w:p>
    <w:p>
      <w:pPr>
        <w:adjustRightInd w:val="0"/>
        <w:snapToGrid w:val="0"/>
        <w:spacing w:line="360" w:lineRule="auto"/>
        <w:ind w:firstLine="465"/>
        <w:rPr>
          <w:rFonts w:hAnsi="宋体"/>
          <w:sz w:val="24"/>
        </w:rPr>
      </w:pPr>
      <w:r>
        <w:rPr>
          <w:rFonts w:hAnsi="宋体"/>
          <w:sz w:val="24"/>
        </w:rPr>
        <w:t>法定代表人：</w:t>
      </w:r>
      <w:r>
        <w:rPr>
          <w:rFonts w:hint="eastAsia" w:hAnsi="宋体"/>
          <w:sz w:val="24"/>
        </w:rPr>
        <w:t>袁庆伟（代任）</w:t>
      </w:r>
    </w:p>
    <w:p>
      <w:pPr>
        <w:adjustRightInd w:val="0"/>
        <w:snapToGrid w:val="0"/>
        <w:spacing w:line="360" w:lineRule="auto"/>
        <w:ind w:firstLine="480" w:firstLineChars="200"/>
        <w:rPr>
          <w:sz w:val="24"/>
        </w:rPr>
      </w:pPr>
      <w:r>
        <w:rPr>
          <w:rFonts w:hAnsi="宋体"/>
          <w:sz w:val="24"/>
        </w:rPr>
        <w:t>成立时间：</w:t>
      </w:r>
      <w:r>
        <w:rPr>
          <w:rFonts w:hint="eastAsia" w:hAnsi="宋体"/>
          <w:sz w:val="24"/>
        </w:rPr>
        <w:t>2005年8月4日</w:t>
      </w:r>
    </w:p>
    <w:p>
      <w:pPr>
        <w:adjustRightInd w:val="0"/>
        <w:snapToGrid w:val="0"/>
        <w:spacing w:line="360" w:lineRule="auto"/>
        <w:ind w:firstLine="480" w:firstLineChars="200"/>
        <w:rPr>
          <w:sz w:val="24"/>
        </w:rPr>
      </w:pPr>
      <w:r>
        <w:rPr>
          <w:rFonts w:hAnsi="宋体"/>
          <w:sz w:val="24"/>
        </w:rPr>
        <w:t>电话：</w:t>
      </w:r>
      <w:r>
        <w:rPr>
          <w:rFonts w:hint="eastAsia" w:hAnsi="宋体"/>
          <w:sz w:val="24"/>
        </w:rPr>
        <w:t>（021）6105</w:t>
      </w:r>
      <w:r>
        <w:rPr>
          <w:rFonts w:hAnsi="宋体"/>
          <w:sz w:val="24"/>
        </w:rPr>
        <w:t>5724</w:t>
      </w:r>
    </w:p>
    <w:p>
      <w:pPr>
        <w:adjustRightInd w:val="0"/>
        <w:snapToGrid w:val="0"/>
        <w:spacing w:line="360" w:lineRule="auto"/>
        <w:ind w:firstLine="480" w:firstLineChars="200"/>
        <w:rPr>
          <w:sz w:val="24"/>
        </w:rPr>
      </w:pPr>
      <w:r>
        <w:rPr>
          <w:rFonts w:hAnsi="宋体"/>
          <w:sz w:val="24"/>
        </w:rPr>
        <w:t>传真：</w:t>
      </w:r>
      <w:r>
        <w:rPr>
          <w:rFonts w:hint="eastAsia" w:hAnsi="宋体"/>
          <w:sz w:val="24"/>
        </w:rPr>
        <w:t>（021）61055054</w:t>
      </w:r>
    </w:p>
    <w:p>
      <w:pPr>
        <w:adjustRightInd w:val="0"/>
        <w:snapToGrid w:val="0"/>
        <w:spacing w:line="360" w:lineRule="auto"/>
        <w:ind w:firstLine="480" w:firstLineChars="200"/>
        <w:rPr>
          <w:sz w:val="24"/>
        </w:rPr>
      </w:pPr>
      <w:r>
        <w:rPr>
          <w:rFonts w:hAnsi="宋体"/>
          <w:sz w:val="24"/>
        </w:rPr>
        <w:t>联系人：</w:t>
      </w:r>
      <w:r>
        <w:rPr>
          <w:rFonts w:hint="eastAsia" w:hAnsi="宋体"/>
          <w:sz w:val="24"/>
        </w:rPr>
        <w:t>傅鲸</w:t>
      </w:r>
    </w:p>
    <w:p>
      <w:pPr>
        <w:adjustRightInd w:val="0"/>
        <w:snapToGrid w:val="0"/>
        <w:spacing w:line="360" w:lineRule="auto"/>
        <w:ind w:firstLine="480" w:firstLineChars="200"/>
        <w:rPr>
          <w:sz w:val="24"/>
        </w:rPr>
      </w:pPr>
      <w:r>
        <w:rPr>
          <w:rFonts w:hAnsi="宋体"/>
          <w:sz w:val="24"/>
        </w:rPr>
        <w:t>客户服务电话：</w:t>
      </w:r>
      <w:r>
        <w:rPr>
          <w:rFonts w:hint="eastAsia" w:hAnsi="宋体"/>
          <w:sz w:val="24"/>
        </w:rPr>
        <w:t>400-700-5000（免长途话费），（021）61055000</w:t>
      </w:r>
    </w:p>
    <w:p>
      <w:pPr>
        <w:adjustRightInd w:val="0"/>
        <w:snapToGrid w:val="0"/>
        <w:spacing w:line="360" w:lineRule="auto"/>
        <w:ind w:firstLine="480" w:firstLineChars="200"/>
        <w:rPr>
          <w:rStyle w:val="31"/>
          <w:color w:val="auto"/>
          <w:sz w:val="24"/>
          <w:u w:val="none"/>
        </w:rPr>
      </w:pPr>
      <w:r>
        <w:rPr>
          <w:rFonts w:hAnsi="宋体"/>
          <w:sz w:val="24"/>
        </w:rPr>
        <w:t>网址：</w:t>
      </w:r>
      <w:r>
        <w:rPr>
          <w:rFonts w:hint="eastAsia" w:hAnsi="宋体"/>
          <w:sz w:val="24"/>
        </w:rPr>
        <w:t>www.fund001.com</w:t>
      </w:r>
    </w:p>
    <w:p>
      <w:pPr>
        <w:widowControl/>
        <w:adjustRightInd w:val="0"/>
        <w:snapToGrid w:val="0"/>
        <w:spacing w:line="360" w:lineRule="auto"/>
        <w:ind w:firstLine="480" w:firstLineChars="200"/>
        <w:rPr>
          <w:kern w:val="0"/>
          <w:sz w:val="24"/>
        </w:rPr>
      </w:pPr>
      <w:r>
        <w:rPr>
          <w:kern w:val="0"/>
          <w:sz w:val="24"/>
        </w:rPr>
        <w:t>个人投资者可以通过</w:t>
      </w:r>
      <w:r>
        <w:rPr>
          <w:rFonts w:hint="eastAsia" w:hAnsi="宋体"/>
          <w:kern w:val="0"/>
          <w:sz w:val="24"/>
          <w:szCs w:val="24"/>
        </w:rPr>
        <w:t>基金管理人</w:t>
      </w:r>
      <w:r>
        <w:rPr>
          <w:kern w:val="0"/>
          <w:sz w:val="24"/>
        </w:rPr>
        <w:t>网上直销交易平台办理开户、本基金的认购、申购、赎回等业务，具体交易细则请参阅</w:t>
      </w:r>
      <w:r>
        <w:rPr>
          <w:rFonts w:hint="eastAsia" w:hAnsi="宋体"/>
          <w:kern w:val="0"/>
          <w:sz w:val="24"/>
          <w:szCs w:val="24"/>
        </w:rPr>
        <w:t>基金管理人</w:t>
      </w:r>
      <w:r>
        <w:rPr>
          <w:kern w:val="0"/>
          <w:sz w:val="24"/>
        </w:rPr>
        <w:t>网站。</w:t>
      </w:r>
    </w:p>
    <w:p>
      <w:pPr>
        <w:widowControl/>
        <w:adjustRightInd w:val="0"/>
        <w:snapToGrid w:val="0"/>
        <w:spacing w:line="360" w:lineRule="auto"/>
        <w:ind w:firstLine="480" w:firstLineChars="200"/>
        <w:rPr>
          <w:rStyle w:val="31"/>
          <w:color w:val="auto"/>
          <w:kern w:val="0"/>
          <w:sz w:val="24"/>
          <w:u w:val="none"/>
        </w:rPr>
      </w:pPr>
      <w:r>
        <w:rPr>
          <w:kern w:val="0"/>
          <w:sz w:val="24"/>
        </w:rPr>
        <w:t>网上直销交易平台网址：</w:t>
      </w:r>
      <w:r>
        <w:fldChar w:fldCharType="begin"/>
      </w:r>
      <w:r>
        <w:instrText xml:space="preserve"> HYPERLINK "http://www.jysld.com" </w:instrText>
      </w:r>
      <w:r>
        <w:fldChar w:fldCharType="separate"/>
      </w:r>
      <w:r>
        <w:rPr>
          <w:rStyle w:val="31"/>
          <w:color w:val="auto"/>
          <w:sz w:val="24"/>
          <w:u w:val="none"/>
        </w:rPr>
        <w:t>www.fund001.com</w:t>
      </w:r>
      <w:r>
        <w:rPr>
          <w:rStyle w:val="31"/>
          <w:color w:val="auto"/>
          <w:sz w:val="24"/>
          <w:u w:val="none"/>
        </w:rPr>
        <w:fldChar w:fldCharType="end"/>
      </w:r>
      <w:r>
        <w:rPr>
          <w:rStyle w:val="31"/>
          <w:color w:val="auto"/>
          <w:sz w:val="24"/>
          <w:u w:val="none"/>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2、除基金管理人之外的其他销售机构</w:t>
      </w:r>
    </w:p>
    <w:p>
      <w:pPr>
        <w:adjustRightInd w:val="0"/>
        <w:snapToGrid w:val="0"/>
        <w:spacing w:line="360" w:lineRule="auto"/>
        <w:ind w:firstLine="480" w:firstLineChars="200"/>
        <w:rPr>
          <w:rFonts w:hAnsi="宋体"/>
          <w:sz w:val="24"/>
        </w:rPr>
      </w:pPr>
      <w:r>
        <w:rPr>
          <w:rFonts w:hint="eastAsia" w:hAnsi="宋体"/>
          <w:sz w:val="24"/>
          <w:lang w:eastAsia="zh-CN"/>
        </w:rPr>
        <w:t>（</w:t>
      </w:r>
      <w:r>
        <w:rPr>
          <w:rFonts w:hint="eastAsia" w:hAnsi="宋体"/>
          <w:sz w:val="24"/>
          <w:lang w:val="en-US" w:eastAsia="zh-CN"/>
        </w:rPr>
        <w:t>1</w:t>
      </w:r>
      <w:r>
        <w:rPr>
          <w:rFonts w:hint="eastAsia" w:hAnsi="宋体"/>
          <w:sz w:val="24"/>
          <w:lang w:eastAsia="zh-CN"/>
        </w:rPr>
        <w:t>）</w:t>
      </w:r>
      <w:r>
        <w:rPr>
          <w:rFonts w:hint="eastAsia" w:hAnsi="宋体"/>
          <w:sz w:val="24"/>
        </w:rPr>
        <w:t>名称：中国农业银行股份有限公司</w:t>
      </w:r>
    </w:p>
    <w:p>
      <w:pPr>
        <w:adjustRightInd w:val="0"/>
        <w:snapToGrid w:val="0"/>
        <w:spacing w:line="360" w:lineRule="auto"/>
        <w:ind w:firstLine="480" w:firstLineChars="200"/>
        <w:rPr>
          <w:rFonts w:hAnsi="宋体"/>
          <w:sz w:val="24"/>
        </w:rPr>
      </w:pPr>
      <w:r>
        <w:rPr>
          <w:rFonts w:hint="eastAsia" w:hAnsi="宋体"/>
          <w:sz w:val="24"/>
        </w:rPr>
        <w:t>住所：北京市东城区建国门内大街69号</w:t>
      </w:r>
    </w:p>
    <w:p>
      <w:pPr>
        <w:adjustRightInd w:val="0"/>
        <w:snapToGrid w:val="0"/>
        <w:spacing w:line="360" w:lineRule="auto"/>
        <w:ind w:firstLine="480" w:firstLineChars="200"/>
        <w:rPr>
          <w:rFonts w:hAnsi="宋体"/>
          <w:sz w:val="24"/>
        </w:rPr>
      </w:pPr>
      <w:r>
        <w:rPr>
          <w:rFonts w:hint="eastAsia" w:hAnsi="宋体"/>
          <w:sz w:val="24"/>
        </w:rPr>
        <w:t>办公地址：北京市西城区复兴门内大街28号凯晨世贸中心东座九层</w:t>
      </w:r>
    </w:p>
    <w:p>
      <w:pPr>
        <w:adjustRightInd w:val="0"/>
        <w:snapToGrid w:val="0"/>
        <w:spacing w:line="360" w:lineRule="auto"/>
        <w:ind w:firstLine="480" w:firstLineChars="200"/>
        <w:rPr>
          <w:rFonts w:hAnsi="宋体"/>
          <w:sz w:val="24"/>
        </w:rPr>
      </w:pPr>
      <w:r>
        <w:rPr>
          <w:rFonts w:hint="eastAsia" w:hAnsi="宋体"/>
          <w:sz w:val="24"/>
        </w:rPr>
        <w:t>法定代表人：谷澍</w:t>
      </w:r>
    </w:p>
    <w:p>
      <w:pPr>
        <w:adjustRightInd w:val="0"/>
        <w:snapToGrid w:val="0"/>
        <w:spacing w:line="360" w:lineRule="auto"/>
        <w:ind w:firstLine="480" w:firstLineChars="200"/>
        <w:rPr>
          <w:rFonts w:hAnsi="宋体"/>
          <w:sz w:val="24"/>
        </w:rPr>
      </w:pPr>
      <w:r>
        <w:rPr>
          <w:rFonts w:hint="eastAsia" w:hAnsi="宋体"/>
          <w:sz w:val="24"/>
        </w:rPr>
        <w:t>联系电话：010-66060069</w:t>
      </w:r>
    </w:p>
    <w:p>
      <w:pPr>
        <w:adjustRightInd w:val="0"/>
        <w:snapToGrid w:val="0"/>
        <w:spacing w:line="360" w:lineRule="auto"/>
        <w:ind w:firstLine="480" w:firstLineChars="200"/>
        <w:rPr>
          <w:rFonts w:hAnsi="宋体"/>
          <w:sz w:val="24"/>
        </w:rPr>
      </w:pPr>
      <w:r>
        <w:rPr>
          <w:rFonts w:hint="eastAsia" w:hAnsi="宋体"/>
          <w:sz w:val="24"/>
        </w:rPr>
        <w:t>传真：010-68121816</w:t>
      </w:r>
    </w:p>
    <w:p>
      <w:pPr>
        <w:adjustRightInd w:val="0"/>
        <w:snapToGrid w:val="0"/>
        <w:spacing w:line="360" w:lineRule="auto"/>
        <w:ind w:firstLine="480" w:firstLineChars="200"/>
        <w:rPr>
          <w:rFonts w:hAnsi="宋体"/>
          <w:sz w:val="24"/>
        </w:rPr>
      </w:pPr>
      <w:r>
        <w:rPr>
          <w:rFonts w:hint="eastAsia" w:hAnsi="宋体"/>
          <w:sz w:val="24"/>
        </w:rPr>
        <w:t>联系人：秦一楠</w:t>
      </w:r>
    </w:p>
    <w:p>
      <w:pPr>
        <w:adjustRightInd w:val="0"/>
        <w:snapToGrid w:val="0"/>
        <w:spacing w:line="360" w:lineRule="auto"/>
        <w:ind w:firstLine="480" w:firstLineChars="200"/>
        <w:rPr>
          <w:rFonts w:hAnsi="宋体"/>
          <w:sz w:val="24"/>
        </w:rPr>
      </w:pPr>
      <w:r>
        <w:rPr>
          <w:rFonts w:hint="eastAsia" w:hAnsi="宋体"/>
          <w:sz w:val="24"/>
        </w:rPr>
        <w:t>客户服务电话：95599</w:t>
      </w:r>
    </w:p>
    <w:p>
      <w:pPr>
        <w:adjustRightInd w:val="0"/>
        <w:snapToGrid w:val="0"/>
        <w:spacing w:line="360" w:lineRule="auto"/>
        <w:ind w:firstLine="480" w:firstLineChars="200"/>
        <w:rPr>
          <w:rFonts w:hint="eastAsia" w:hAnsi="宋体"/>
          <w:sz w:val="24"/>
        </w:rPr>
      </w:pPr>
      <w:r>
        <w:rPr>
          <w:rFonts w:hint="eastAsia" w:hAnsi="宋体"/>
          <w:sz w:val="24"/>
        </w:rPr>
        <w:t>网址：</w:t>
      </w:r>
      <w:r>
        <w:rPr>
          <w:rFonts w:hint="eastAsia" w:hAnsi="宋体"/>
          <w:sz w:val="24"/>
        </w:rPr>
        <w:fldChar w:fldCharType="begin"/>
      </w:r>
      <w:r>
        <w:rPr>
          <w:rFonts w:hint="eastAsia" w:hAnsi="宋体"/>
          <w:sz w:val="24"/>
        </w:rPr>
        <w:instrText xml:space="preserve"> HYPERLINK "http://www.abchina.com" </w:instrText>
      </w:r>
      <w:r>
        <w:rPr>
          <w:rFonts w:hint="eastAsia" w:hAnsi="宋体"/>
          <w:sz w:val="24"/>
        </w:rPr>
        <w:fldChar w:fldCharType="separate"/>
      </w:r>
      <w:r>
        <w:rPr>
          <w:rStyle w:val="31"/>
          <w:rFonts w:hint="eastAsia" w:hAnsi="宋体"/>
          <w:sz w:val="24"/>
        </w:rPr>
        <w:t>www.abchina.com</w:t>
      </w:r>
      <w:r>
        <w:rPr>
          <w:rFonts w:hint="eastAsia" w:hAnsi="宋体"/>
          <w:sz w:val="24"/>
        </w:rPr>
        <w:fldChar w:fldCharType="end"/>
      </w:r>
    </w:p>
    <w:p>
      <w:pPr>
        <w:adjustRightInd w:val="0"/>
        <w:snapToGrid w:val="0"/>
        <w:spacing w:line="360" w:lineRule="auto"/>
        <w:ind w:firstLine="480" w:firstLineChars="200"/>
        <w:rPr>
          <w:rFonts w:hint="eastAsia" w:hAnsi="宋体"/>
          <w:sz w:val="24"/>
        </w:rPr>
      </w:pPr>
      <w:r>
        <w:rPr>
          <w:rFonts w:hint="eastAsia" w:hAnsi="宋体"/>
          <w:sz w:val="24"/>
        </w:rPr>
        <w:t>（2）名称：交通银行股份有限公司</w:t>
      </w:r>
    </w:p>
    <w:p>
      <w:pPr>
        <w:adjustRightInd w:val="0"/>
        <w:snapToGrid w:val="0"/>
        <w:spacing w:line="360" w:lineRule="auto"/>
        <w:ind w:firstLine="480" w:firstLineChars="200"/>
        <w:rPr>
          <w:rFonts w:hint="eastAsia" w:hAnsi="宋体"/>
          <w:sz w:val="24"/>
        </w:rPr>
      </w:pPr>
      <w:r>
        <w:rPr>
          <w:rFonts w:hint="eastAsia" w:hAnsi="宋体"/>
          <w:sz w:val="24"/>
        </w:rPr>
        <w:t>住所：上海市浦东新区银城中路188号</w:t>
      </w:r>
    </w:p>
    <w:p>
      <w:pPr>
        <w:adjustRightInd w:val="0"/>
        <w:snapToGrid w:val="0"/>
        <w:spacing w:line="360" w:lineRule="auto"/>
        <w:ind w:firstLine="480" w:firstLineChars="200"/>
        <w:rPr>
          <w:rFonts w:hint="eastAsia" w:hAnsi="宋体"/>
          <w:sz w:val="24"/>
        </w:rPr>
      </w:pPr>
      <w:r>
        <w:rPr>
          <w:rFonts w:hint="eastAsia" w:hAnsi="宋体"/>
          <w:sz w:val="24"/>
        </w:rPr>
        <w:t>办公地址：上海市浦东新区银城中路188号</w:t>
      </w:r>
    </w:p>
    <w:p>
      <w:pPr>
        <w:adjustRightInd w:val="0"/>
        <w:snapToGrid w:val="0"/>
        <w:spacing w:line="360" w:lineRule="auto"/>
        <w:ind w:firstLine="480" w:firstLineChars="200"/>
        <w:rPr>
          <w:rFonts w:hint="eastAsia" w:hAnsi="宋体"/>
          <w:sz w:val="24"/>
        </w:rPr>
      </w:pPr>
      <w:r>
        <w:rPr>
          <w:rFonts w:hint="eastAsia" w:hAnsi="宋体"/>
          <w:sz w:val="24"/>
        </w:rPr>
        <w:t>法定代表人：任德奇</w:t>
      </w:r>
    </w:p>
    <w:p>
      <w:pPr>
        <w:adjustRightInd w:val="0"/>
        <w:snapToGrid w:val="0"/>
        <w:spacing w:line="360" w:lineRule="auto"/>
        <w:ind w:firstLine="480" w:firstLineChars="200"/>
        <w:rPr>
          <w:rFonts w:hint="eastAsia" w:hAnsi="宋体"/>
          <w:sz w:val="24"/>
        </w:rPr>
      </w:pPr>
      <w:r>
        <w:rPr>
          <w:rFonts w:hint="eastAsia" w:hAnsi="宋体"/>
          <w:sz w:val="24"/>
        </w:rPr>
        <w:t>电话：（021）58781234</w:t>
      </w:r>
    </w:p>
    <w:p>
      <w:pPr>
        <w:adjustRightInd w:val="0"/>
        <w:snapToGrid w:val="0"/>
        <w:spacing w:line="360" w:lineRule="auto"/>
        <w:ind w:firstLine="480" w:firstLineChars="200"/>
        <w:rPr>
          <w:rFonts w:hint="eastAsia" w:hAnsi="宋体"/>
          <w:sz w:val="24"/>
        </w:rPr>
      </w:pPr>
      <w:r>
        <w:rPr>
          <w:rFonts w:hint="eastAsia" w:hAnsi="宋体"/>
          <w:sz w:val="24"/>
        </w:rPr>
        <w:t>传真：（021）58408483</w:t>
      </w:r>
    </w:p>
    <w:p>
      <w:pPr>
        <w:adjustRightInd w:val="0"/>
        <w:snapToGrid w:val="0"/>
        <w:spacing w:line="360" w:lineRule="auto"/>
        <w:ind w:firstLine="480" w:firstLineChars="200"/>
        <w:rPr>
          <w:rFonts w:hint="eastAsia" w:hAnsi="宋体"/>
          <w:sz w:val="24"/>
        </w:rPr>
      </w:pPr>
      <w:r>
        <w:rPr>
          <w:rFonts w:hint="eastAsia" w:hAnsi="宋体"/>
          <w:sz w:val="24"/>
        </w:rPr>
        <w:t>联系人：范瑞波</w:t>
      </w:r>
    </w:p>
    <w:p>
      <w:pPr>
        <w:adjustRightInd w:val="0"/>
        <w:snapToGrid w:val="0"/>
        <w:spacing w:line="360" w:lineRule="auto"/>
        <w:ind w:firstLine="480" w:firstLineChars="200"/>
        <w:rPr>
          <w:rFonts w:hint="eastAsia" w:hAnsi="宋体"/>
          <w:sz w:val="24"/>
        </w:rPr>
      </w:pPr>
      <w:r>
        <w:rPr>
          <w:rFonts w:hint="eastAsia" w:hAnsi="宋体"/>
          <w:sz w:val="24"/>
        </w:rPr>
        <w:t>客户服务电话：95559</w:t>
      </w:r>
    </w:p>
    <w:p>
      <w:pPr>
        <w:adjustRightInd w:val="0"/>
        <w:snapToGrid w:val="0"/>
        <w:spacing w:line="360" w:lineRule="auto"/>
        <w:ind w:firstLine="480" w:firstLineChars="200"/>
        <w:rPr>
          <w:rFonts w:hint="eastAsia" w:hAnsi="宋体"/>
          <w:sz w:val="24"/>
        </w:rPr>
      </w:pPr>
      <w:r>
        <w:rPr>
          <w:rFonts w:hint="eastAsia" w:hAnsi="宋体"/>
          <w:sz w:val="24"/>
        </w:rPr>
        <w:t>网址：www.bankcomm.com</w:t>
      </w:r>
    </w:p>
    <w:p>
      <w:pPr>
        <w:adjustRightInd w:val="0"/>
        <w:snapToGrid w:val="0"/>
        <w:spacing w:line="360" w:lineRule="auto"/>
        <w:ind w:firstLine="480" w:firstLineChars="200"/>
        <w:rPr>
          <w:rFonts w:hAnsi="宋体"/>
          <w:sz w:val="24"/>
        </w:rPr>
      </w:pPr>
      <w:r>
        <w:rPr>
          <w:rFonts w:hint="eastAsia" w:hAnsi="宋体"/>
          <w:sz w:val="24"/>
        </w:rPr>
        <w:t>基金管理人可根据有关法律法规的要求，选择其它符合要求的机构销售本基金，并在基金管理人网站公示。</w:t>
      </w:r>
    </w:p>
    <w:p>
      <w:pPr>
        <w:widowControl/>
        <w:adjustRightInd w:val="0"/>
        <w:snapToGrid w:val="0"/>
        <w:spacing w:line="360" w:lineRule="auto"/>
        <w:ind w:firstLine="482" w:firstLineChars="200"/>
        <w:outlineLvl w:val="1"/>
        <w:rPr>
          <w:b/>
          <w:kern w:val="0"/>
          <w:sz w:val="24"/>
        </w:rPr>
      </w:pPr>
      <w:r>
        <w:rPr>
          <w:rFonts w:hAnsi="宋体"/>
          <w:b/>
          <w:kern w:val="0"/>
          <w:sz w:val="24"/>
        </w:rPr>
        <w:t>（二）登记机构</w:t>
      </w:r>
    </w:p>
    <w:p>
      <w:pPr>
        <w:adjustRightInd w:val="0"/>
        <w:snapToGrid w:val="0"/>
        <w:spacing w:line="360" w:lineRule="auto"/>
        <w:ind w:firstLine="480" w:firstLineChars="200"/>
        <w:rPr>
          <w:rFonts w:hAnsi="宋体"/>
          <w:kern w:val="0"/>
          <w:sz w:val="24"/>
        </w:rPr>
      </w:pPr>
      <w:r>
        <w:rPr>
          <w:rFonts w:hint="eastAsia" w:hAnsi="宋体"/>
          <w:kern w:val="0"/>
          <w:sz w:val="24"/>
        </w:rPr>
        <w:t xml:space="preserve">名称：交银施罗德基金管理有限公司 </w:t>
      </w:r>
    </w:p>
    <w:p>
      <w:pPr>
        <w:adjustRightInd w:val="0"/>
        <w:snapToGrid w:val="0"/>
        <w:spacing w:line="360" w:lineRule="auto"/>
        <w:ind w:firstLine="480" w:firstLineChars="200"/>
        <w:rPr>
          <w:rFonts w:hAnsi="宋体"/>
          <w:kern w:val="0"/>
          <w:sz w:val="24"/>
        </w:rPr>
      </w:pPr>
      <w:r>
        <w:rPr>
          <w:rFonts w:hint="eastAsia" w:hAnsi="宋体"/>
          <w:kern w:val="0"/>
          <w:sz w:val="24"/>
        </w:rPr>
        <w:t>住所：中国（上海）自由贸易试验区银城中路188号交通银行大楼二层（裙）</w:t>
      </w:r>
    </w:p>
    <w:p>
      <w:pPr>
        <w:adjustRightInd w:val="0"/>
        <w:snapToGrid w:val="0"/>
        <w:spacing w:line="360" w:lineRule="auto"/>
        <w:ind w:firstLine="480" w:firstLineChars="200"/>
        <w:rPr>
          <w:rFonts w:hAnsi="宋体"/>
          <w:kern w:val="0"/>
          <w:sz w:val="24"/>
        </w:rPr>
      </w:pPr>
      <w:r>
        <w:rPr>
          <w:rFonts w:hint="eastAsia" w:hAnsi="宋体"/>
          <w:kern w:val="0"/>
          <w:sz w:val="24"/>
        </w:rPr>
        <w:t>办公地址：上海市浦东新区世纪大道8号国金中心二期21-22楼</w:t>
      </w:r>
    </w:p>
    <w:p>
      <w:pPr>
        <w:adjustRightInd w:val="0"/>
        <w:snapToGrid w:val="0"/>
        <w:spacing w:line="360" w:lineRule="auto"/>
        <w:ind w:firstLine="480" w:firstLineChars="200"/>
        <w:rPr>
          <w:rFonts w:hAnsi="宋体"/>
          <w:kern w:val="0"/>
          <w:sz w:val="24"/>
        </w:rPr>
      </w:pPr>
      <w:r>
        <w:rPr>
          <w:rFonts w:hint="eastAsia" w:hAnsi="宋体"/>
          <w:kern w:val="0"/>
          <w:sz w:val="24"/>
        </w:rPr>
        <w:t>法定代表人：袁庆伟（代任）</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电话：（021）61055461</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传真：（021）61055064</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联系人：陈方强</w:t>
      </w:r>
    </w:p>
    <w:p>
      <w:pPr>
        <w:widowControl/>
        <w:adjustRightInd w:val="0"/>
        <w:snapToGrid w:val="0"/>
        <w:spacing w:line="360" w:lineRule="auto"/>
        <w:ind w:firstLine="482" w:firstLineChars="200"/>
        <w:outlineLvl w:val="1"/>
        <w:rPr>
          <w:b/>
          <w:kern w:val="0"/>
          <w:sz w:val="24"/>
        </w:rPr>
      </w:pPr>
      <w:r>
        <w:rPr>
          <w:rFonts w:hAnsi="宋体"/>
          <w:b/>
          <w:kern w:val="0"/>
          <w:sz w:val="24"/>
        </w:rPr>
        <w:t>（三）出具法律意见书的律师事务所</w:t>
      </w:r>
    </w:p>
    <w:p>
      <w:pPr>
        <w:widowControl/>
        <w:adjustRightInd w:val="0"/>
        <w:snapToGrid w:val="0"/>
        <w:spacing w:line="360" w:lineRule="auto"/>
        <w:ind w:firstLine="480" w:firstLineChars="200"/>
        <w:rPr>
          <w:kern w:val="0"/>
          <w:sz w:val="24"/>
        </w:rPr>
      </w:pPr>
      <w:r>
        <w:rPr>
          <w:rFonts w:hAnsi="宋体"/>
          <w:kern w:val="0"/>
          <w:sz w:val="24"/>
        </w:rPr>
        <w:t>名称：上海市通力律师事务所</w:t>
      </w:r>
    </w:p>
    <w:p>
      <w:pPr>
        <w:widowControl/>
        <w:adjustRightInd w:val="0"/>
        <w:snapToGrid w:val="0"/>
        <w:spacing w:line="360" w:lineRule="auto"/>
        <w:ind w:firstLine="480" w:firstLineChars="20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pPr>
        <w:widowControl/>
        <w:adjustRightInd w:val="0"/>
        <w:snapToGrid w:val="0"/>
        <w:spacing w:line="360" w:lineRule="auto"/>
        <w:ind w:firstLine="480" w:firstLineChars="20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w:t>
      </w:r>
      <w:r>
        <w:rPr>
          <w:rFonts w:hint="eastAsia"/>
          <w:kern w:val="0"/>
          <w:sz w:val="24"/>
        </w:rPr>
        <w:t>8-20</w:t>
      </w:r>
      <w:r>
        <w:rPr>
          <w:rFonts w:hAnsi="宋体"/>
          <w:kern w:val="0"/>
          <w:sz w:val="24"/>
        </w:rPr>
        <w:t>楼</w:t>
      </w:r>
    </w:p>
    <w:p>
      <w:pPr>
        <w:widowControl/>
        <w:adjustRightInd w:val="0"/>
        <w:snapToGrid w:val="0"/>
        <w:spacing w:line="360" w:lineRule="auto"/>
        <w:ind w:firstLine="480" w:firstLineChars="200"/>
        <w:rPr>
          <w:kern w:val="0"/>
          <w:sz w:val="24"/>
        </w:rPr>
      </w:pPr>
      <w:r>
        <w:rPr>
          <w:rFonts w:hAnsi="宋体"/>
          <w:kern w:val="0"/>
          <w:sz w:val="24"/>
        </w:rPr>
        <w:t>负责人：</w:t>
      </w:r>
      <w:r>
        <w:rPr>
          <w:rFonts w:hint="eastAsia" w:hAnsi="宋体"/>
          <w:kern w:val="0"/>
          <w:sz w:val="24"/>
        </w:rPr>
        <w:t>陈臻</w:t>
      </w:r>
    </w:p>
    <w:p>
      <w:pPr>
        <w:widowControl/>
        <w:adjustRightInd w:val="0"/>
        <w:snapToGrid w:val="0"/>
        <w:spacing w:line="360" w:lineRule="auto"/>
        <w:ind w:firstLine="480" w:firstLineChars="200"/>
        <w:rPr>
          <w:kern w:val="0"/>
          <w:sz w:val="24"/>
        </w:rPr>
      </w:pPr>
      <w:r>
        <w:rPr>
          <w:rFonts w:hAnsi="宋体"/>
          <w:kern w:val="0"/>
          <w:sz w:val="24"/>
        </w:rPr>
        <w:t>电话：（</w:t>
      </w:r>
      <w:r>
        <w:rPr>
          <w:kern w:val="0"/>
          <w:sz w:val="24"/>
        </w:rPr>
        <w:t>021</w:t>
      </w:r>
      <w:r>
        <w:rPr>
          <w:rFonts w:hAnsi="宋体"/>
          <w:kern w:val="0"/>
          <w:sz w:val="24"/>
        </w:rPr>
        <w:t>）</w:t>
      </w:r>
      <w:r>
        <w:rPr>
          <w:kern w:val="0"/>
          <w:sz w:val="24"/>
        </w:rPr>
        <w:t>31358666</w:t>
      </w:r>
    </w:p>
    <w:p>
      <w:pPr>
        <w:widowControl/>
        <w:adjustRightInd w:val="0"/>
        <w:snapToGrid w:val="0"/>
        <w:spacing w:line="360" w:lineRule="auto"/>
        <w:ind w:firstLine="480" w:firstLineChars="200"/>
        <w:rPr>
          <w:kern w:val="0"/>
          <w:sz w:val="24"/>
        </w:rPr>
      </w:pPr>
      <w:r>
        <w:rPr>
          <w:rFonts w:hAnsi="宋体"/>
          <w:kern w:val="0"/>
          <w:sz w:val="24"/>
        </w:rPr>
        <w:t>传真：（</w:t>
      </w:r>
      <w:r>
        <w:rPr>
          <w:kern w:val="0"/>
          <w:sz w:val="24"/>
        </w:rPr>
        <w:t>021</w:t>
      </w:r>
      <w:r>
        <w:rPr>
          <w:rFonts w:hAnsi="宋体"/>
          <w:kern w:val="0"/>
          <w:sz w:val="24"/>
        </w:rPr>
        <w:t>）</w:t>
      </w:r>
      <w:r>
        <w:rPr>
          <w:kern w:val="0"/>
          <w:sz w:val="24"/>
        </w:rPr>
        <w:t>31358600</w:t>
      </w:r>
    </w:p>
    <w:p>
      <w:pPr>
        <w:widowControl/>
        <w:adjustRightInd w:val="0"/>
        <w:snapToGrid w:val="0"/>
        <w:spacing w:line="360" w:lineRule="auto"/>
        <w:ind w:firstLine="480" w:firstLineChars="200"/>
        <w:rPr>
          <w:rFonts w:hAnsi="宋体"/>
          <w:kern w:val="0"/>
          <w:sz w:val="24"/>
        </w:rPr>
      </w:pPr>
      <w:r>
        <w:rPr>
          <w:rFonts w:hint="eastAsia" w:hAnsi="宋体"/>
          <w:kern w:val="0"/>
          <w:sz w:val="24"/>
        </w:rPr>
        <w:t>联系人：丁媛</w:t>
      </w:r>
    </w:p>
    <w:p>
      <w:pPr>
        <w:widowControl/>
        <w:adjustRightInd w:val="0"/>
        <w:snapToGrid w:val="0"/>
        <w:spacing w:line="360" w:lineRule="auto"/>
        <w:ind w:firstLine="480" w:firstLineChars="200"/>
        <w:rPr>
          <w:rFonts w:hAnsi="宋体"/>
          <w:kern w:val="0"/>
          <w:sz w:val="24"/>
        </w:rPr>
      </w:pPr>
      <w:r>
        <w:rPr>
          <w:rFonts w:hAnsi="宋体"/>
          <w:kern w:val="0"/>
          <w:sz w:val="24"/>
        </w:rPr>
        <w:t>经办律师：</w:t>
      </w:r>
      <w:r>
        <w:rPr>
          <w:rFonts w:hint="eastAsia" w:hAnsi="宋体"/>
          <w:kern w:val="0"/>
          <w:sz w:val="24"/>
        </w:rPr>
        <w:t>丁媛、李晓露</w:t>
      </w:r>
    </w:p>
    <w:p>
      <w:pPr>
        <w:widowControl/>
        <w:adjustRightInd w:val="0"/>
        <w:snapToGrid w:val="0"/>
        <w:spacing w:line="360" w:lineRule="auto"/>
        <w:ind w:firstLine="482" w:firstLineChars="200"/>
        <w:outlineLvl w:val="1"/>
        <w:rPr>
          <w:b/>
          <w:kern w:val="0"/>
          <w:sz w:val="24"/>
        </w:rPr>
      </w:pPr>
      <w:r>
        <w:rPr>
          <w:rFonts w:hAnsi="宋体"/>
          <w:b/>
          <w:kern w:val="0"/>
          <w:sz w:val="24"/>
        </w:rPr>
        <w:t>（四）审计基金财产的会计师事务所</w:t>
      </w:r>
    </w:p>
    <w:p>
      <w:pPr>
        <w:widowControl/>
        <w:adjustRightInd w:val="0"/>
        <w:snapToGrid w:val="0"/>
        <w:spacing w:line="360" w:lineRule="auto"/>
        <w:ind w:firstLine="480" w:firstLineChars="200"/>
        <w:rPr>
          <w:rFonts w:hAnsi="宋体"/>
          <w:kern w:val="0"/>
          <w:sz w:val="24"/>
        </w:rPr>
      </w:pPr>
      <w:r>
        <w:rPr>
          <w:rFonts w:hint="eastAsia" w:hAnsi="宋体"/>
          <w:kern w:val="0"/>
          <w:sz w:val="24"/>
        </w:rPr>
        <w:t>名称：容诚会计师事务所（特殊普通合伙）</w:t>
      </w:r>
    </w:p>
    <w:p>
      <w:pPr>
        <w:widowControl/>
        <w:adjustRightInd w:val="0"/>
        <w:snapToGrid w:val="0"/>
        <w:spacing w:line="360" w:lineRule="auto"/>
        <w:ind w:firstLine="480" w:firstLineChars="200"/>
        <w:rPr>
          <w:rFonts w:hAnsi="宋体"/>
          <w:kern w:val="0"/>
          <w:sz w:val="24"/>
        </w:rPr>
      </w:pPr>
      <w:r>
        <w:rPr>
          <w:rFonts w:hint="eastAsia" w:hAnsi="宋体"/>
          <w:kern w:val="0"/>
          <w:sz w:val="24"/>
        </w:rPr>
        <w:t>注册地址：北京市西城区阜成门外大街22号1幢外经贸大厦901-22至901-26</w:t>
      </w:r>
    </w:p>
    <w:p>
      <w:pPr>
        <w:widowControl/>
        <w:adjustRightInd w:val="0"/>
        <w:snapToGrid w:val="0"/>
        <w:spacing w:line="360" w:lineRule="auto"/>
        <w:ind w:firstLine="480" w:firstLineChars="200"/>
        <w:rPr>
          <w:rFonts w:hAnsi="宋体"/>
          <w:kern w:val="0"/>
          <w:sz w:val="24"/>
        </w:rPr>
      </w:pPr>
      <w:r>
        <w:rPr>
          <w:rFonts w:hint="eastAsia" w:hAnsi="宋体"/>
          <w:kern w:val="0"/>
          <w:sz w:val="24"/>
        </w:rPr>
        <w:t>办公地址：北京市西城区阜成门外大街22号1幢外经贸大厦901-22至901-26</w:t>
      </w:r>
    </w:p>
    <w:p>
      <w:pPr>
        <w:widowControl/>
        <w:adjustRightInd w:val="0"/>
        <w:snapToGrid w:val="0"/>
        <w:spacing w:line="360" w:lineRule="auto"/>
        <w:ind w:firstLine="480" w:firstLineChars="200"/>
        <w:rPr>
          <w:rFonts w:hAnsi="宋体"/>
          <w:kern w:val="0"/>
          <w:sz w:val="24"/>
        </w:rPr>
      </w:pPr>
      <w:r>
        <w:rPr>
          <w:rFonts w:hint="eastAsia" w:hAnsi="宋体"/>
          <w:kern w:val="0"/>
          <w:sz w:val="24"/>
        </w:rPr>
        <w:t>电话：010-66001391</w:t>
      </w:r>
    </w:p>
    <w:p>
      <w:pPr>
        <w:widowControl/>
        <w:adjustRightInd w:val="0"/>
        <w:snapToGrid w:val="0"/>
        <w:spacing w:line="360" w:lineRule="auto"/>
        <w:ind w:firstLine="480" w:firstLineChars="200"/>
        <w:rPr>
          <w:rFonts w:hAnsi="宋体"/>
          <w:kern w:val="0"/>
          <w:sz w:val="24"/>
        </w:rPr>
      </w:pPr>
      <w:r>
        <w:rPr>
          <w:rFonts w:hint="eastAsia" w:hAnsi="宋体"/>
          <w:kern w:val="0"/>
          <w:sz w:val="24"/>
        </w:rPr>
        <w:t>传真：010-66001391</w:t>
      </w:r>
    </w:p>
    <w:p>
      <w:pPr>
        <w:widowControl/>
        <w:adjustRightInd w:val="0"/>
        <w:snapToGrid w:val="0"/>
        <w:spacing w:line="360" w:lineRule="auto"/>
        <w:ind w:firstLine="480" w:firstLineChars="200"/>
        <w:rPr>
          <w:rFonts w:hAnsi="宋体"/>
          <w:kern w:val="0"/>
          <w:sz w:val="24"/>
        </w:rPr>
      </w:pPr>
      <w:r>
        <w:rPr>
          <w:rFonts w:hint="eastAsia" w:hAnsi="宋体"/>
          <w:kern w:val="0"/>
          <w:sz w:val="24"/>
        </w:rPr>
        <w:t>执行事务合伙人：肖厚发、刘维</w:t>
      </w:r>
    </w:p>
    <w:p>
      <w:pPr>
        <w:widowControl/>
        <w:adjustRightInd w:val="0"/>
        <w:snapToGrid w:val="0"/>
        <w:spacing w:line="360" w:lineRule="auto"/>
        <w:ind w:firstLine="480" w:firstLineChars="200"/>
        <w:rPr>
          <w:rFonts w:hAnsi="宋体"/>
          <w:kern w:val="0"/>
          <w:sz w:val="24"/>
        </w:rPr>
      </w:pPr>
      <w:r>
        <w:rPr>
          <w:rFonts w:hint="eastAsia" w:hAnsi="宋体"/>
          <w:kern w:val="0"/>
          <w:sz w:val="24"/>
        </w:rPr>
        <w:t>经办会计师：沈兆杰、李隐煜</w:t>
      </w:r>
    </w:p>
    <w:p>
      <w:pPr>
        <w:adjustRightInd w:val="0"/>
        <w:snapToGrid w:val="0"/>
        <w:spacing w:line="360" w:lineRule="auto"/>
        <w:ind w:firstLine="480" w:firstLineChars="200"/>
        <w:rPr>
          <w:rFonts w:hint="eastAsia" w:hAnsi="宋体"/>
          <w:kern w:val="0"/>
          <w:sz w:val="24"/>
        </w:rPr>
      </w:pPr>
      <w:r>
        <w:rPr>
          <w:rFonts w:hint="eastAsia" w:hAnsi="宋体"/>
          <w:kern w:val="0"/>
          <w:sz w:val="24"/>
        </w:rPr>
        <w:t>联系人：李隐煜</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32" w:name="_Toc48122020"/>
      <w:bookmarkStart w:id="133" w:name="_Toc18304"/>
      <w:bookmarkStart w:id="134" w:name="_Toc20604"/>
      <w:bookmarkStart w:id="135" w:name="_Toc541"/>
      <w:r>
        <w:rPr>
          <w:rFonts w:hint="eastAsia" w:ascii="宋体" w:hAnsi="宋体"/>
          <w:b/>
          <w:kern w:val="0"/>
          <w:sz w:val="30"/>
        </w:rPr>
        <w:t>二十、基金合同内容摘要</w:t>
      </w:r>
      <w:bookmarkEnd w:id="132"/>
      <w:bookmarkEnd w:id="133"/>
      <w:bookmarkEnd w:id="134"/>
      <w:bookmarkEnd w:id="135"/>
    </w:p>
    <w:p>
      <w:pPr>
        <w:adjustRightInd w:val="0"/>
        <w:snapToGrid w:val="0"/>
        <w:spacing w:line="360" w:lineRule="auto"/>
        <w:ind w:firstLine="482"/>
        <w:outlineLvl w:val="1"/>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pPr>
        <w:adjustRightInd w:val="0"/>
        <w:snapToGrid w:val="0"/>
        <w:spacing w:line="360" w:lineRule="auto"/>
        <w:ind w:firstLine="480" w:firstLineChars="200"/>
        <w:rPr>
          <w:bCs/>
          <w:sz w:val="24"/>
        </w:rPr>
      </w:pPr>
      <w:r>
        <w:rPr>
          <w:bCs/>
          <w:sz w:val="24"/>
        </w:rPr>
        <w:t>1、基金管理人的权利与义务</w:t>
      </w:r>
    </w:p>
    <w:p>
      <w:pPr>
        <w:adjustRightInd w:val="0"/>
        <w:snapToGrid w:val="0"/>
        <w:spacing w:line="360" w:lineRule="auto"/>
        <w:ind w:firstLine="480" w:firstLineChars="200"/>
        <w:rPr>
          <w:bCs/>
          <w:sz w:val="24"/>
        </w:rPr>
      </w:pPr>
      <w:r>
        <w:rPr>
          <w:bCs/>
          <w:sz w:val="24"/>
        </w:rPr>
        <w:t>根据《基金法》、《运作办法》及其他有关规定，基金管理人的权利包括但不限于：</w:t>
      </w:r>
    </w:p>
    <w:p>
      <w:pPr>
        <w:adjustRightInd w:val="0"/>
        <w:snapToGrid w:val="0"/>
        <w:spacing w:line="360" w:lineRule="auto"/>
        <w:ind w:firstLine="480" w:firstLineChars="200"/>
        <w:rPr>
          <w:bCs/>
          <w:sz w:val="24"/>
        </w:rPr>
      </w:pPr>
      <w:r>
        <w:rPr>
          <w:bCs/>
          <w:sz w:val="24"/>
        </w:rPr>
        <w:t>（1）依法募集</w:t>
      </w:r>
      <w:r>
        <w:rPr>
          <w:rFonts w:hint="eastAsia"/>
          <w:bCs/>
          <w:sz w:val="24"/>
        </w:rPr>
        <w:t>资</w:t>
      </w:r>
      <w:r>
        <w:rPr>
          <w:bCs/>
          <w:sz w:val="24"/>
        </w:rPr>
        <w:t>金；</w:t>
      </w:r>
    </w:p>
    <w:p>
      <w:pPr>
        <w:adjustRightInd w:val="0"/>
        <w:snapToGrid w:val="0"/>
        <w:spacing w:line="360" w:lineRule="auto"/>
        <w:ind w:firstLine="480" w:firstLineChars="200"/>
        <w:rPr>
          <w:bCs/>
          <w:sz w:val="24"/>
        </w:rPr>
      </w:pPr>
      <w:r>
        <w:rPr>
          <w:bCs/>
          <w:sz w:val="24"/>
        </w:rPr>
        <w:t>（2）自《基金合同》生效之日起，根据法律法规和《基金合同》独立运用并管理基金财产；</w:t>
      </w:r>
    </w:p>
    <w:p>
      <w:pPr>
        <w:adjustRightInd w:val="0"/>
        <w:snapToGrid w:val="0"/>
        <w:spacing w:line="360" w:lineRule="auto"/>
        <w:ind w:firstLine="480" w:firstLineChars="200"/>
        <w:rPr>
          <w:bCs/>
          <w:sz w:val="24"/>
        </w:rPr>
      </w:pPr>
      <w:r>
        <w:rPr>
          <w:bCs/>
          <w:sz w:val="24"/>
        </w:rPr>
        <w:t>（3）依照《基金合同》收取基金管理费以及法律法规规定或中国证监会批准的其他费用；</w:t>
      </w:r>
    </w:p>
    <w:p>
      <w:pPr>
        <w:adjustRightInd w:val="0"/>
        <w:snapToGrid w:val="0"/>
        <w:spacing w:line="360" w:lineRule="auto"/>
        <w:ind w:firstLine="480" w:firstLineChars="200"/>
        <w:rPr>
          <w:bCs/>
          <w:sz w:val="24"/>
        </w:rPr>
      </w:pPr>
      <w:r>
        <w:rPr>
          <w:bCs/>
          <w:sz w:val="24"/>
        </w:rPr>
        <w:t>（4）销售基金份额；</w:t>
      </w:r>
    </w:p>
    <w:p>
      <w:pPr>
        <w:adjustRightInd w:val="0"/>
        <w:snapToGrid w:val="0"/>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pPr>
        <w:adjustRightInd w:val="0"/>
        <w:snapToGrid w:val="0"/>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pPr>
        <w:adjustRightInd w:val="0"/>
        <w:snapToGrid w:val="0"/>
        <w:spacing w:line="360" w:lineRule="auto"/>
        <w:ind w:firstLine="480" w:firstLineChars="200"/>
        <w:rPr>
          <w:bCs/>
          <w:sz w:val="24"/>
        </w:rPr>
      </w:pPr>
      <w:r>
        <w:rPr>
          <w:bCs/>
          <w:sz w:val="24"/>
        </w:rPr>
        <w:t>（7）在基金托管人更换时，提名新的基金托管人；</w:t>
      </w:r>
    </w:p>
    <w:p>
      <w:pPr>
        <w:adjustRightInd w:val="0"/>
        <w:snapToGrid w:val="0"/>
        <w:spacing w:line="360" w:lineRule="auto"/>
        <w:ind w:firstLine="480" w:firstLineChars="200"/>
        <w:rPr>
          <w:bCs/>
          <w:sz w:val="24"/>
        </w:rPr>
      </w:pPr>
      <w:r>
        <w:rPr>
          <w:bCs/>
          <w:sz w:val="24"/>
        </w:rPr>
        <w:t>（8）选择、更换基金销售机构，对基金销售机构的相关行为进行监督和处理；</w:t>
      </w:r>
    </w:p>
    <w:p>
      <w:pPr>
        <w:adjustRightInd w:val="0"/>
        <w:snapToGrid w:val="0"/>
        <w:spacing w:line="360" w:lineRule="auto"/>
        <w:ind w:firstLine="480" w:firstLineChars="200"/>
        <w:rPr>
          <w:bCs/>
          <w:sz w:val="24"/>
        </w:rPr>
      </w:pPr>
      <w:r>
        <w:rPr>
          <w:bCs/>
          <w:sz w:val="24"/>
        </w:rPr>
        <w:t>（9）担任或委托其他符合条件的机构担任基金登记机构办理基金登记业务并获得《基金合同》规定的费用；</w:t>
      </w:r>
    </w:p>
    <w:p>
      <w:pPr>
        <w:adjustRightInd w:val="0"/>
        <w:snapToGrid w:val="0"/>
        <w:spacing w:line="360" w:lineRule="auto"/>
        <w:ind w:firstLine="480" w:firstLineChars="200"/>
        <w:rPr>
          <w:bCs/>
          <w:sz w:val="24"/>
        </w:rPr>
      </w:pPr>
      <w:r>
        <w:rPr>
          <w:bCs/>
          <w:sz w:val="24"/>
        </w:rPr>
        <w:t>（10）依据《基金合同》及有关法律规定决定基金收益的分配方案；</w:t>
      </w:r>
    </w:p>
    <w:p>
      <w:pPr>
        <w:adjustRightInd w:val="0"/>
        <w:snapToGrid w:val="0"/>
        <w:spacing w:line="360" w:lineRule="auto"/>
        <w:ind w:firstLine="480" w:firstLineChars="200"/>
        <w:rPr>
          <w:bCs/>
          <w:sz w:val="24"/>
        </w:rPr>
      </w:pPr>
      <w:r>
        <w:rPr>
          <w:bCs/>
          <w:sz w:val="24"/>
        </w:rPr>
        <w:t>（11）在《基金合同》约定的范围内，拒绝或暂停受理申购与赎回申请；</w:t>
      </w:r>
    </w:p>
    <w:p>
      <w:pPr>
        <w:adjustRightInd w:val="0"/>
        <w:snapToGrid w:val="0"/>
        <w:spacing w:line="360" w:lineRule="auto"/>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pPr>
        <w:adjustRightInd w:val="0"/>
        <w:snapToGrid w:val="0"/>
        <w:spacing w:line="360" w:lineRule="auto"/>
        <w:ind w:firstLine="480" w:firstLineChars="200"/>
        <w:rPr>
          <w:bCs/>
          <w:sz w:val="24"/>
        </w:rPr>
      </w:pPr>
      <w:r>
        <w:rPr>
          <w:bCs/>
          <w:sz w:val="24"/>
        </w:rPr>
        <w:t>（13）在法律法规允许的前提下，为基金的利益依法为基金进行融资；</w:t>
      </w:r>
    </w:p>
    <w:p>
      <w:pPr>
        <w:adjustRightInd w:val="0"/>
        <w:snapToGrid w:val="0"/>
        <w:spacing w:line="360" w:lineRule="auto"/>
        <w:ind w:firstLine="480" w:firstLineChars="200"/>
        <w:rPr>
          <w:bCs/>
          <w:sz w:val="24"/>
        </w:rPr>
      </w:pPr>
      <w:r>
        <w:rPr>
          <w:bCs/>
          <w:sz w:val="24"/>
        </w:rPr>
        <w:t>（14）以基金管理人的名义，代表基金份额持有人的利益行使诉讼权利或者实施其他法律行为；</w:t>
      </w:r>
      <w:r>
        <w:rPr>
          <w:bCs/>
          <w:sz w:val="24"/>
        </w:rPr>
        <w:tab/>
      </w:r>
    </w:p>
    <w:p>
      <w:pPr>
        <w:adjustRightInd w:val="0"/>
        <w:snapToGrid w:val="0"/>
        <w:spacing w:line="360" w:lineRule="auto"/>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pPr>
        <w:adjustRightInd w:val="0"/>
        <w:snapToGrid w:val="0"/>
        <w:spacing w:line="360" w:lineRule="auto"/>
        <w:ind w:firstLine="480" w:firstLineChars="200"/>
        <w:rPr>
          <w:bCs/>
          <w:sz w:val="24"/>
        </w:rPr>
      </w:pPr>
      <w:r>
        <w:rPr>
          <w:rFonts w:hint="eastAsia"/>
          <w:bCs/>
          <w:sz w:val="24"/>
        </w:rPr>
        <w:t>（16）在符合有关法律、法规的前提下，制定和调整有关基金认购、申购、赎回、转换等的业务规则，开通人民币之外的其他销售币种基金份额的申购、赎回等业务；</w:t>
      </w:r>
    </w:p>
    <w:p>
      <w:pPr>
        <w:adjustRightInd w:val="0"/>
        <w:snapToGrid w:val="0"/>
        <w:spacing w:line="360" w:lineRule="auto"/>
        <w:ind w:firstLine="480" w:firstLineChars="200"/>
        <w:rPr>
          <w:bCs/>
          <w:sz w:val="24"/>
        </w:rPr>
      </w:pPr>
      <w:r>
        <w:rPr>
          <w:rFonts w:hint="eastAsia"/>
          <w:bCs/>
          <w:sz w:val="24"/>
        </w:rPr>
        <w:t>（17）选择、增加、更换或撤销境外投资顾问（如有）；</w:t>
      </w:r>
    </w:p>
    <w:p>
      <w:pPr>
        <w:adjustRightInd w:val="0"/>
        <w:snapToGrid w:val="0"/>
        <w:spacing w:line="360" w:lineRule="auto"/>
        <w:ind w:firstLine="480" w:firstLineChars="200"/>
        <w:rPr>
          <w:bCs/>
          <w:sz w:val="24"/>
        </w:rPr>
      </w:pPr>
      <w:r>
        <w:rPr>
          <w:rFonts w:hint="eastAsia"/>
          <w:bCs/>
          <w:sz w:val="24"/>
        </w:rPr>
        <w:t>（18）法律法规及中国证监会规定的和《基金合同》约定的其他权利。</w:t>
      </w:r>
    </w:p>
    <w:p>
      <w:pPr>
        <w:adjustRightInd w:val="0"/>
        <w:snapToGrid w:val="0"/>
        <w:spacing w:line="360" w:lineRule="auto"/>
        <w:ind w:firstLine="480" w:firstLineChars="200"/>
        <w:rPr>
          <w:bCs/>
          <w:sz w:val="24"/>
        </w:rPr>
      </w:pPr>
      <w:r>
        <w:rPr>
          <w:bCs/>
          <w:sz w:val="24"/>
        </w:rPr>
        <w:t>根据《基金法》、《运作办法》及其他有关规定，基金管理人的义务包括但不限于：</w:t>
      </w:r>
    </w:p>
    <w:p>
      <w:pPr>
        <w:adjustRightInd w:val="0"/>
        <w:snapToGrid w:val="0"/>
        <w:spacing w:line="360" w:lineRule="auto"/>
        <w:ind w:firstLine="480" w:firstLineChars="200"/>
        <w:rPr>
          <w:bCs/>
          <w:sz w:val="24"/>
        </w:rPr>
      </w:pPr>
      <w:bookmarkStart w:id="136" w:name="_Hlt88897298"/>
      <w:bookmarkEnd w:id="136"/>
      <w:r>
        <w:rPr>
          <w:rFonts w:hint="eastAsia"/>
          <w:bCs/>
          <w:sz w:val="24"/>
        </w:rPr>
        <w:t>（1）依法募集资金，办理或者委托经中国证监会认定的其他机构办理基金份额的发售、申购、赎回和登记事宜；</w:t>
      </w:r>
    </w:p>
    <w:p>
      <w:pPr>
        <w:adjustRightInd w:val="0"/>
        <w:snapToGrid w:val="0"/>
        <w:spacing w:line="360" w:lineRule="auto"/>
        <w:ind w:firstLine="480" w:firstLineChars="200"/>
        <w:rPr>
          <w:bCs/>
          <w:sz w:val="24"/>
        </w:rPr>
      </w:pPr>
      <w:r>
        <w:rPr>
          <w:rFonts w:hint="eastAsia"/>
          <w:bCs/>
          <w:sz w:val="24"/>
        </w:rPr>
        <w:t>（2）办理基金备案手续；</w:t>
      </w:r>
    </w:p>
    <w:p>
      <w:pPr>
        <w:adjustRightInd w:val="0"/>
        <w:snapToGrid w:val="0"/>
        <w:spacing w:line="360" w:lineRule="auto"/>
        <w:ind w:firstLine="480" w:firstLineChars="200"/>
        <w:rPr>
          <w:bCs/>
          <w:sz w:val="24"/>
        </w:rPr>
      </w:pPr>
      <w:r>
        <w:rPr>
          <w:rFonts w:hint="eastAsia"/>
          <w:bCs/>
          <w:sz w:val="24"/>
        </w:rPr>
        <w:t>（3）自《基金合同》生效之日起，以诚实信用、谨慎勤勉的原则管理和运用基金财产；</w:t>
      </w:r>
    </w:p>
    <w:p>
      <w:pPr>
        <w:adjustRightInd w:val="0"/>
        <w:snapToGrid w:val="0"/>
        <w:spacing w:line="360" w:lineRule="auto"/>
        <w:ind w:firstLine="480" w:firstLineChars="200"/>
        <w:rPr>
          <w:bCs/>
          <w:sz w:val="24"/>
        </w:rPr>
      </w:pPr>
      <w:r>
        <w:rPr>
          <w:rFonts w:hint="eastAsia"/>
          <w:bCs/>
          <w:sz w:val="24"/>
        </w:rPr>
        <w:t>（4）配备足够的具有专业资格的人员进行基金投资分析、决策，以专业化的经营方式管理和运作基金财产；</w:t>
      </w:r>
    </w:p>
    <w:p>
      <w:pPr>
        <w:adjustRightInd w:val="0"/>
        <w:snapToGrid w:val="0"/>
        <w:spacing w:line="360" w:lineRule="auto"/>
        <w:ind w:firstLine="480" w:firstLineChars="200"/>
        <w:rPr>
          <w:bCs/>
          <w:sz w:val="24"/>
        </w:rPr>
      </w:pPr>
      <w:r>
        <w:rPr>
          <w:rFonts w:hint="eastAsia"/>
          <w:bCs/>
          <w:sz w:val="24"/>
        </w:rPr>
        <w:t>（5）建立健全内部风险控制、监察与稽核、财务管理及人事管理等制度，保证所管理的基金财产和基金管理人的财产相互独立，对所管理的不同基金分别管理，分别记账，进行证券投资；</w:t>
      </w:r>
    </w:p>
    <w:p>
      <w:pPr>
        <w:adjustRightInd w:val="0"/>
        <w:snapToGrid w:val="0"/>
        <w:spacing w:line="360" w:lineRule="auto"/>
        <w:ind w:firstLine="480" w:firstLineChars="200"/>
        <w:rPr>
          <w:bCs/>
          <w:sz w:val="24"/>
        </w:rPr>
      </w:pPr>
      <w:r>
        <w:rPr>
          <w:rFonts w:hint="eastAsia"/>
          <w:bCs/>
          <w:sz w:val="24"/>
        </w:rPr>
        <w:t>（6）除依据《基金法》、《基金合同》及其他有关规定外，不得利用基金财产为自己及任何第三人谋取利益，不得委托第三人运作基金财产；</w:t>
      </w:r>
    </w:p>
    <w:p>
      <w:pPr>
        <w:adjustRightInd w:val="0"/>
        <w:snapToGrid w:val="0"/>
        <w:spacing w:line="360" w:lineRule="auto"/>
        <w:ind w:firstLine="480" w:firstLineChars="200"/>
        <w:rPr>
          <w:bCs/>
          <w:sz w:val="24"/>
        </w:rPr>
      </w:pPr>
      <w:r>
        <w:rPr>
          <w:rFonts w:hint="eastAsia"/>
          <w:bCs/>
          <w:sz w:val="24"/>
        </w:rPr>
        <w:t>（7）依法接受基金托管人的监督；</w:t>
      </w:r>
    </w:p>
    <w:p>
      <w:pPr>
        <w:adjustRightInd w:val="0"/>
        <w:snapToGrid w:val="0"/>
        <w:spacing w:line="360" w:lineRule="auto"/>
        <w:ind w:firstLine="480" w:firstLineChars="200"/>
        <w:rPr>
          <w:bCs/>
          <w:sz w:val="24"/>
        </w:rPr>
      </w:pPr>
      <w:r>
        <w:rPr>
          <w:rFonts w:hint="eastAsia"/>
          <w:bCs/>
          <w:sz w:val="24"/>
        </w:rPr>
        <w:t>（8）采取适当合理的措施使计算基金份额认购、申购、赎回和注销价格的方法符合《基金合同》等法律文件的规定，按有关规定计算并公告基金净值信息，确定基金份额申购、赎回的价格；</w:t>
      </w:r>
    </w:p>
    <w:p>
      <w:pPr>
        <w:adjustRightInd w:val="0"/>
        <w:snapToGrid w:val="0"/>
        <w:spacing w:line="360" w:lineRule="auto"/>
        <w:ind w:firstLine="480" w:firstLineChars="200"/>
        <w:rPr>
          <w:bCs/>
          <w:sz w:val="24"/>
        </w:rPr>
      </w:pPr>
      <w:r>
        <w:rPr>
          <w:rFonts w:hint="eastAsia"/>
          <w:bCs/>
          <w:sz w:val="24"/>
        </w:rPr>
        <w:t>（9）进行基金会计核算并编制基金财务会计报告；</w:t>
      </w:r>
    </w:p>
    <w:p>
      <w:pPr>
        <w:adjustRightInd w:val="0"/>
        <w:snapToGrid w:val="0"/>
        <w:spacing w:line="360" w:lineRule="auto"/>
        <w:ind w:firstLine="480" w:firstLineChars="200"/>
        <w:rPr>
          <w:bCs/>
          <w:sz w:val="24"/>
        </w:rPr>
      </w:pPr>
      <w:r>
        <w:rPr>
          <w:rFonts w:hint="eastAsia"/>
          <w:bCs/>
          <w:sz w:val="24"/>
        </w:rPr>
        <w:t>（10）编制季度报告、中期报告和年度报告；</w:t>
      </w:r>
    </w:p>
    <w:p>
      <w:pPr>
        <w:adjustRightInd w:val="0"/>
        <w:snapToGrid w:val="0"/>
        <w:spacing w:line="360" w:lineRule="auto"/>
        <w:ind w:firstLine="480" w:firstLineChars="200"/>
        <w:rPr>
          <w:bCs/>
          <w:sz w:val="24"/>
        </w:rPr>
      </w:pPr>
      <w:r>
        <w:rPr>
          <w:rFonts w:hint="eastAsia"/>
          <w:bCs/>
          <w:sz w:val="24"/>
        </w:rPr>
        <w:t>（11）严格按照《基金法》、《基金合同》及其他有关规定，履行信息披露及报告义务；</w:t>
      </w:r>
    </w:p>
    <w:p>
      <w:pPr>
        <w:adjustRightInd w:val="0"/>
        <w:snapToGrid w:val="0"/>
        <w:spacing w:line="360" w:lineRule="auto"/>
        <w:ind w:firstLine="480" w:firstLineChars="200"/>
        <w:rPr>
          <w:bCs/>
          <w:sz w:val="24"/>
        </w:rPr>
      </w:pPr>
      <w:r>
        <w:rPr>
          <w:rFonts w:hint="eastAsia"/>
          <w:bCs/>
          <w:sz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adjustRightInd w:val="0"/>
        <w:snapToGrid w:val="0"/>
        <w:spacing w:line="360" w:lineRule="auto"/>
        <w:ind w:firstLine="480" w:firstLineChars="200"/>
        <w:rPr>
          <w:bCs/>
          <w:sz w:val="24"/>
        </w:rPr>
      </w:pPr>
      <w:r>
        <w:rPr>
          <w:rFonts w:hint="eastAsia"/>
          <w:bCs/>
          <w:sz w:val="24"/>
        </w:rPr>
        <w:t>（13）按《基金合同》的约定确定基金收益分配方案，及时向基金份额持有人分配基金收益；</w:t>
      </w:r>
    </w:p>
    <w:p>
      <w:pPr>
        <w:adjustRightInd w:val="0"/>
        <w:snapToGrid w:val="0"/>
        <w:spacing w:line="360" w:lineRule="auto"/>
        <w:ind w:firstLine="480" w:firstLineChars="200"/>
        <w:rPr>
          <w:bCs/>
          <w:sz w:val="24"/>
        </w:rPr>
      </w:pPr>
      <w:r>
        <w:rPr>
          <w:rFonts w:hint="eastAsia"/>
          <w:bCs/>
          <w:sz w:val="24"/>
        </w:rPr>
        <w:t>（14）按规定受理申购与赎回申请，及时、足额支付赎回款项；</w:t>
      </w:r>
    </w:p>
    <w:p>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（15）依据《基金法》、《基金合同》及其他有关规定召集基金份额持有人大会或配合基金托管人、基金份额持有人依法召集基金份额持有人大会；</w:t>
      </w:r>
    </w:p>
    <w:p>
      <w:pPr>
        <w:adjustRightInd w:val="0"/>
        <w:snapToGrid w:val="0"/>
        <w:spacing w:line="360" w:lineRule="auto"/>
        <w:ind w:firstLine="480" w:firstLineChars="200"/>
        <w:rPr>
          <w:bCs/>
          <w:sz w:val="24"/>
        </w:rPr>
      </w:pPr>
      <w:r>
        <w:rPr>
          <w:rFonts w:hint="eastAsia"/>
          <w:bCs/>
          <w:sz w:val="24"/>
        </w:rPr>
        <w:t>（16）按规定保存基金财产管理业务活动的会计账册、报表、记录和其他相关资料不低于法律法规规定的最低期限；</w:t>
      </w:r>
    </w:p>
    <w:p>
      <w:pPr>
        <w:adjustRightInd w:val="0"/>
        <w:snapToGrid w:val="0"/>
        <w:spacing w:line="360" w:lineRule="auto"/>
        <w:ind w:firstLine="480" w:firstLineChars="200"/>
        <w:rPr>
          <w:bCs/>
          <w:sz w:val="24"/>
        </w:rPr>
      </w:pPr>
      <w:r>
        <w:rPr>
          <w:rFonts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djustRightInd w:val="0"/>
        <w:snapToGrid w:val="0"/>
        <w:spacing w:line="360" w:lineRule="auto"/>
        <w:ind w:firstLine="480" w:firstLineChars="200"/>
        <w:rPr>
          <w:bCs/>
          <w:sz w:val="24"/>
        </w:rPr>
      </w:pPr>
      <w:r>
        <w:rPr>
          <w:rFonts w:hint="eastAsia"/>
          <w:bCs/>
          <w:sz w:val="24"/>
        </w:rPr>
        <w:t>（18）组织并参加基金财产清算小组，参与基金财产的保管、清理、估价、变现和分配；</w:t>
      </w:r>
    </w:p>
    <w:p>
      <w:pPr>
        <w:adjustRightInd w:val="0"/>
        <w:snapToGrid w:val="0"/>
        <w:spacing w:line="360" w:lineRule="auto"/>
        <w:ind w:firstLine="480" w:firstLineChars="200"/>
        <w:rPr>
          <w:bCs/>
          <w:sz w:val="24"/>
        </w:rPr>
      </w:pPr>
      <w:r>
        <w:rPr>
          <w:rFonts w:hint="eastAsia"/>
          <w:bCs/>
          <w:sz w:val="24"/>
        </w:rPr>
        <w:t>（19）面临解散、依法被撤销或者被依法宣告破产时，及时报告中国证监会，并通知基金托管人；</w:t>
      </w:r>
    </w:p>
    <w:p>
      <w:pPr>
        <w:adjustRightInd w:val="0"/>
        <w:snapToGrid w:val="0"/>
        <w:spacing w:line="360" w:lineRule="auto"/>
        <w:ind w:firstLine="480" w:firstLineChars="200"/>
        <w:rPr>
          <w:bCs/>
          <w:sz w:val="24"/>
        </w:rPr>
      </w:pPr>
      <w:r>
        <w:rPr>
          <w:rFonts w:hint="eastAsia"/>
          <w:bCs/>
          <w:sz w:val="24"/>
        </w:rPr>
        <w:t>（20）因违反《基金合同》导致基金财产的损失或损害基金份额持有人合法权益时，应当承担赔偿责任，其赔偿责任不因其退任而免除；</w:t>
      </w:r>
    </w:p>
    <w:p>
      <w:pPr>
        <w:adjustRightInd w:val="0"/>
        <w:snapToGrid w:val="0"/>
        <w:spacing w:line="360" w:lineRule="auto"/>
        <w:ind w:firstLine="480" w:firstLineChars="200"/>
        <w:rPr>
          <w:bCs/>
          <w:sz w:val="24"/>
        </w:rPr>
      </w:pPr>
      <w:r>
        <w:rPr>
          <w:rFonts w:hint="eastAsia"/>
          <w:bCs/>
          <w:sz w:val="24"/>
        </w:rPr>
        <w:t>（21）监督基金托管人按法律法规和《基金合同》规定履行自己的义务，基金托管人违反《基金合同》造成基金财产损失时，基金管理人应为基金份额持有人利益向基金托管人追偿；</w:t>
      </w:r>
    </w:p>
    <w:p>
      <w:pPr>
        <w:adjustRightInd w:val="0"/>
        <w:snapToGrid w:val="0"/>
        <w:spacing w:line="360" w:lineRule="auto"/>
        <w:ind w:firstLine="480" w:firstLineChars="200"/>
        <w:rPr>
          <w:bCs/>
          <w:sz w:val="24"/>
        </w:rPr>
      </w:pPr>
      <w:r>
        <w:rPr>
          <w:rFonts w:hint="eastAsia"/>
          <w:bCs/>
          <w:sz w:val="24"/>
        </w:rPr>
        <w:t>（22）当基金管理人将其义务委托第三方处理时，应当对第三方处理有关基金事务的行为承担责任；</w:t>
      </w:r>
    </w:p>
    <w:p>
      <w:pPr>
        <w:adjustRightInd w:val="0"/>
        <w:snapToGrid w:val="0"/>
        <w:spacing w:line="360" w:lineRule="auto"/>
        <w:ind w:firstLine="480" w:firstLineChars="200"/>
        <w:rPr>
          <w:bCs/>
          <w:sz w:val="24"/>
        </w:rPr>
      </w:pPr>
      <w:r>
        <w:rPr>
          <w:rFonts w:hint="eastAsia"/>
          <w:bCs/>
          <w:sz w:val="24"/>
        </w:rPr>
        <w:t>（23）以基金管理人名义，代表基金份额持有人利益行使诉讼权利或实施其他法律行为；</w:t>
      </w:r>
      <w:r>
        <w:rPr>
          <w:rFonts w:hint="eastAsia"/>
          <w:bCs/>
          <w:sz w:val="24"/>
        </w:rPr>
        <w:tab/>
      </w:r>
    </w:p>
    <w:p>
      <w:pPr>
        <w:adjustRightInd w:val="0"/>
        <w:snapToGrid w:val="0"/>
        <w:spacing w:line="360" w:lineRule="auto"/>
        <w:ind w:firstLine="480" w:firstLineChars="200"/>
        <w:rPr>
          <w:bCs/>
          <w:sz w:val="24"/>
        </w:rPr>
      </w:pPr>
      <w:r>
        <w:rPr>
          <w:rFonts w:hint="eastAsia"/>
          <w:bCs/>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adjustRightInd w:val="0"/>
        <w:snapToGrid w:val="0"/>
        <w:spacing w:line="360" w:lineRule="auto"/>
        <w:ind w:firstLine="480" w:firstLineChars="200"/>
        <w:rPr>
          <w:bCs/>
          <w:sz w:val="24"/>
        </w:rPr>
      </w:pPr>
      <w:r>
        <w:rPr>
          <w:rFonts w:hint="eastAsia"/>
          <w:bCs/>
          <w:sz w:val="24"/>
        </w:rPr>
        <w:t>（25）执行生效的基金份额持有人大会的决议；</w:t>
      </w:r>
    </w:p>
    <w:p>
      <w:pPr>
        <w:adjustRightInd w:val="0"/>
        <w:snapToGrid w:val="0"/>
        <w:spacing w:line="360" w:lineRule="auto"/>
        <w:ind w:firstLine="480" w:firstLineChars="200"/>
        <w:rPr>
          <w:bCs/>
          <w:sz w:val="24"/>
        </w:rPr>
      </w:pPr>
      <w:r>
        <w:rPr>
          <w:rFonts w:hint="eastAsia"/>
          <w:bCs/>
          <w:sz w:val="24"/>
        </w:rPr>
        <w:t>（26）建立并保存基金份额持有人名册；</w:t>
      </w:r>
    </w:p>
    <w:p>
      <w:pPr>
        <w:adjustRightInd w:val="0"/>
        <w:snapToGrid w:val="0"/>
        <w:spacing w:line="360" w:lineRule="auto"/>
        <w:ind w:firstLine="480" w:firstLineChars="200"/>
        <w:rPr>
          <w:bCs/>
          <w:sz w:val="24"/>
        </w:rPr>
      </w:pPr>
      <w:r>
        <w:rPr>
          <w:rFonts w:hint="eastAsia"/>
          <w:bCs/>
          <w:sz w:val="24"/>
        </w:rPr>
        <w:t>（27）委托境外证券服务机构代理买卖证券的，应当严格履行受信责任，并按照有关规定对投资交易的流程、信息披露、记录保存进行管理；</w:t>
      </w:r>
    </w:p>
    <w:p>
      <w:pPr>
        <w:adjustRightInd w:val="0"/>
        <w:snapToGrid w:val="0"/>
        <w:spacing w:line="360" w:lineRule="auto"/>
        <w:ind w:firstLine="480" w:firstLineChars="200"/>
        <w:rPr>
          <w:bCs/>
          <w:sz w:val="24"/>
        </w:rPr>
      </w:pPr>
      <w:r>
        <w:rPr>
          <w:rFonts w:hint="eastAsia"/>
          <w:bCs/>
          <w:sz w:val="24"/>
        </w:rPr>
        <w:t>（28）与境外证券服务机构之间的证券交易和研究服务安排，应当严格按照《试行办法》规定的原则进行；</w:t>
      </w:r>
    </w:p>
    <w:p>
      <w:pPr>
        <w:adjustRightInd w:val="0"/>
        <w:snapToGrid w:val="0"/>
        <w:spacing w:line="360" w:lineRule="auto"/>
        <w:ind w:firstLine="480" w:firstLineChars="200"/>
        <w:rPr>
          <w:bCs/>
          <w:sz w:val="24"/>
        </w:rPr>
      </w:pPr>
      <w:r>
        <w:rPr>
          <w:rFonts w:hint="eastAsia"/>
          <w:bCs/>
          <w:sz w:val="24"/>
        </w:rPr>
        <w:t>（29）进行境外证券投资，应当遵守当地监管机构、交易所的有关法律法规规定；</w:t>
      </w:r>
    </w:p>
    <w:p>
      <w:pPr>
        <w:adjustRightInd w:val="0"/>
        <w:snapToGrid w:val="0"/>
        <w:spacing w:line="360" w:lineRule="auto"/>
        <w:ind w:firstLine="480" w:firstLineChars="200"/>
        <w:rPr>
          <w:bCs/>
          <w:sz w:val="24"/>
        </w:rPr>
      </w:pPr>
      <w:r>
        <w:rPr>
          <w:rFonts w:hint="eastAsia"/>
          <w:bCs/>
          <w:sz w:val="24"/>
        </w:rPr>
        <w:t>（30）法律法规及中国证监会规定的和《基金合同》约定的其他义务。</w:t>
      </w:r>
    </w:p>
    <w:p>
      <w:pPr>
        <w:adjustRightInd w:val="0"/>
        <w:snapToGrid w:val="0"/>
        <w:spacing w:line="360" w:lineRule="auto"/>
        <w:ind w:firstLine="480" w:firstLineChars="200"/>
        <w:rPr>
          <w:bCs/>
          <w:sz w:val="24"/>
        </w:rPr>
      </w:pPr>
      <w:r>
        <w:rPr>
          <w:bCs/>
          <w:sz w:val="24"/>
        </w:rPr>
        <w:t>2、基金托管人的权利与义务</w:t>
      </w:r>
    </w:p>
    <w:p>
      <w:pPr>
        <w:adjustRightInd w:val="0"/>
        <w:snapToGrid w:val="0"/>
        <w:spacing w:line="360" w:lineRule="auto"/>
        <w:ind w:firstLine="480" w:firstLineChars="200"/>
        <w:rPr>
          <w:bCs/>
          <w:sz w:val="24"/>
        </w:rPr>
      </w:pPr>
      <w:r>
        <w:rPr>
          <w:bCs/>
          <w:sz w:val="24"/>
        </w:rPr>
        <w:t>根据《基金法》、《运作办法》及其他有关规定，基金托管人的权利包括但不限于：</w:t>
      </w:r>
    </w:p>
    <w:p>
      <w:pPr>
        <w:adjustRightInd w:val="0"/>
        <w:snapToGrid w:val="0"/>
        <w:spacing w:line="360" w:lineRule="auto"/>
        <w:ind w:firstLine="480" w:firstLineChars="200"/>
        <w:rPr>
          <w:bCs/>
          <w:sz w:val="24"/>
        </w:rPr>
      </w:pPr>
      <w:r>
        <w:rPr>
          <w:rFonts w:hint="eastAsia"/>
          <w:bCs/>
          <w:sz w:val="24"/>
        </w:rPr>
        <w:t>（1）自《基金合同》生效之日起，依法律法规和《基金合同》的规定安全保管基金财产；</w:t>
      </w:r>
    </w:p>
    <w:p>
      <w:pPr>
        <w:adjustRightInd w:val="0"/>
        <w:snapToGrid w:val="0"/>
        <w:spacing w:line="360" w:lineRule="auto"/>
        <w:ind w:firstLine="480" w:firstLineChars="200"/>
        <w:rPr>
          <w:bCs/>
          <w:sz w:val="24"/>
        </w:rPr>
      </w:pPr>
      <w:r>
        <w:rPr>
          <w:rFonts w:hint="eastAsia"/>
          <w:bCs/>
          <w:sz w:val="24"/>
        </w:rPr>
        <w:t>（2）依《基金合同》约定获得基金托管费以及法律法规规定或监管部门批准的其他费用；</w:t>
      </w:r>
    </w:p>
    <w:p>
      <w:pPr>
        <w:adjustRightInd w:val="0"/>
        <w:snapToGrid w:val="0"/>
        <w:spacing w:line="360" w:lineRule="auto"/>
        <w:ind w:firstLine="480" w:firstLineChars="200"/>
        <w:rPr>
          <w:bCs/>
          <w:sz w:val="24"/>
        </w:rPr>
      </w:pPr>
      <w:r>
        <w:rPr>
          <w:rFonts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adjustRightInd w:val="0"/>
        <w:snapToGrid w:val="0"/>
        <w:spacing w:line="360" w:lineRule="auto"/>
        <w:ind w:firstLine="480" w:firstLineChars="200"/>
        <w:rPr>
          <w:bCs/>
          <w:sz w:val="24"/>
        </w:rPr>
      </w:pPr>
      <w:r>
        <w:rPr>
          <w:rFonts w:hint="eastAsia"/>
          <w:bCs/>
          <w:sz w:val="24"/>
        </w:rPr>
        <w:t>（4）根据相关市场规则，为基金开设资金账户、证券账户等投资所需账户，为基金办理证券、期货交易资金清算；</w:t>
      </w:r>
    </w:p>
    <w:p>
      <w:pPr>
        <w:adjustRightInd w:val="0"/>
        <w:snapToGrid w:val="0"/>
        <w:spacing w:line="360" w:lineRule="auto"/>
        <w:ind w:firstLine="480" w:firstLineChars="200"/>
        <w:rPr>
          <w:bCs/>
          <w:sz w:val="24"/>
        </w:rPr>
      </w:pPr>
      <w:r>
        <w:rPr>
          <w:rFonts w:hint="eastAsia"/>
          <w:bCs/>
          <w:sz w:val="24"/>
        </w:rPr>
        <w:t>（5）提议召开或召集基金份额持有人大会；</w:t>
      </w:r>
    </w:p>
    <w:p>
      <w:pPr>
        <w:adjustRightInd w:val="0"/>
        <w:snapToGrid w:val="0"/>
        <w:spacing w:line="360" w:lineRule="auto"/>
        <w:ind w:firstLine="480" w:firstLineChars="200"/>
        <w:rPr>
          <w:bCs/>
          <w:sz w:val="24"/>
        </w:rPr>
      </w:pPr>
      <w:r>
        <w:rPr>
          <w:rFonts w:hint="eastAsia"/>
          <w:bCs/>
          <w:sz w:val="24"/>
        </w:rPr>
        <w:t>（6）在基金管理人更换时，提名新的基金管理人；</w:t>
      </w:r>
    </w:p>
    <w:p>
      <w:pPr>
        <w:adjustRightInd w:val="0"/>
        <w:snapToGrid w:val="0"/>
        <w:spacing w:line="360" w:lineRule="auto"/>
        <w:ind w:firstLine="480" w:firstLineChars="200"/>
        <w:rPr>
          <w:bCs/>
          <w:sz w:val="24"/>
        </w:rPr>
      </w:pPr>
      <w:r>
        <w:rPr>
          <w:rFonts w:hint="eastAsia"/>
          <w:bCs/>
          <w:sz w:val="24"/>
        </w:rPr>
        <w:t>（7）选择、更换或撤销境外托管人并与之签署有关协议；</w:t>
      </w:r>
    </w:p>
    <w:p>
      <w:pPr>
        <w:adjustRightInd w:val="0"/>
        <w:snapToGrid w:val="0"/>
        <w:spacing w:line="360" w:lineRule="auto"/>
        <w:ind w:firstLine="480" w:firstLineChars="200"/>
        <w:rPr>
          <w:bCs/>
          <w:sz w:val="24"/>
        </w:rPr>
      </w:pPr>
      <w:r>
        <w:rPr>
          <w:rFonts w:hint="eastAsia"/>
          <w:bCs/>
          <w:sz w:val="24"/>
        </w:rPr>
        <w:t>（8）法律法规及中国证监会规定的和《基金合同》约定的其他权利。</w:t>
      </w:r>
    </w:p>
    <w:p>
      <w:pPr>
        <w:adjustRightInd w:val="0"/>
        <w:snapToGrid w:val="0"/>
        <w:spacing w:line="360" w:lineRule="auto"/>
        <w:ind w:firstLine="480" w:firstLineChars="200"/>
        <w:rPr>
          <w:bCs/>
          <w:sz w:val="24"/>
        </w:rPr>
      </w:pPr>
      <w:r>
        <w:rPr>
          <w:bCs/>
          <w:sz w:val="24"/>
        </w:rPr>
        <w:t>根据《基金法》、《运作办法》及其他有关规定，基金托管人的义务包括但不限于：</w:t>
      </w:r>
    </w:p>
    <w:p>
      <w:pPr>
        <w:adjustRightInd w:val="0"/>
        <w:snapToGrid w:val="0"/>
        <w:spacing w:line="360" w:lineRule="auto"/>
        <w:ind w:firstLine="480" w:firstLineChars="200"/>
        <w:rPr>
          <w:bCs/>
          <w:sz w:val="24"/>
        </w:rPr>
      </w:pPr>
      <w:r>
        <w:rPr>
          <w:rFonts w:hint="eastAsia"/>
          <w:bCs/>
          <w:sz w:val="24"/>
        </w:rPr>
        <w:t>（1）以诚实信用、勤勉尽责的原则持有并安全保管基金财产；</w:t>
      </w:r>
    </w:p>
    <w:p>
      <w:pPr>
        <w:adjustRightInd w:val="0"/>
        <w:snapToGrid w:val="0"/>
        <w:spacing w:line="360" w:lineRule="auto"/>
        <w:ind w:firstLine="480" w:firstLineChars="200"/>
        <w:rPr>
          <w:bCs/>
          <w:sz w:val="24"/>
        </w:rPr>
      </w:pPr>
      <w:r>
        <w:rPr>
          <w:rFonts w:hint="eastAsia"/>
          <w:bCs/>
          <w:sz w:val="24"/>
        </w:rPr>
        <w:t>（2）设立专门的基金托管部门，具有符合要求的营业场所，配备足够的、合格的熟悉基金托管业务的专职人员，负责基金财产托管事宜；</w:t>
      </w:r>
    </w:p>
    <w:p>
      <w:pPr>
        <w:adjustRightInd w:val="0"/>
        <w:snapToGrid w:val="0"/>
        <w:spacing w:line="360" w:lineRule="auto"/>
        <w:ind w:firstLine="480" w:firstLineChars="200"/>
        <w:rPr>
          <w:bCs/>
          <w:sz w:val="24"/>
        </w:rPr>
      </w:pPr>
      <w:r>
        <w:rPr>
          <w:rFonts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adjustRightInd w:val="0"/>
        <w:snapToGrid w:val="0"/>
        <w:spacing w:line="360" w:lineRule="auto"/>
        <w:ind w:firstLine="480" w:firstLineChars="200"/>
        <w:rPr>
          <w:bCs/>
          <w:sz w:val="24"/>
        </w:rPr>
      </w:pPr>
      <w:r>
        <w:rPr>
          <w:rFonts w:hint="eastAsia"/>
          <w:bCs/>
          <w:sz w:val="24"/>
        </w:rPr>
        <w:t>（4）除依据《基金法》、《基金合同》及其他有关规定外，不得利用基金财产为自己及任何第三人谋取利益，不得委托第三人托管基金财产；</w:t>
      </w:r>
    </w:p>
    <w:p>
      <w:pPr>
        <w:adjustRightInd w:val="0"/>
        <w:snapToGrid w:val="0"/>
        <w:spacing w:line="360" w:lineRule="auto"/>
        <w:ind w:firstLine="480" w:firstLineChars="200"/>
        <w:rPr>
          <w:bCs/>
          <w:sz w:val="24"/>
        </w:rPr>
      </w:pPr>
      <w:r>
        <w:rPr>
          <w:rFonts w:hint="eastAsia"/>
          <w:bCs/>
          <w:sz w:val="24"/>
        </w:rPr>
        <w:t>（5）保管由基金管理人代表基金签订的与基金有关的重大合同及有关凭证；</w:t>
      </w:r>
    </w:p>
    <w:p>
      <w:pPr>
        <w:adjustRightInd w:val="0"/>
        <w:snapToGrid w:val="0"/>
        <w:spacing w:line="360" w:lineRule="auto"/>
        <w:ind w:firstLine="480" w:firstLineChars="200"/>
        <w:rPr>
          <w:bCs/>
          <w:sz w:val="24"/>
        </w:rPr>
      </w:pPr>
      <w:r>
        <w:rPr>
          <w:rFonts w:hint="eastAsia"/>
          <w:bCs/>
          <w:sz w:val="24"/>
        </w:rPr>
        <w:t>（6）按规定开设基金财产的资金账户、证券账户等投资所需账户，按照《基金合同》的约定，根据基金管理人的投资指令，及时办理清算、交割事宜；</w:t>
      </w:r>
    </w:p>
    <w:p>
      <w:pPr>
        <w:adjustRightInd w:val="0"/>
        <w:snapToGrid w:val="0"/>
        <w:spacing w:line="360" w:lineRule="auto"/>
        <w:ind w:firstLine="480" w:firstLineChars="200"/>
        <w:rPr>
          <w:bCs/>
          <w:sz w:val="24"/>
        </w:rPr>
      </w:pPr>
      <w:r>
        <w:rPr>
          <w:rFonts w:hint="eastAsia"/>
          <w:bCs/>
          <w:sz w:val="24"/>
        </w:rPr>
        <w:t>（7）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pPr>
        <w:adjustRightInd w:val="0"/>
        <w:snapToGrid w:val="0"/>
        <w:spacing w:line="360" w:lineRule="auto"/>
        <w:ind w:firstLine="480" w:firstLineChars="200"/>
        <w:rPr>
          <w:bCs/>
          <w:sz w:val="24"/>
        </w:rPr>
      </w:pPr>
      <w:r>
        <w:rPr>
          <w:rFonts w:hint="eastAsia"/>
          <w:bCs/>
          <w:sz w:val="24"/>
        </w:rPr>
        <w:t>（8）复核、审查基金管理人计算的基金资产净值、各类基金份额净值、基金份额申购、赎回价格；</w:t>
      </w:r>
    </w:p>
    <w:p>
      <w:pPr>
        <w:adjustRightInd w:val="0"/>
        <w:snapToGrid w:val="0"/>
        <w:spacing w:line="360" w:lineRule="auto"/>
        <w:ind w:firstLine="480" w:firstLineChars="200"/>
        <w:rPr>
          <w:bCs/>
          <w:sz w:val="24"/>
        </w:rPr>
      </w:pPr>
      <w:r>
        <w:rPr>
          <w:rFonts w:hint="eastAsia"/>
          <w:bCs/>
          <w:sz w:val="24"/>
        </w:rPr>
        <w:t>（9）办理与基金托管业务活动有关的信息披露事项；</w:t>
      </w:r>
    </w:p>
    <w:p>
      <w:pPr>
        <w:adjustRightInd w:val="0"/>
        <w:snapToGrid w:val="0"/>
        <w:spacing w:line="360" w:lineRule="auto"/>
        <w:ind w:firstLine="480" w:firstLineChars="200"/>
        <w:rPr>
          <w:bCs/>
          <w:sz w:val="24"/>
        </w:rPr>
      </w:pPr>
      <w:r>
        <w:rPr>
          <w:rFonts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djustRightInd w:val="0"/>
        <w:snapToGrid w:val="0"/>
        <w:spacing w:line="360" w:lineRule="auto"/>
        <w:ind w:firstLine="480" w:firstLineChars="200"/>
        <w:rPr>
          <w:bCs/>
          <w:sz w:val="24"/>
        </w:rPr>
      </w:pPr>
      <w:r>
        <w:rPr>
          <w:rFonts w:hint="eastAsia"/>
          <w:bCs/>
          <w:sz w:val="24"/>
        </w:rPr>
        <w:t>（11）保存基金托管业务活动的记录、账册、报表和其他相关资料不低于法律法规规定的最低期限；</w:t>
      </w:r>
    </w:p>
    <w:p>
      <w:pPr>
        <w:adjustRightInd w:val="0"/>
        <w:snapToGrid w:val="0"/>
        <w:spacing w:line="360" w:lineRule="auto"/>
        <w:ind w:firstLine="480" w:firstLineChars="200"/>
        <w:rPr>
          <w:bCs/>
          <w:sz w:val="24"/>
        </w:rPr>
      </w:pPr>
      <w:r>
        <w:rPr>
          <w:rFonts w:hint="eastAsia"/>
          <w:bCs/>
          <w:sz w:val="24"/>
        </w:rPr>
        <w:t>（12）建立并保存基金份额持有人名册；</w:t>
      </w:r>
    </w:p>
    <w:p>
      <w:pPr>
        <w:adjustRightInd w:val="0"/>
        <w:snapToGrid w:val="0"/>
        <w:spacing w:line="360" w:lineRule="auto"/>
        <w:ind w:firstLine="480" w:firstLineChars="200"/>
        <w:rPr>
          <w:bCs/>
          <w:sz w:val="24"/>
        </w:rPr>
      </w:pPr>
      <w:r>
        <w:rPr>
          <w:rFonts w:hint="eastAsia"/>
          <w:bCs/>
          <w:sz w:val="24"/>
        </w:rPr>
        <w:t>（13）按规定制作相关账册并与基金管理人核对；</w:t>
      </w:r>
    </w:p>
    <w:p>
      <w:pPr>
        <w:adjustRightInd w:val="0"/>
        <w:snapToGrid w:val="0"/>
        <w:spacing w:line="360" w:lineRule="auto"/>
        <w:ind w:firstLine="480" w:firstLineChars="200"/>
        <w:rPr>
          <w:bCs/>
          <w:sz w:val="24"/>
        </w:rPr>
      </w:pPr>
      <w:r>
        <w:rPr>
          <w:rFonts w:hint="eastAsia"/>
          <w:bCs/>
          <w:sz w:val="24"/>
        </w:rPr>
        <w:t>（14）依据基金管理人的指令或有关规定向基金份额持有人支付基金收益和赎回款项；</w:t>
      </w:r>
    </w:p>
    <w:p>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（15）依据《基金法》、《基金合同》及其他有关规定，召集基金份额持有人大会或配合基金管理人、基金份额持有人依法召集基金份额持有人大会；</w:t>
      </w:r>
    </w:p>
    <w:p>
      <w:pPr>
        <w:adjustRightInd w:val="0"/>
        <w:snapToGrid w:val="0"/>
        <w:spacing w:line="360" w:lineRule="auto"/>
        <w:ind w:firstLine="480" w:firstLineChars="200"/>
        <w:rPr>
          <w:bCs/>
          <w:sz w:val="24"/>
        </w:rPr>
      </w:pPr>
      <w:r>
        <w:rPr>
          <w:rFonts w:hint="eastAsia"/>
          <w:bCs/>
          <w:sz w:val="24"/>
        </w:rPr>
        <w:t>（16）按照法律法规和《基金合同》的规定监督基金管理人的投资运作；</w:t>
      </w:r>
    </w:p>
    <w:p>
      <w:pPr>
        <w:adjustRightInd w:val="0"/>
        <w:snapToGrid w:val="0"/>
        <w:spacing w:line="360" w:lineRule="auto"/>
        <w:ind w:firstLine="480" w:firstLineChars="200"/>
        <w:rPr>
          <w:bCs/>
          <w:sz w:val="24"/>
        </w:rPr>
      </w:pPr>
      <w:r>
        <w:rPr>
          <w:rFonts w:hint="eastAsia"/>
          <w:bCs/>
          <w:sz w:val="24"/>
        </w:rPr>
        <w:t>（17）参加基金财产清算小组，参与基金财产的保管、清理、估价、变现和分配；</w:t>
      </w:r>
    </w:p>
    <w:p>
      <w:pPr>
        <w:adjustRightInd w:val="0"/>
        <w:snapToGrid w:val="0"/>
        <w:spacing w:line="360" w:lineRule="auto"/>
        <w:ind w:firstLine="480" w:firstLineChars="200"/>
        <w:rPr>
          <w:bCs/>
          <w:sz w:val="24"/>
        </w:rPr>
      </w:pPr>
      <w:r>
        <w:rPr>
          <w:rFonts w:hint="eastAsia"/>
          <w:bCs/>
          <w:sz w:val="24"/>
        </w:rPr>
        <w:t>（18）面临解散、依法被撤销或者被依法宣告破产时，及时报告中国证监会和银行业监督管理机构，并通知基金管理人；</w:t>
      </w:r>
    </w:p>
    <w:p>
      <w:pPr>
        <w:adjustRightInd w:val="0"/>
        <w:snapToGrid w:val="0"/>
        <w:spacing w:line="360" w:lineRule="auto"/>
        <w:ind w:firstLine="480" w:firstLineChars="200"/>
        <w:rPr>
          <w:bCs/>
          <w:sz w:val="24"/>
        </w:rPr>
      </w:pPr>
      <w:r>
        <w:rPr>
          <w:rFonts w:hint="eastAsia"/>
          <w:bCs/>
          <w:sz w:val="24"/>
        </w:rPr>
        <w:t>（19）因违反《基金合同》导致基金财产损失时，应承担赔偿责任，其赔偿责任不因其退任而免除；</w:t>
      </w:r>
    </w:p>
    <w:p>
      <w:pPr>
        <w:adjustRightInd w:val="0"/>
        <w:snapToGrid w:val="0"/>
        <w:spacing w:line="360" w:lineRule="auto"/>
        <w:ind w:firstLine="480" w:firstLineChars="200"/>
        <w:rPr>
          <w:bCs/>
          <w:sz w:val="24"/>
        </w:rPr>
      </w:pPr>
      <w:r>
        <w:rPr>
          <w:rFonts w:hint="eastAsia"/>
          <w:bCs/>
          <w:sz w:val="24"/>
        </w:rPr>
        <w:t>（20）按规定监督基金管理人按法律法规和《基金合同》规定履行自己的义务，基金管理人因违反《基金合同》造成基金财产损失时，应为基金份额持有人利益向基金管理人追偿；</w:t>
      </w:r>
    </w:p>
    <w:p>
      <w:pPr>
        <w:adjustRightInd w:val="0"/>
        <w:snapToGrid w:val="0"/>
        <w:spacing w:line="360" w:lineRule="auto"/>
        <w:ind w:firstLine="480" w:firstLineChars="200"/>
        <w:rPr>
          <w:bCs/>
          <w:sz w:val="24"/>
        </w:rPr>
      </w:pPr>
      <w:r>
        <w:rPr>
          <w:rFonts w:hint="eastAsia"/>
          <w:bCs/>
          <w:sz w:val="24"/>
        </w:rPr>
        <w:t>（21）执行生效的基金份额持有人大会的决议；</w:t>
      </w:r>
    </w:p>
    <w:p>
      <w:pPr>
        <w:adjustRightInd w:val="0"/>
        <w:snapToGrid w:val="0"/>
        <w:spacing w:line="360" w:lineRule="auto"/>
        <w:ind w:firstLine="480" w:firstLineChars="200"/>
        <w:rPr>
          <w:bCs/>
          <w:sz w:val="24"/>
        </w:rPr>
      </w:pPr>
      <w:r>
        <w:rPr>
          <w:rFonts w:hint="eastAsia"/>
          <w:bCs/>
          <w:sz w:val="24"/>
        </w:rPr>
        <w:t>（22）选择符合《试行办法》规定的境外托管人。对基金的境外财产，基金托管人可授权境外托管人代为履行其承担的职责；境外托管人在履行职责过程中，因本身过错、疏忽原因而导致的基金财产受损的，基金托管人承担相应责任；在决定境外托管人是否存在过错、疏忽等不当行为时，应根据基金托管人与境外托管人之间的协议适用法律及当地的法律法规、证券市场惯例决定；但基金托管人已按照谨慎、尽职的原则选择、委任和监督境外托管人，且境外托管人已按照当地法律法规、本基金合同及托管协议的要求托管资产的前提下，对境外托管人的破产而产生的损失，基金托管人不承担赔偿责任；</w:t>
      </w:r>
    </w:p>
    <w:p>
      <w:pPr>
        <w:adjustRightInd w:val="0"/>
        <w:snapToGrid w:val="0"/>
        <w:spacing w:line="360" w:lineRule="auto"/>
        <w:ind w:firstLine="480" w:firstLineChars="200"/>
        <w:rPr>
          <w:bCs/>
          <w:sz w:val="24"/>
        </w:rPr>
      </w:pPr>
      <w:r>
        <w:rPr>
          <w:rFonts w:hint="eastAsia"/>
          <w:bCs/>
          <w:sz w:val="24"/>
        </w:rPr>
        <w:t>（23）保护基金份额持有人利益，按照规定对基金日常投资行为和资金汇出入情况实施监督，如发现投资指令或资金汇出入违法、违规，应当及时向中国证监会、外管局报告；</w:t>
      </w:r>
    </w:p>
    <w:p>
      <w:pPr>
        <w:adjustRightInd w:val="0"/>
        <w:snapToGrid w:val="0"/>
        <w:spacing w:line="360" w:lineRule="auto"/>
        <w:ind w:firstLine="480" w:firstLineChars="200"/>
        <w:rPr>
          <w:bCs/>
          <w:sz w:val="24"/>
        </w:rPr>
      </w:pPr>
      <w:r>
        <w:rPr>
          <w:rFonts w:hint="eastAsia"/>
          <w:bCs/>
          <w:sz w:val="24"/>
        </w:rPr>
        <w:t>（24）按照监管规定，向中国证监会和外管局报告基金管理人境外投资情况，并按相关规定进行国际收支申报；</w:t>
      </w:r>
    </w:p>
    <w:p>
      <w:pPr>
        <w:adjustRightInd w:val="0"/>
        <w:snapToGrid w:val="0"/>
        <w:spacing w:line="360" w:lineRule="auto"/>
        <w:ind w:firstLine="480" w:firstLineChars="200"/>
        <w:rPr>
          <w:bCs/>
          <w:sz w:val="24"/>
        </w:rPr>
      </w:pPr>
      <w:r>
        <w:rPr>
          <w:rFonts w:hint="eastAsia"/>
          <w:bCs/>
          <w:sz w:val="24"/>
        </w:rPr>
        <w:t>（25）办理基金管理人就管理本基金的有关结汇、售汇、收汇、付汇和人民币资金结算业务；</w:t>
      </w:r>
    </w:p>
    <w:p>
      <w:pPr>
        <w:adjustRightInd w:val="0"/>
        <w:snapToGrid w:val="0"/>
        <w:spacing w:line="360" w:lineRule="auto"/>
        <w:ind w:firstLine="480" w:firstLineChars="200"/>
        <w:rPr>
          <w:bCs/>
          <w:sz w:val="24"/>
        </w:rPr>
      </w:pPr>
      <w:r>
        <w:rPr>
          <w:rFonts w:hint="eastAsia"/>
          <w:bCs/>
          <w:sz w:val="24"/>
        </w:rPr>
        <w:t>（26）基金托管人应保管基金管理人就管理本基金的资金汇出、汇入、兑换、收汇、付汇、资金往来、委托及成交记录等相关资料，其保存的时间应当不少于法律法规规定的最低期限；</w:t>
      </w:r>
    </w:p>
    <w:p>
      <w:pPr>
        <w:adjustRightInd w:val="0"/>
        <w:snapToGrid w:val="0"/>
        <w:spacing w:line="360" w:lineRule="auto"/>
        <w:ind w:firstLine="480" w:firstLineChars="200"/>
        <w:rPr>
          <w:bCs/>
          <w:sz w:val="24"/>
        </w:rPr>
      </w:pPr>
      <w:r>
        <w:rPr>
          <w:rFonts w:hint="eastAsia"/>
          <w:bCs/>
          <w:sz w:val="24"/>
        </w:rPr>
        <w:t>（27）安全保护基金财产，根据本基金合同约定及时将公司行为信息通知基金管理人，协助基金及时收取应得收入；</w:t>
      </w:r>
    </w:p>
    <w:p>
      <w:pPr>
        <w:adjustRightInd w:val="0"/>
        <w:snapToGrid w:val="0"/>
        <w:spacing w:line="360" w:lineRule="auto"/>
        <w:ind w:firstLine="480" w:firstLineChars="200"/>
        <w:rPr>
          <w:bCs/>
          <w:sz w:val="24"/>
        </w:rPr>
      </w:pPr>
      <w:r>
        <w:rPr>
          <w:rFonts w:hint="eastAsia"/>
          <w:bCs/>
          <w:sz w:val="24"/>
        </w:rPr>
        <w:t>（28）法律法规及中国证监会、外管局规定的和《基金合同》约定的其他义务。</w:t>
      </w:r>
    </w:p>
    <w:p>
      <w:pPr>
        <w:adjustRightInd w:val="0"/>
        <w:snapToGrid w:val="0"/>
        <w:spacing w:line="360" w:lineRule="auto"/>
        <w:ind w:firstLine="480" w:firstLineChars="200"/>
        <w:rPr>
          <w:bCs/>
          <w:sz w:val="24"/>
        </w:rPr>
      </w:pPr>
      <w:r>
        <w:rPr>
          <w:bCs/>
          <w:sz w:val="24"/>
        </w:rPr>
        <w:t>3、基金份额持有人的权利与义务</w:t>
      </w:r>
    </w:p>
    <w:p>
      <w:pPr>
        <w:adjustRightInd w:val="0"/>
        <w:snapToGrid w:val="0"/>
        <w:spacing w:line="360" w:lineRule="auto"/>
        <w:ind w:firstLine="480" w:firstLineChars="20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pPr>
        <w:adjustRightInd w:val="0"/>
        <w:snapToGrid w:val="0"/>
        <w:spacing w:line="360" w:lineRule="auto"/>
        <w:ind w:firstLine="480" w:firstLineChars="200"/>
        <w:rPr>
          <w:bCs/>
          <w:sz w:val="24"/>
        </w:rPr>
      </w:pPr>
      <w:r>
        <w:rPr>
          <w:rFonts w:hint="eastAsia"/>
          <w:bCs/>
          <w:sz w:val="24"/>
        </w:rPr>
        <w:t>同一类别每份基金份额具有同等的合法权益。</w:t>
      </w:r>
    </w:p>
    <w:p>
      <w:pPr>
        <w:adjustRightInd w:val="0"/>
        <w:snapToGrid w:val="0"/>
        <w:spacing w:line="360" w:lineRule="auto"/>
        <w:ind w:firstLine="480" w:firstLineChars="200"/>
        <w:rPr>
          <w:bCs/>
          <w:sz w:val="24"/>
        </w:rPr>
      </w:pPr>
      <w:r>
        <w:rPr>
          <w:rFonts w:hint="eastAsia"/>
          <w:bCs/>
          <w:sz w:val="24"/>
        </w:rPr>
        <w:t>根据《基金法》、《运作办法》及其他有关规定，基金份额持有人的权利包括但不限于：</w:t>
      </w:r>
    </w:p>
    <w:p>
      <w:pPr>
        <w:adjustRightInd w:val="0"/>
        <w:snapToGrid w:val="0"/>
        <w:spacing w:line="360" w:lineRule="auto"/>
        <w:ind w:firstLine="480" w:firstLineChars="200"/>
        <w:rPr>
          <w:bCs/>
          <w:sz w:val="24"/>
        </w:rPr>
      </w:pPr>
      <w:r>
        <w:rPr>
          <w:rFonts w:hint="eastAsia"/>
          <w:bCs/>
          <w:sz w:val="24"/>
        </w:rPr>
        <w:t>（1）分享基金财产收益；</w:t>
      </w:r>
    </w:p>
    <w:p>
      <w:pPr>
        <w:adjustRightInd w:val="0"/>
        <w:snapToGrid w:val="0"/>
        <w:spacing w:line="360" w:lineRule="auto"/>
        <w:ind w:firstLine="480" w:firstLineChars="200"/>
        <w:rPr>
          <w:bCs/>
          <w:sz w:val="24"/>
        </w:rPr>
      </w:pPr>
      <w:r>
        <w:rPr>
          <w:rFonts w:hint="eastAsia"/>
          <w:bCs/>
          <w:sz w:val="24"/>
        </w:rPr>
        <w:t>（2）参与分配清算后的剩余基金财产；</w:t>
      </w:r>
    </w:p>
    <w:p>
      <w:pPr>
        <w:adjustRightInd w:val="0"/>
        <w:snapToGrid w:val="0"/>
        <w:spacing w:line="360" w:lineRule="auto"/>
        <w:ind w:firstLine="480" w:firstLineChars="200"/>
        <w:rPr>
          <w:bCs/>
          <w:sz w:val="24"/>
        </w:rPr>
      </w:pPr>
      <w:r>
        <w:rPr>
          <w:rFonts w:hint="eastAsia"/>
          <w:bCs/>
          <w:sz w:val="24"/>
        </w:rPr>
        <w:t>（3）依法并按照基金合同和招募说明书的规定转让或者申请赎回其持有的基金份额；</w:t>
      </w:r>
    </w:p>
    <w:p>
      <w:pPr>
        <w:adjustRightInd w:val="0"/>
        <w:snapToGrid w:val="0"/>
        <w:spacing w:line="360" w:lineRule="auto"/>
        <w:ind w:firstLine="480" w:firstLineChars="200"/>
        <w:rPr>
          <w:bCs/>
          <w:sz w:val="24"/>
        </w:rPr>
      </w:pPr>
      <w:r>
        <w:rPr>
          <w:rFonts w:hint="eastAsia"/>
          <w:bCs/>
          <w:sz w:val="24"/>
        </w:rPr>
        <w:t>（4）按照规定要求召开基金份额持有人大会或者召集基金份额持有人大会；</w:t>
      </w:r>
    </w:p>
    <w:p>
      <w:pPr>
        <w:adjustRightInd w:val="0"/>
        <w:snapToGrid w:val="0"/>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pPr>
        <w:adjustRightInd w:val="0"/>
        <w:snapToGrid w:val="0"/>
        <w:spacing w:line="360" w:lineRule="auto"/>
        <w:ind w:firstLine="480" w:firstLineChars="200"/>
        <w:rPr>
          <w:bCs/>
          <w:sz w:val="24"/>
        </w:rPr>
      </w:pPr>
      <w:r>
        <w:rPr>
          <w:rFonts w:hint="eastAsia"/>
          <w:bCs/>
          <w:sz w:val="24"/>
        </w:rPr>
        <w:t>（6）查阅或者复制公开披露的基金信息资料；</w:t>
      </w:r>
    </w:p>
    <w:p>
      <w:pPr>
        <w:adjustRightInd w:val="0"/>
        <w:snapToGrid w:val="0"/>
        <w:spacing w:line="360" w:lineRule="auto"/>
        <w:ind w:firstLine="480" w:firstLineChars="200"/>
        <w:rPr>
          <w:bCs/>
          <w:sz w:val="24"/>
        </w:rPr>
      </w:pPr>
      <w:r>
        <w:rPr>
          <w:rFonts w:hint="eastAsia"/>
          <w:bCs/>
          <w:sz w:val="24"/>
        </w:rPr>
        <w:t>（7）监督基金管理人的投资运作；</w:t>
      </w:r>
    </w:p>
    <w:p>
      <w:pPr>
        <w:adjustRightInd w:val="0"/>
        <w:snapToGrid w:val="0"/>
        <w:spacing w:line="360" w:lineRule="auto"/>
        <w:ind w:firstLine="480" w:firstLineChars="200"/>
        <w:rPr>
          <w:bCs/>
          <w:sz w:val="24"/>
        </w:rPr>
      </w:pPr>
      <w:r>
        <w:rPr>
          <w:rFonts w:hint="eastAsia"/>
          <w:bCs/>
          <w:sz w:val="24"/>
        </w:rPr>
        <w:t>（8）对基金管理人、基金托管人、基金服务机构损害其合法权益的行为依法提起诉讼或仲裁；</w:t>
      </w:r>
    </w:p>
    <w:p>
      <w:pPr>
        <w:adjustRightInd w:val="0"/>
        <w:snapToGrid w:val="0"/>
        <w:spacing w:line="360" w:lineRule="auto"/>
        <w:ind w:firstLine="480" w:firstLineChars="200"/>
        <w:rPr>
          <w:bCs/>
          <w:sz w:val="24"/>
        </w:rPr>
      </w:pPr>
      <w:r>
        <w:rPr>
          <w:rFonts w:hint="eastAsia"/>
          <w:bCs/>
          <w:sz w:val="24"/>
        </w:rPr>
        <w:t>（9）法律法规及中国证监会规定的和《基金合同》约定的其他权利。</w:t>
      </w:r>
    </w:p>
    <w:p>
      <w:pPr>
        <w:adjustRightInd w:val="0"/>
        <w:snapToGrid w:val="0"/>
        <w:spacing w:line="360" w:lineRule="auto"/>
        <w:ind w:firstLine="480" w:firstLineChars="200"/>
        <w:rPr>
          <w:bCs/>
          <w:sz w:val="24"/>
        </w:rPr>
      </w:pPr>
      <w:r>
        <w:rPr>
          <w:rFonts w:hint="eastAsia"/>
          <w:bCs/>
          <w:sz w:val="24"/>
        </w:rPr>
        <w:t>根据《基金法》、《运作办法》及其他有关规定，基金份额持有人的义务包括但不限于：</w:t>
      </w:r>
    </w:p>
    <w:p>
      <w:pPr>
        <w:adjustRightInd w:val="0"/>
        <w:snapToGrid w:val="0"/>
        <w:spacing w:line="360" w:lineRule="auto"/>
        <w:ind w:firstLine="480" w:firstLineChars="200"/>
        <w:rPr>
          <w:bCs/>
          <w:sz w:val="24"/>
        </w:rPr>
      </w:pPr>
      <w:r>
        <w:rPr>
          <w:rFonts w:hint="eastAsia"/>
          <w:bCs/>
          <w:sz w:val="24"/>
        </w:rPr>
        <w:t>（1）认真阅读并遵守《基金合同》、招募说明书等信息披露文件；</w:t>
      </w:r>
    </w:p>
    <w:p>
      <w:pPr>
        <w:adjustRightInd w:val="0"/>
        <w:snapToGrid w:val="0"/>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pPr>
        <w:adjustRightInd w:val="0"/>
        <w:snapToGrid w:val="0"/>
        <w:spacing w:line="360" w:lineRule="auto"/>
        <w:ind w:firstLine="480" w:firstLineChars="200"/>
        <w:rPr>
          <w:bCs/>
          <w:sz w:val="24"/>
        </w:rPr>
      </w:pPr>
      <w:r>
        <w:rPr>
          <w:rFonts w:hint="eastAsia"/>
          <w:bCs/>
          <w:sz w:val="24"/>
        </w:rPr>
        <w:t>（3）关注基金信息披露，及时行使权利和履行义务；</w:t>
      </w:r>
    </w:p>
    <w:p>
      <w:pPr>
        <w:adjustRightInd w:val="0"/>
        <w:snapToGrid w:val="0"/>
        <w:spacing w:line="360" w:lineRule="auto"/>
        <w:ind w:firstLine="480" w:firstLineChars="200"/>
        <w:rPr>
          <w:bCs/>
          <w:sz w:val="24"/>
        </w:rPr>
      </w:pPr>
      <w:r>
        <w:rPr>
          <w:rFonts w:hint="eastAsia"/>
          <w:bCs/>
          <w:sz w:val="24"/>
        </w:rPr>
        <w:t>（4）交纳基金认购、申购款项及法律法规和《基金合同》所规定的费用；</w:t>
      </w:r>
    </w:p>
    <w:p>
      <w:pPr>
        <w:adjustRightInd w:val="0"/>
        <w:snapToGrid w:val="0"/>
        <w:spacing w:line="360" w:lineRule="auto"/>
        <w:ind w:firstLine="480" w:firstLineChars="200"/>
        <w:rPr>
          <w:bCs/>
          <w:sz w:val="24"/>
        </w:rPr>
      </w:pPr>
      <w:r>
        <w:rPr>
          <w:rFonts w:hint="eastAsia"/>
          <w:bCs/>
          <w:sz w:val="24"/>
        </w:rPr>
        <w:t>（5）在其持有的基金份额范围内，承担基金亏损或者《基金合同》终止的有限责任；</w:t>
      </w:r>
    </w:p>
    <w:p>
      <w:pPr>
        <w:adjustRightInd w:val="0"/>
        <w:snapToGrid w:val="0"/>
        <w:spacing w:line="360" w:lineRule="auto"/>
        <w:ind w:firstLine="480" w:firstLineChars="200"/>
        <w:rPr>
          <w:bCs/>
          <w:sz w:val="24"/>
        </w:rPr>
      </w:pPr>
      <w:r>
        <w:rPr>
          <w:rFonts w:hint="eastAsia"/>
          <w:bCs/>
          <w:sz w:val="24"/>
        </w:rPr>
        <w:t>（6）不从事任何有损基金及其他《基金合同》当事人合法权益的活动；</w:t>
      </w:r>
    </w:p>
    <w:p>
      <w:pPr>
        <w:adjustRightInd w:val="0"/>
        <w:snapToGrid w:val="0"/>
        <w:spacing w:line="360" w:lineRule="auto"/>
        <w:ind w:firstLine="480" w:firstLineChars="200"/>
        <w:rPr>
          <w:bCs/>
          <w:sz w:val="24"/>
        </w:rPr>
      </w:pPr>
      <w:r>
        <w:rPr>
          <w:rFonts w:hint="eastAsia"/>
          <w:bCs/>
          <w:sz w:val="24"/>
        </w:rPr>
        <w:t>（7）执行生效的基金份额持有人大会的决议；</w:t>
      </w:r>
    </w:p>
    <w:p>
      <w:pPr>
        <w:adjustRightInd w:val="0"/>
        <w:snapToGrid w:val="0"/>
        <w:spacing w:line="360" w:lineRule="auto"/>
        <w:ind w:firstLine="480" w:firstLineChars="200"/>
        <w:rPr>
          <w:bCs/>
          <w:sz w:val="24"/>
        </w:rPr>
      </w:pPr>
      <w:r>
        <w:rPr>
          <w:rFonts w:hint="eastAsia"/>
          <w:bCs/>
          <w:sz w:val="24"/>
        </w:rPr>
        <w:t>（8）返还在基金交易过程中因任何原因获得的不当得利；</w:t>
      </w:r>
    </w:p>
    <w:p>
      <w:pPr>
        <w:adjustRightInd w:val="0"/>
        <w:snapToGrid w:val="0"/>
        <w:spacing w:line="360" w:lineRule="auto"/>
        <w:ind w:firstLine="480" w:firstLineChars="200"/>
        <w:rPr>
          <w:bCs/>
          <w:sz w:val="24"/>
        </w:rPr>
      </w:pPr>
      <w:r>
        <w:rPr>
          <w:rFonts w:hint="eastAsia"/>
          <w:bCs/>
          <w:sz w:val="24"/>
        </w:rPr>
        <w:t>（9）遵守基金管理人、基金托管人、销售机构和登记机构的相关交易及业务规则；</w:t>
      </w:r>
    </w:p>
    <w:p>
      <w:pPr>
        <w:adjustRightInd w:val="0"/>
        <w:snapToGrid w:val="0"/>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pPr>
        <w:adjustRightInd w:val="0"/>
        <w:snapToGrid w:val="0"/>
        <w:spacing w:line="360" w:lineRule="auto"/>
        <w:ind w:firstLine="480" w:firstLineChars="200"/>
        <w:rPr>
          <w:bCs/>
          <w:sz w:val="24"/>
        </w:rPr>
      </w:pPr>
      <w:r>
        <w:rPr>
          <w:rFonts w:hint="eastAsia"/>
          <w:bCs/>
          <w:sz w:val="24"/>
        </w:rPr>
        <w:t>（11）法律法规及中国证监会规定的和《基金合同》约定的其他义务。</w:t>
      </w:r>
    </w:p>
    <w:p>
      <w:pPr>
        <w:adjustRightInd w:val="0"/>
        <w:snapToGrid w:val="0"/>
        <w:spacing w:line="360" w:lineRule="auto"/>
        <w:ind w:firstLine="482"/>
        <w:outlineLvl w:val="1"/>
        <w:rPr>
          <w:b/>
          <w:bCs/>
          <w:sz w:val="24"/>
        </w:rPr>
      </w:pPr>
      <w:r>
        <w:rPr>
          <w:b/>
          <w:bCs/>
          <w:sz w:val="24"/>
        </w:rPr>
        <w:t>（二）基金份额持有人大会</w:t>
      </w:r>
      <w:r>
        <w:rPr>
          <w:rFonts w:hint="eastAsia"/>
          <w:b/>
          <w:bCs/>
          <w:sz w:val="24"/>
        </w:rPr>
        <w:t>召集、议事及表决的程序和规则</w:t>
      </w:r>
    </w:p>
    <w:p>
      <w:pPr>
        <w:adjustRightInd w:val="0"/>
        <w:snapToGrid w:val="0"/>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pPr>
        <w:adjustRightInd w:val="0"/>
        <w:snapToGrid w:val="0"/>
        <w:spacing w:line="360" w:lineRule="auto"/>
        <w:ind w:firstLine="480" w:firstLineChars="200"/>
        <w:rPr>
          <w:bCs/>
          <w:sz w:val="24"/>
        </w:rPr>
      </w:pPr>
      <w:r>
        <w:rPr>
          <w:rFonts w:hint="eastAsia"/>
          <w:bCs/>
          <w:sz w:val="24"/>
        </w:rPr>
        <w:t>本基金份额持有人大会不设日常机构。</w:t>
      </w:r>
    </w:p>
    <w:p>
      <w:pPr>
        <w:adjustRightInd w:val="0"/>
        <w:snapToGrid w:val="0"/>
        <w:spacing w:line="360" w:lineRule="auto"/>
        <w:ind w:firstLine="480" w:firstLineChars="200"/>
        <w:rPr>
          <w:bCs/>
          <w:sz w:val="24"/>
        </w:rPr>
      </w:pPr>
      <w:r>
        <w:rPr>
          <w:bCs/>
          <w:sz w:val="24"/>
        </w:rPr>
        <w:t>1、召开事由</w:t>
      </w:r>
    </w:p>
    <w:p>
      <w:pPr>
        <w:adjustRightInd w:val="0"/>
        <w:snapToGrid w:val="0"/>
        <w:spacing w:line="360" w:lineRule="auto"/>
        <w:ind w:firstLine="480" w:firstLineChars="200"/>
        <w:rPr>
          <w:bCs/>
          <w:sz w:val="24"/>
        </w:rPr>
      </w:pPr>
      <w:r>
        <w:rPr>
          <w:rFonts w:hint="eastAsia"/>
          <w:bCs/>
          <w:sz w:val="24"/>
        </w:rPr>
        <w:t>（1）当出现或需要决定下列事由之一的，应当召开基金份额持有人大会，法律法规和中国证监会另有规定的除外：</w:t>
      </w:r>
    </w:p>
    <w:p>
      <w:pPr>
        <w:adjustRightInd w:val="0"/>
        <w:snapToGrid w:val="0"/>
        <w:spacing w:line="360" w:lineRule="auto"/>
        <w:ind w:firstLine="480" w:firstLineChars="200"/>
        <w:rPr>
          <w:bCs/>
          <w:sz w:val="24"/>
        </w:rPr>
      </w:pPr>
      <w:r>
        <w:rPr>
          <w:rFonts w:hint="eastAsia"/>
          <w:bCs/>
          <w:sz w:val="24"/>
        </w:rPr>
        <w:t>1）终止《基金合同》，基金合同另有规定的除外；</w:t>
      </w:r>
    </w:p>
    <w:p>
      <w:pPr>
        <w:adjustRightInd w:val="0"/>
        <w:snapToGrid w:val="0"/>
        <w:spacing w:line="360" w:lineRule="auto"/>
        <w:ind w:firstLine="480" w:firstLineChars="200"/>
        <w:rPr>
          <w:bCs/>
          <w:sz w:val="24"/>
        </w:rPr>
      </w:pPr>
      <w:r>
        <w:rPr>
          <w:rFonts w:hint="eastAsia"/>
          <w:bCs/>
          <w:sz w:val="24"/>
        </w:rPr>
        <w:t>2）更换基金管理人；</w:t>
      </w:r>
    </w:p>
    <w:p>
      <w:pPr>
        <w:adjustRightInd w:val="0"/>
        <w:snapToGrid w:val="0"/>
        <w:spacing w:line="360" w:lineRule="auto"/>
        <w:ind w:firstLine="480" w:firstLineChars="200"/>
        <w:rPr>
          <w:bCs/>
          <w:sz w:val="24"/>
        </w:rPr>
      </w:pPr>
      <w:r>
        <w:rPr>
          <w:rFonts w:hint="eastAsia"/>
          <w:bCs/>
          <w:sz w:val="24"/>
        </w:rPr>
        <w:t>3）更换基金托管人；</w:t>
      </w:r>
    </w:p>
    <w:p>
      <w:pPr>
        <w:adjustRightInd w:val="0"/>
        <w:snapToGrid w:val="0"/>
        <w:spacing w:line="360" w:lineRule="auto"/>
        <w:ind w:firstLine="480" w:firstLineChars="200"/>
        <w:rPr>
          <w:bCs/>
          <w:sz w:val="24"/>
        </w:rPr>
      </w:pPr>
      <w:r>
        <w:rPr>
          <w:rFonts w:hint="eastAsia"/>
          <w:bCs/>
          <w:sz w:val="24"/>
        </w:rPr>
        <w:t>4）转换基金运作方式；</w:t>
      </w:r>
    </w:p>
    <w:p>
      <w:pPr>
        <w:adjustRightInd w:val="0"/>
        <w:snapToGrid w:val="0"/>
        <w:spacing w:line="360" w:lineRule="auto"/>
        <w:ind w:firstLine="480" w:firstLineChars="200"/>
        <w:rPr>
          <w:bCs/>
          <w:sz w:val="24"/>
        </w:rPr>
      </w:pPr>
      <w:r>
        <w:rPr>
          <w:rFonts w:hint="eastAsia"/>
          <w:bCs/>
          <w:sz w:val="24"/>
        </w:rPr>
        <w:t>5）调整基金管理人、基金托管人的报酬标准或提高销售服务费率；</w:t>
      </w:r>
    </w:p>
    <w:p>
      <w:pPr>
        <w:adjustRightInd w:val="0"/>
        <w:snapToGrid w:val="0"/>
        <w:spacing w:line="360" w:lineRule="auto"/>
        <w:ind w:firstLine="480" w:firstLineChars="200"/>
        <w:rPr>
          <w:bCs/>
          <w:sz w:val="24"/>
        </w:rPr>
      </w:pPr>
      <w:r>
        <w:rPr>
          <w:rFonts w:hint="eastAsia"/>
          <w:bCs/>
          <w:sz w:val="24"/>
        </w:rPr>
        <w:t>6）变更基金类别；</w:t>
      </w:r>
    </w:p>
    <w:p>
      <w:pPr>
        <w:adjustRightInd w:val="0"/>
        <w:snapToGrid w:val="0"/>
        <w:spacing w:line="360" w:lineRule="auto"/>
        <w:ind w:firstLine="480" w:firstLineChars="200"/>
        <w:rPr>
          <w:bCs/>
          <w:sz w:val="24"/>
        </w:rPr>
      </w:pPr>
      <w:r>
        <w:rPr>
          <w:rFonts w:hint="eastAsia"/>
          <w:bCs/>
          <w:sz w:val="24"/>
        </w:rPr>
        <w:t>7）本基金与其他基金的合并；</w:t>
      </w:r>
    </w:p>
    <w:p>
      <w:pPr>
        <w:adjustRightInd w:val="0"/>
        <w:snapToGrid w:val="0"/>
        <w:spacing w:line="360" w:lineRule="auto"/>
        <w:ind w:firstLine="480" w:firstLineChars="200"/>
        <w:rPr>
          <w:bCs/>
          <w:sz w:val="24"/>
        </w:rPr>
      </w:pPr>
      <w:r>
        <w:rPr>
          <w:rFonts w:hint="eastAsia"/>
          <w:bCs/>
          <w:sz w:val="24"/>
        </w:rPr>
        <w:t>8）变更基金投资目标、范围或策略，基金合同另有规定的除外；</w:t>
      </w:r>
    </w:p>
    <w:p>
      <w:pPr>
        <w:adjustRightInd w:val="0"/>
        <w:snapToGrid w:val="0"/>
        <w:spacing w:line="360" w:lineRule="auto"/>
        <w:ind w:firstLine="480" w:firstLineChars="200"/>
        <w:rPr>
          <w:bCs/>
          <w:sz w:val="24"/>
        </w:rPr>
      </w:pPr>
      <w:r>
        <w:rPr>
          <w:rFonts w:hint="eastAsia"/>
          <w:bCs/>
          <w:sz w:val="24"/>
        </w:rPr>
        <w:t>9）变更基金份额持有人大会程序，基金合同另有规定的除外；</w:t>
      </w:r>
    </w:p>
    <w:p>
      <w:pPr>
        <w:adjustRightInd w:val="0"/>
        <w:snapToGrid w:val="0"/>
        <w:spacing w:line="360" w:lineRule="auto"/>
        <w:ind w:firstLine="480" w:firstLineChars="200"/>
        <w:rPr>
          <w:bCs/>
          <w:sz w:val="24"/>
        </w:rPr>
      </w:pPr>
      <w:r>
        <w:rPr>
          <w:rFonts w:hint="eastAsia"/>
          <w:bCs/>
          <w:sz w:val="24"/>
        </w:rPr>
        <w:t>10）基金管理人或基金托管人要求召开基金份额持有人大会；</w:t>
      </w:r>
    </w:p>
    <w:p>
      <w:pPr>
        <w:adjustRightInd w:val="0"/>
        <w:snapToGrid w:val="0"/>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pPr>
        <w:adjustRightInd w:val="0"/>
        <w:snapToGrid w:val="0"/>
        <w:spacing w:line="360" w:lineRule="auto"/>
        <w:ind w:firstLine="480" w:firstLineChars="200"/>
        <w:rPr>
          <w:bCs/>
          <w:sz w:val="24"/>
        </w:rPr>
      </w:pPr>
      <w:r>
        <w:rPr>
          <w:rFonts w:hint="eastAsia"/>
          <w:bCs/>
          <w:sz w:val="24"/>
        </w:rPr>
        <w:t>12）对基金合同当事人权利和义务产生重大影响的其他事项；</w:t>
      </w:r>
    </w:p>
    <w:p>
      <w:pPr>
        <w:adjustRightInd w:val="0"/>
        <w:snapToGrid w:val="0"/>
        <w:spacing w:line="360" w:lineRule="auto"/>
        <w:ind w:firstLine="480" w:firstLineChars="200"/>
        <w:rPr>
          <w:bCs/>
          <w:sz w:val="24"/>
        </w:rPr>
      </w:pPr>
      <w:r>
        <w:rPr>
          <w:rFonts w:hint="eastAsia"/>
          <w:bCs/>
          <w:sz w:val="24"/>
        </w:rPr>
        <w:t>13）法律法规、《基金合同》或中国证监会规定的其他应当召开基金份额持有人大会的事项。</w:t>
      </w:r>
    </w:p>
    <w:p>
      <w:pPr>
        <w:adjustRightInd w:val="0"/>
        <w:snapToGrid w:val="0"/>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pPr>
        <w:adjustRightInd w:val="0"/>
        <w:snapToGrid w:val="0"/>
        <w:spacing w:line="360" w:lineRule="auto"/>
        <w:ind w:firstLine="480" w:firstLineChars="200"/>
        <w:rPr>
          <w:bCs/>
          <w:sz w:val="24"/>
        </w:rPr>
      </w:pPr>
      <w:r>
        <w:rPr>
          <w:rFonts w:hint="eastAsia"/>
          <w:bCs/>
          <w:sz w:val="24"/>
        </w:rPr>
        <w:t>1）调低基金销售服务费率；</w:t>
      </w:r>
    </w:p>
    <w:p>
      <w:pPr>
        <w:adjustRightInd w:val="0"/>
        <w:snapToGrid w:val="0"/>
        <w:spacing w:line="360" w:lineRule="auto"/>
        <w:ind w:firstLine="480" w:firstLineChars="200"/>
        <w:rPr>
          <w:bCs/>
          <w:sz w:val="24"/>
        </w:rPr>
      </w:pPr>
      <w:r>
        <w:rPr>
          <w:rFonts w:hint="eastAsia"/>
          <w:bCs/>
          <w:sz w:val="24"/>
        </w:rPr>
        <w:t>2）法律法规要求增加的基金费用的收取；</w:t>
      </w:r>
    </w:p>
    <w:p>
      <w:pPr>
        <w:adjustRightInd w:val="0"/>
        <w:snapToGrid w:val="0"/>
        <w:spacing w:line="360" w:lineRule="auto"/>
        <w:ind w:firstLine="480" w:firstLineChars="200"/>
        <w:rPr>
          <w:bCs/>
          <w:sz w:val="24"/>
        </w:rPr>
      </w:pPr>
      <w:r>
        <w:rPr>
          <w:bCs/>
          <w:sz w:val="24"/>
        </w:rPr>
        <w:t>3</w:t>
      </w:r>
      <w:r>
        <w:rPr>
          <w:rFonts w:hint="eastAsia"/>
          <w:bCs/>
          <w:sz w:val="24"/>
        </w:rPr>
        <w:t>）在法律法规和《基金合同》规定的范围内调整本基金的申购费率、在对现有基金份额持有人利益无实质性不利影响的前提下变更收费方式；</w:t>
      </w:r>
    </w:p>
    <w:p>
      <w:pPr>
        <w:adjustRightInd w:val="0"/>
        <w:snapToGrid w:val="0"/>
        <w:spacing w:line="360" w:lineRule="auto"/>
        <w:ind w:firstLine="480" w:firstLineChars="200"/>
        <w:rPr>
          <w:bCs/>
          <w:sz w:val="24"/>
        </w:rPr>
      </w:pPr>
      <w:r>
        <w:rPr>
          <w:bCs/>
          <w:sz w:val="24"/>
        </w:rPr>
        <w:t>4</w:t>
      </w:r>
      <w:r>
        <w:rPr>
          <w:rFonts w:hint="eastAsia"/>
          <w:bCs/>
          <w:sz w:val="24"/>
        </w:rPr>
        <w:t>）因相应的法律法规、登记机构的相关业务规则发生变动而应当对《基金合同》进行修改；</w:t>
      </w:r>
    </w:p>
    <w:p>
      <w:pPr>
        <w:adjustRightInd w:val="0"/>
        <w:snapToGrid w:val="0"/>
        <w:spacing w:line="360" w:lineRule="auto"/>
        <w:ind w:firstLine="480" w:firstLineChars="200"/>
        <w:rPr>
          <w:bCs/>
          <w:sz w:val="24"/>
        </w:rPr>
      </w:pPr>
      <w:r>
        <w:rPr>
          <w:bCs/>
          <w:sz w:val="24"/>
        </w:rPr>
        <w:t>5</w:t>
      </w:r>
      <w:r>
        <w:rPr>
          <w:rFonts w:hint="eastAsia"/>
          <w:bCs/>
          <w:sz w:val="24"/>
        </w:rPr>
        <w:t>）对《基金合同》的修改对基金份额持有人利益无实质性不利影响或修改不涉及《基金合同》当事人权利义务关系发生重大变化；</w:t>
      </w:r>
    </w:p>
    <w:p>
      <w:pPr>
        <w:adjustRightInd w:val="0"/>
        <w:snapToGrid w:val="0"/>
        <w:spacing w:line="360" w:lineRule="auto"/>
        <w:ind w:firstLine="480" w:firstLineChars="200"/>
        <w:rPr>
          <w:bCs/>
          <w:sz w:val="24"/>
        </w:rPr>
      </w:pPr>
      <w:r>
        <w:rPr>
          <w:bCs/>
          <w:sz w:val="24"/>
        </w:rPr>
        <w:t>6</w:t>
      </w:r>
      <w:r>
        <w:rPr>
          <w:rFonts w:hint="eastAsia"/>
          <w:bCs/>
          <w:sz w:val="24"/>
        </w:rPr>
        <w:t>）在法律法规允许的情况下，且在对现有基金份额持有人利益无实质性不利影响的前提下，在履行适当程序后，基金推出新业务或服务；</w:t>
      </w:r>
    </w:p>
    <w:p>
      <w:pPr>
        <w:adjustRightInd w:val="0"/>
        <w:snapToGrid w:val="0"/>
        <w:spacing w:line="360" w:lineRule="auto"/>
        <w:ind w:firstLine="480" w:firstLineChars="200"/>
        <w:rPr>
          <w:bCs/>
          <w:sz w:val="24"/>
        </w:rPr>
      </w:pP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pPr>
        <w:adjustRightInd w:val="0"/>
        <w:snapToGrid w:val="0"/>
        <w:spacing w:line="360" w:lineRule="auto"/>
        <w:ind w:firstLine="480" w:firstLineChars="200"/>
        <w:rPr>
          <w:bCs/>
          <w:sz w:val="24"/>
        </w:rPr>
      </w:pPr>
      <w:r>
        <w:rPr>
          <w:bCs/>
          <w:sz w:val="24"/>
        </w:rPr>
        <w:t>8</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pPr>
        <w:adjustRightInd w:val="0"/>
        <w:snapToGrid w:val="0"/>
        <w:spacing w:line="360" w:lineRule="auto"/>
        <w:ind w:firstLine="480" w:firstLineChars="200"/>
        <w:rPr>
          <w:bCs/>
          <w:sz w:val="24"/>
        </w:rPr>
      </w:pPr>
      <w:r>
        <w:rPr>
          <w:bCs/>
          <w:sz w:val="24"/>
        </w:rPr>
        <w:t>9</w:t>
      </w:r>
      <w:r>
        <w:rPr>
          <w:rFonts w:hint="eastAsia"/>
          <w:bCs/>
          <w:sz w:val="24"/>
        </w:rPr>
        <w:t>）按照法律法规和《基金合同》规定不需召开基金份额持有人大会的其他情形。</w:t>
      </w:r>
    </w:p>
    <w:p>
      <w:pPr>
        <w:adjustRightInd w:val="0"/>
        <w:snapToGrid w:val="0"/>
        <w:spacing w:line="360" w:lineRule="auto"/>
        <w:ind w:firstLine="480" w:firstLineChars="200"/>
        <w:rPr>
          <w:bCs/>
          <w:sz w:val="24"/>
        </w:rPr>
      </w:pPr>
      <w:r>
        <w:rPr>
          <w:rFonts w:hint="eastAsia"/>
          <w:bCs/>
          <w:sz w:val="24"/>
        </w:rPr>
        <w:t>2、会议召集人及召集方式</w:t>
      </w:r>
    </w:p>
    <w:p>
      <w:pPr>
        <w:adjustRightInd w:val="0"/>
        <w:snapToGrid w:val="0"/>
        <w:spacing w:line="360" w:lineRule="auto"/>
        <w:ind w:firstLine="480" w:firstLineChars="200"/>
        <w:rPr>
          <w:bCs/>
          <w:sz w:val="24"/>
        </w:rPr>
      </w:pPr>
      <w:r>
        <w:rPr>
          <w:rFonts w:hint="eastAsia"/>
          <w:bCs/>
          <w:sz w:val="24"/>
        </w:rPr>
        <w:t>（1）除法律法规规定或《基金合同》另有约定外，基金份额持有人大会由基金管理人召集；</w:t>
      </w:r>
    </w:p>
    <w:p>
      <w:pPr>
        <w:adjustRightInd w:val="0"/>
        <w:snapToGrid w:val="0"/>
        <w:spacing w:line="360" w:lineRule="auto"/>
        <w:ind w:firstLine="480" w:firstLineChars="200"/>
        <w:rPr>
          <w:bCs/>
          <w:sz w:val="24"/>
        </w:rPr>
      </w:pPr>
      <w:r>
        <w:rPr>
          <w:rFonts w:hint="eastAsia"/>
          <w:bCs/>
          <w:sz w:val="24"/>
        </w:rPr>
        <w:t>（2）基金管理人未按规定召集或不能召集时，由基金托管人召集；</w:t>
      </w:r>
    </w:p>
    <w:p>
      <w:pPr>
        <w:adjustRightInd w:val="0"/>
        <w:snapToGrid w:val="0"/>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adjustRightInd w:val="0"/>
        <w:snapToGrid w:val="0"/>
        <w:spacing w:line="360" w:lineRule="auto"/>
        <w:ind w:firstLine="480" w:firstLineChars="200"/>
        <w:rPr>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adjustRightInd w:val="0"/>
        <w:snapToGrid w:val="0"/>
        <w:spacing w:line="360" w:lineRule="auto"/>
        <w:ind w:firstLine="480" w:firstLineChars="200"/>
        <w:rPr>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adjustRightInd w:val="0"/>
        <w:snapToGrid w:val="0"/>
        <w:spacing w:line="360" w:lineRule="auto"/>
        <w:ind w:firstLine="480" w:firstLineChars="200"/>
        <w:rPr>
          <w:bCs/>
          <w:sz w:val="24"/>
        </w:rPr>
      </w:pPr>
      <w:r>
        <w:rPr>
          <w:rFonts w:hint="eastAsia"/>
          <w:bCs/>
          <w:sz w:val="24"/>
        </w:rPr>
        <w:t>（6）基金份额持有人会议的召集人负责选择确定开会时间、地点、方式和权益登记日。</w:t>
      </w:r>
    </w:p>
    <w:p>
      <w:pPr>
        <w:adjustRightInd w:val="0"/>
        <w:snapToGrid w:val="0"/>
        <w:spacing w:line="360" w:lineRule="auto"/>
        <w:ind w:firstLine="480" w:firstLineChars="200"/>
        <w:rPr>
          <w:bCs/>
          <w:sz w:val="24"/>
        </w:rPr>
      </w:pPr>
      <w:r>
        <w:rPr>
          <w:rFonts w:hint="eastAsia"/>
          <w:bCs/>
          <w:sz w:val="24"/>
        </w:rPr>
        <w:t>3、召开基金份额持有人大会的通知时间、通知内容、通知方式</w:t>
      </w:r>
    </w:p>
    <w:p>
      <w:pPr>
        <w:adjustRightInd w:val="0"/>
        <w:snapToGrid w:val="0"/>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pPr>
        <w:adjustRightInd w:val="0"/>
        <w:snapToGrid w:val="0"/>
        <w:spacing w:line="360" w:lineRule="auto"/>
        <w:ind w:firstLine="480" w:firstLineChars="200"/>
        <w:rPr>
          <w:bCs/>
          <w:sz w:val="24"/>
        </w:rPr>
      </w:pPr>
      <w:r>
        <w:rPr>
          <w:rFonts w:hint="eastAsia"/>
          <w:bCs/>
          <w:sz w:val="24"/>
        </w:rPr>
        <w:t>1）会议召开的时间、地点和会议形式；</w:t>
      </w:r>
    </w:p>
    <w:p>
      <w:pPr>
        <w:adjustRightInd w:val="0"/>
        <w:snapToGrid w:val="0"/>
        <w:spacing w:line="360" w:lineRule="auto"/>
        <w:ind w:firstLine="480" w:firstLineChars="200"/>
        <w:rPr>
          <w:bCs/>
          <w:sz w:val="24"/>
        </w:rPr>
      </w:pPr>
      <w:r>
        <w:rPr>
          <w:rFonts w:hint="eastAsia"/>
          <w:bCs/>
          <w:sz w:val="24"/>
        </w:rPr>
        <w:t>2）会议拟审议的事项、议事程序和表决方式；</w:t>
      </w:r>
    </w:p>
    <w:p>
      <w:pPr>
        <w:adjustRightInd w:val="0"/>
        <w:snapToGrid w:val="0"/>
        <w:spacing w:line="360" w:lineRule="auto"/>
        <w:ind w:firstLine="480" w:firstLineChars="200"/>
        <w:rPr>
          <w:bCs/>
          <w:sz w:val="24"/>
        </w:rPr>
      </w:pPr>
      <w:r>
        <w:rPr>
          <w:rFonts w:hint="eastAsia"/>
          <w:bCs/>
          <w:sz w:val="24"/>
        </w:rPr>
        <w:t>3）有权出席基金份额持有人大会的基金份额持有人的权益登记日；</w:t>
      </w:r>
    </w:p>
    <w:p>
      <w:pPr>
        <w:adjustRightInd w:val="0"/>
        <w:snapToGrid w:val="0"/>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pPr>
        <w:adjustRightInd w:val="0"/>
        <w:snapToGrid w:val="0"/>
        <w:spacing w:line="360" w:lineRule="auto"/>
        <w:ind w:firstLine="480" w:firstLineChars="200"/>
        <w:rPr>
          <w:bCs/>
          <w:sz w:val="24"/>
        </w:rPr>
      </w:pPr>
      <w:r>
        <w:rPr>
          <w:rFonts w:hint="eastAsia"/>
          <w:bCs/>
          <w:sz w:val="24"/>
        </w:rPr>
        <w:t>5）会务常设联系人姓名及联系电话；</w:t>
      </w:r>
    </w:p>
    <w:p>
      <w:pPr>
        <w:adjustRightInd w:val="0"/>
        <w:snapToGrid w:val="0"/>
        <w:spacing w:line="360" w:lineRule="auto"/>
        <w:ind w:firstLine="480" w:firstLineChars="200"/>
        <w:rPr>
          <w:bCs/>
          <w:sz w:val="24"/>
        </w:rPr>
      </w:pPr>
      <w:r>
        <w:rPr>
          <w:rFonts w:hint="eastAsia"/>
          <w:bCs/>
          <w:sz w:val="24"/>
        </w:rPr>
        <w:t>6）出席会议者必须准备的文件和必须履行的手续；</w:t>
      </w:r>
    </w:p>
    <w:p>
      <w:pPr>
        <w:adjustRightInd w:val="0"/>
        <w:snapToGrid w:val="0"/>
        <w:spacing w:line="360" w:lineRule="auto"/>
        <w:ind w:firstLine="480" w:firstLineChars="200"/>
        <w:rPr>
          <w:bCs/>
          <w:sz w:val="24"/>
        </w:rPr>
      </w:pPr>
      <w:r>
        <w:rPr>
          <w:rFonts w:hint="eastAsia"/>
          <w:bCs/>
          <w:sz w:val="24"/>
        </w:rPr>
        <w:t>7）召集人需要通知的其他事项。</w:t>
      </w:r>
    </w:p>
    <w:p>
      <w:pPr>
        <w:adjustRightInd w:val="0"/>
        <w:snapToGrid w:val="0"/>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adjustRightInd w:val="0"/>
        <w:snapToGrid w:val="0"/>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djustRightInd w:val="0"/>
        <w:snapToGrid w:val="0"/>
        <w:spacing w:line="360" w:lineRule="auto"/>
        <w:ind w:firstLine="480" w:firstLineChars="200"/>
        <w:rPr>
          <w:bCs/>
          <w:sz w:val="24"/>
        </w:rPr>
      </w:pPr>
      <w:r>
        <w:rPr>
          <w:rFonts w:hint="eastAsia"/>
          <w:bCs/>
          <w:sz w:val="24"/>
        </w:rPr>
        <w:t>4、基金份额持有人出席会议的方式</w:t>
      </w:r>
    </w:p>
    <w:p>
      <w:pPr>
        <w:adjustRightInd w:val="0"/>
        <w:snapToGrid w:val="0"/>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基金份额持有人大会可通过现场开会方式、通讯开会方式或法律法规、监管机构允许的其他方式召开，会议的召开方式由会议召集人确定。</w:t>
      </w:r>
    </w:p>
    <w:p>
      <w:pPr>
        <w:adjustRightInd w:val="0"/>
        <w:snapToGrid w:val="0"/>
        <w:spacing w:line="360" w:lineRule="auto"/>
        <w:ind w:firstLine="480" w:firstLineChars="20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djustRightInd w:val="0"/>
        <w:snapToGrid w:val="0"/>
        <w:spacing w:line="360" w:lineRule="auto"/>
        <w:ind w:firstLine="480" w:firstLineChars="20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djustRightInd w:val="0"/>
        <w:snapToGrid w:val="0"/>
        <w:spacing w:line="360" w:lineRule="auto"/>
        <w:ind w:firstLine="480" w:firstLineChars="20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adjustRightInd w:val="0"/>
        <w:snapToGrid w:val="0"/>
        <w:spacing w:line="360" w:lineRule="auto"/>
        <w:ind w:firstLine="480" w:firstLineChars="200"/>
        <w:rPr>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pPr>
        <w:adjustRightInd w:val="0"/>
        <w:snapToGrid w:val="0"/>
        <w:spacing w:line="360" w:lineRule="auto"/>
        <w:ind w:firstLine="480" w:firstLineChars="200"/>
        <w:rPr>
          <w:bCs/>
          <w:sz w:val="24"/>
        </w:rPr>
      </w:pPr>
      <w:r>
        <w:rPr>
          <w:rFonts w:hint="eastAsia"/>
          <w:bCs/>
          <w:sz w:val="24"/>
        </w:rPr>
        <w:t>在同时符合以下条件时，通讯开会的方式视为有效：</w:t>
      </w:r>
    </w:p>
    <w:p>
      <w:pPr>
        <w:adjustRightInd w:val="0"/>
        <w:snapToGrid w:val="0"/>
        <w:spacing w:line="360" w:lineRule="auto"/>
        <w:ind w:firstLine="480" w:firstLineChars="200"/>
        <w:rPr>
          <w:bCs/>
          <w:sz w:val="24"/>
        </w:rPr>
      </w:pPr>
      <w:r>
        <w:rPr>
          <w:rFonts w:hint="eastAsia"/>
          <w:bCs/>
          <w:sz w:val="24"/>
        </w:rPr>
        <w:t>1）会议召集人按《基金合同》约定公布会议通知后，在2个工作日内连续公布相关提示性公告；</w:t>
      </w:r>
    </w:p>
    <w:p>
      <w:pPr>
        <w:adjustRightInd w:val="0"/>
        <w:snapToGrid w:val="0"/>
        <w:spacing w:line="360" w:lineRule="auto"/>
        <w:ind w:firstLine="480" w:firstLineChars="20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adjustRightInd w:val="0"/>
        <w:snapToGrid w:val="0"/>
        <w:spacing w:line="360" w:lineRule="auto"/>
        <w:ind w:firstLine="480" w:firstLineChars="20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adjustRightInd w:val="0"/>
        <w:snapToGrid w:val="0"/>
        <w:spacing w:line="360" w:lineRule="auto"/>
        <w:ind w:firstLine="480" w:firstLineChars="20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adjustRightInd w:val="0"/>
        <w:snapToGrid w:val="0"/>
        <w:spacing w:line="360" w:lineRule="auto"/>
        <w:ind w:firstLine="480" w:firstLineChars="20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adjustRightInd w:val="0"/>
        <w:snapToGrid w:val="0"/>
        <w:spacing w:line="360" w:lineRule="auto"/>
        <w:ind w:firstLine="480" w:firstLineChars="200"/>
        <w:rPr>
          <w:bCs/>
          <w:sz w:val="24"/>
        </w:rPr>
      </w:pPr>
      <w:r>
        <w:rPr>
          <w:rFonts w:hint="eastAsia"/>
          <w:bCs/>
          <w:sz w:val="24"/>
        </w:rPr>
        <w:t>5、议事内容与程序</w:t>
      </w:r>
    </w:p>
    <w:p>
      <w:pPr>
        <w:adjustRightInd w:val="0"/>
        <w:snapToGrid w:val="0"/>
        <w:spacing w:line="360" w:lineRule="auto"/>
        <w:ind w:firstLine="480" w:firstLineChars="200"/>
        <w:rPr>
          <w:bCs/>
          <w:sz w:val="24"/>
        </w:rPr>
      </w:pPr>
      <w:r>
        <w:rPr>
          <w:rFonts w:hint="eastAsia"/>
          <w:bCs/>
          <w:sz w:val="24"/>
        </w:rPr>
        <w:t>（1）议事内容及提案权</w:t>
      </w:r>
    </w:p>
    <w:p>
      <w:pPr>
        <w:adjustRightInd w:val="0"/>
        <w:snapToGrid w:val="0"/>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adjustRightInd w:val="0"/>
        <w:snapToGrid w:val="0"/>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pPr>
        <w:adjustRightInd w:val="0"/>
        <w:snapToGrid w:val="0"/>
        <w:spacing w:line="360" w:lineRule="auto"/>
        <w:ind w:firstLine="480" w:firstLineChars="200"/>
        <w:rPr>
          <w:bCs/>
          <w:sz w:val="24"/>
        </w:rPr>
      </w:pPr>
      <w:r>
        <w:rPr>
          <w:rFonts w:hint="eastAsia"/>
          <w:bCs/>
          <w:sz w:val="24"/>
        </w:rPr>
        <w:t>基金份额持有人大会不得对未事先公告的议事内容进行表决。</w:t>
      </w:r>
    </w:p>
    <w:p>
      <w:pPr>
        <w:adjustRightInd w:val="0"/>
        <w:snapToGrid w:val="0"/>
        <w:spacing w:line="360" w:lineRule="auto"/>
        <w:ind w:firstLine="480" w:firstLineChars="200"/>
        <w:rPr>
          <w:bCs/>
          <w:sz w:val="24"/>
        </w:rPr>
      </w:pPr>
      <w:r>
        <w:rPr>
          <w:rFonts w:hint="eastAsia"/>
          <w:bCs/>
          <w:sz w:val="24"/>
        </w:rPr>
        <w:t>（2）议事程序</w:t>
      </w:r>
    </w:p>
    <w:p>
      <w:pPr>
        <w:adjustRightInd w:val="0"/>
        <w:snapToGrid w:val="0"/>
        <w:spacing w:line="360" w:lineRule="auto"/>
        <w:ind w:firstLine="480" w:firstLineChars="200"/>
        <w:rPr>
          <w:bCs/>
          <w:sz w:val="24"/>
        </w:rPr>
      </w:pPr>
      <w:r>
        <w:rPr>
          <w:rFonts w:hint="eastAsia"/>
          <w:bCs/>
          <w:sz w:val="24"/>
        </w:rPr>
        <w:t>1）现场开会</w:t>
      </w:r>
    </w:p>
    <w:p>
      <w:pPr>
        <w:adjustRightInd w:val="0"/>
        <w:snapToGrid w:val="0"/>
        <w:spacing w:line="360" w:lineRule="auto"/>
        <w:ind w:firstLine="480" w:firstLineChars="200"/>
        <w:rPr>
          <w:bCs/>
          <w:sz w:val="24"/>
        </w:rPr>
      </w:pPr>
      <w:r>
        <w:rPr>
          <w:rFonts w:hint="eastAsia"/>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pPr>
        <w:adjustRightInd w:val="0"/>
        <w:snapToGrid w:val="0"/>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pPr>
        <w:adjustRightInd w:val="0"/>
        <w:snapToGrid w:val="0"/>
        <w:spacing w:line="360" w:lineRule="auto"/>
        <w:ind w:firstLine="480" w:firstLineChars="200"/>
        <w:rPr>
          <w:bCs/>
          <w:sz w:val="24"/>
        </w:rPr>
      </w:pPr>
      <w:r>
        <w:rPr>
          <w:rFonts w:hint="eastAsia"/>
          <w:bCs/>
          <w:sz w:val="24"/>
        </w:rPr>
        <w:t>2）通讯开会</w:t>
      </w:r>
    </w:p>
    <w:p>
      <w:pPr>
        <w:adjustRightInd w:val="0"/>
        <w:snapToGrid w:val="0"/>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pPr>
        <w:adjustRightInd w:val="0"/>
        <w:snapToGrid w:val="0"/>
        <w:spacing w:line="360" w:lineRule="auto"/>
        <w:ind w:firstLine="480" w:firstLineChars="200"/>
        <w:rPr>
          <w:bCs/>
          <w:sz w:val="24"/>
        </w:rPr>
      </w:pPr>
      <w:r>
        <w:rPr>
          <w:rFonts w:hint="eastAsia"/>
          <w:bCs/>
          <w:sz w:val="24"/>
        </w:rPr>
        <w:t>6、表决</w:t>
      </w:r>
    </w:p>
    <w:p>
      <w:pPr>
        <w:adjustRightInd w:val="0"/>
        <w:snapToGrid w:val="0"/>
        <w:spacing w:line="360" w:lineRule="auto"/>
        <w:ind w:firstLine="480" w:firstLineChars="200"/>
        <w:rPr>
          <w:bCs/>
          <w:sz w:val="24"/>
        </w:rPr>
      </w:pPr>
      <w:r>
        <w:rPr>
          <w:rFonts w:hint="eastAsia"/>
          <w:bCs/>
          <w:sz w:val="24"/>
        </w:rPr>
        <w:t>基金份额持有人所持每份基金份额有一票表决权。</w:t>
      </w:r>
    </w:p>
    <w:p>
      <w:pPr>
        <w:adjustRightInd w:val="0"/>
        <w:snapToGrid w:val="0"/>
        <w:spacing w:line="360" w:lineRule="auto"/>
        <w:ind w:firstLine="480" w:firstLineChars="200"/>
        <w:rPr>
          <w:bCs/>
          <w:sz w:val="24"/>
        </w:rPr>
      </w:pPr>
      <w:r>
        <w:rPr>
          <w:rFonts w:hint="eastAsia"/>
          <w:bCs/>
          <w:sz w:val="24"/>
        </w:rPr>
        <w:t>基金份额持有人大会决议分为一般决议和特别决议：</w:t>
      </w:r>
    </w:p>
    <w:p>
      <w:pPr>
        <w:adjustRightInd w:val="0"/>
        <w:snapToGrid w:val="0"/>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adjustRightInd w:val="0"/>
        <w:snapToGrid w:val="0"/>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adjustRightInd w:val="0"/>
        <w:snapToGrid w:val="0"/>
        <w:spacing w:line="360" w:lineRule="auto"/>
        <w:ind w:firstLine="480" w:firstLineChars="200"/>
        <w:rPr>
          <w:bCs/>
          <w:sz w:val="24"/>
        </w:rPr>
      </w:pPr>
      <w:r>
        <w:rPr>
          <w:rFonts w:hint="eastAsia"/>
          <w:bCs/>
          <w:sz w:val="24"/>
        </w:rPr>
        <w:t>基金份额持有人大会采取记名方式进行投票表决。</w:t>
      </w:r>
    </w:p>
    <w:p>
      <w:pPr>
        <w:adjustRightInd w:val="0"/>
        <w:snapToGrid w:val="0"/>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adjustRightInd w:val="0"/>
        <w:snapToGrid w:val="0"/>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pPr>
        <w:adjustRightInd w:val="0"/>
        <w:snapToGrid w:val="0"/>
        <w:spacing w:line="360" w:lineRule="auto"/>
        <w:ind w:firstLine="480" w:firstLineChars="200"/>
        <w:rPr>
          <w:bCs/>
          <w:sz w:val="24"/>
        </w:rPr>
      </w:pPr>
      <w:r>
        <w:rPr>
          <w:rFonts w:hint="eastAsia"/>
          <w:bCs/>
          <w:sz w:val="24"/>
        </w:rPr>
        <w:t>7、计票</w:t>
      </w:r>
    </w:p>
    <w:p>
      <w:pPr>
        <w:adjustRightInd w:val="0"/>
        <w:snapToGrid w:val="0"/>
        <w:spacing w:line="360" w:lineRule="auto"/>
        <w:ind w:firstLine="480" w:firstLineChars="200"/>
        <w:rPr>
          <w:bCs/>
          <w:sz w:val="24"/>
        </w:rPr>
      </w:pPr>
      <w:r>
        <w:rPr>
          <w:rFonts w:hint="eastAsia"/>
          <w:bCs/>
          <w:sz w:val="24"/>
        </w:rPr>
        <w:t>（1）现场开会</w:t>
      </w:r>
    </w:p>
    <w:p>
      <w:pPr>
        <w:adjustRightInd w:val="0"/>
        <w:snapToGrid w:val="0"/>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adjustRightInd w:val="0"/>
        <w:snapToGrid w:val="0"/>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pPr>
        <w:adjustRightInd w:val="0"/>
        <w:snapToGrid w:val="0"/>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adjustRightInd w:val="0"/>
        <w:snapToGrid w:val="0"/>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pPr>
        <w:adjustRightInd w:val="0"/>
        <w:snapToGrid w:val="0"/>
        <w:spacing w:line="360" w:lineRule="auto"/>
        <w:ind w:firstLine="480" w:firstLineChars="200"/>
        <w:rPr>
          <w:bCs/>
          <w:sz w:val="24"/>
        </w:rPr>
      </w:pPr>
      <w:r>
        <w:rPr>
          <w:rFonts w:hint="eastAsia"/>
          <w:bCs/>
          <w:sz w:val="24"/>
        </w:rPr>
        <w:t>（2）通讯开会</w:t>
      </w:r>
    </w:p>
    <w:p>
      <w:pPr>
        <w:adjustRightInd w:val="0"/>
        <w:snapToGrid w:val="0"/>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adjustRightInd w:val="0"/>
        <w:snapToGrid w:val="0"/>
        <w:spacing w:line="360" w:lineRule="auto"/>
        <w:ind w:firstLine="480" w:firstLineChars="200"/>
        <w:rPr>
          <w:bCs/>
          <w:sz w:val="24"/>
        </w:rPr>
      </w:pPr>
      <w:r>
        <w:rPr>
          <w:rFonts w:hint="eastAsia"/>
          <w:bCs/>
          <w:sz w:val="24"/>
        </w:rPr>
        <w:t>8、生效与公告</w:t>
      </w:r>
    </w:p>
    <w:p>
      <w:pPr>
        <w:adjustRightInd w:val="0"/>
        <w:snapToGrid w:val="0"/>
        <w:spacing w:line="360" w:lineRule="auto"/>
        <w:ind w:firstLine="480" w:firstLineChars="200"/>
        <w:rPr>
          <w:bCs/>
          <w:sz w:val="24"/>
        </w:rPr>
      </w:pPr>
      <w:r>
        <w:rPr>
          <w:rFonts w:hint="eastAsia"/>
          <w:bCs/>
          <w:sz w:val="24"/>
        </w:rPr>
        <w:t>基金份额持有人大会的决议，召集人应当自通过之日起5日内报中国证监会备案。</w:t>
      </w:r>
    </w:p>
    <w:p>
      <w:pPr>
        <w:adjustRightInd w:val="0"/>
        <w:snapToGrid w:val="0"/>
        <w:spacing w:line="360" w:lineRule="auto"/>
        <w:ind w:firstLine="480" w:firstLineChars="200"/>
        <w:rPr>
          <w:bCs/>
          <w:sz w:val="24"/>
        </w:rPr>
      </w:pPr>
      <w:r>
        <w:rPr>
          <w:rFonts w:hint="eastAsia"/>
          <w:bCs/>
          <w:sz w:val="24"/>
        </w:rPr>
        <w:t>基金份额持有人大会的决议自表决通过之日起生效。法律法规另有规定的，从其规定。</w:t>
      </w:r>
    </w:p>
    <w:p>
      <w:pPr>
        <w:adjustRightInd w:val="0"/>
        <w:snapToGrid w:val="0"/>
        <w:spacing w:line="360" w:lineRule="auto"/>
        <w:ind w:firstLine="480" w:firstLineChars="20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adjustRightInd w:val="0"/>
        <w:snapToGrid w:val="0"/>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pPr>
        <w:adjustRightInd w:val="0"/>
        <w:snapToGrid w:val="0"/>
        <w:spacing w:line="360" w:lineRule="auto"/>
        <w:ind w:firstLine="480" w:firstLineChars="200"/>
        <w:rPr>
          <w:bCs/>
          <w:sz w:val="24"/>
        </w:rPr>
      </w:pPr>
      <w:r>
        <w:rPr>
          <w:rFonts w:hint="eastAsia"/>
          <w:bCs/>
          <w:sz w:val="24"/>
        </w:rPr>
        <w:t>9、实施侧袋机制期间基金份额持有人大会的特殊约定</w:t>
      </w:r>
    </w:p>
    <w:p>
      <w:pPr>
        <w:adjustRightInd w:val="0"/>
        <w:snapToGrid w:val="0"/>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djustRightInd w:val="0"/>
        <w:snapToGrid w:val="0"/>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pPr>
        <w:adjustRightInd w:val="0"/>
        <w:snapToGrid w:val="0"/>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pPr>
        <w:adjustRightInd w:val="0"/>
        <w:snapToGrid w:val="0"/>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pPr>
        <w:adjustRightInd w:val="0"/>
        <w:snapToGrid w:val="0"/>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adjustRightInd w:val="0"/>
        <w:snapToGrid w:val="0"/>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pPr>
        <w:adjustRightInd w:val="0"/>
        <w:snapToGrid w:val="0"/>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pPr>
        <w:adjustRightInd w:val="0"/>
        <w:snapToGrid w:val="0"/>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pPr>
        <w:adjustRightInd w:val="0"/>
        <w:snapToGrid w:val="0"/>
        <w:spacing w:line="360" w:lineRule="auto"/>
        <w:ind w:firstLine="480" w:firstLineChars="200"/>
        <w:rPr>
          <w:bCs/>
          <w:sz w:val="24"/>
        </w:rPr>
      </w:pPr>
      <w:r>
        <w:rPr>
          <w:rFonts w:hint="eastAsia"/>
          <w:bCs/>
          <w:sz w:val="24"/>
        </w:rPr>
        <w:t>同一主侧袋账户内的每份基金份额具有平等的表决权。</w:t>
      </w:r>
    </w:p>
    <w:p>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pPr>
        <w:adjustRightInd w:val="0"/>
        <w:snapToGrid w:val="0"/>
        <w:spacing w:line="360" w:lineRule="auto"/>
        <w:ind w:firstLine="482"/>
        <w:outlineLvl w:val="1"/>
        <w:rPr>
          <w:b/>
          <w:bCs/>
          <w:sz w:val="24"/>
        </w:rPr>
      </w:pPr>
      <w:r>
        <w:rPr>
          <w:rFonts w:hint="eastAsia"/>
          <w:b/>
          <w:bCs/>
          <w:sz w:val="24"/>
        </w:rPr>
        <w:t>（三）基金合同解除和终止的事由、程序</w:t>
      </w:r>
    </w:p>
    <w:p>
      <w:pPr>
        <w:adjustRightInd w:val="0"/>
        <w:snapToGrid w:val="0"/>
        <w:spacing w:line="360" w:lineRule="auto"/>
        <w:ind w:firstLine="480" w:firstLineChars="200"/>
        <w:rPr>
          <w:bCs/>
          <w:sz w:val="24"/>
        </w:rPr>
      </w:pPr>
      <w:r>
        <w:rPr>
          <w:bCs/>
          <w:sz w:val="24"/>
        </w:rPr>
        <w:t>1、《基金合同》的变更</w:t>
      </w:r>
    </w:p>
    <w:p>
      <w:pPr>
        <w:adjustRightInd w:val="0"/>
        <w:snapToGrid w:val="0"/>
        <w:spacing w:line="360" w:lineRule="auto"/>
        <w:ind w:firstLine="480" w:firstLineChars="200"/>
        <w:rPr>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djustRightInd w:val="0"/>
        <w:snapToGrid w:val="0"/>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pPr>
        <w:adjustRightInd w:val="0"/>
        <w:snapToGrid w:val="0"/>
        <w:spacing w:line="360" w:lineRule="auto"/>
        <w:ind w:firstLine="480" w:firstLineChars="200"/>
        <w:rPr>
          <w:bCs/>
          <w:sz w:val="24"/>
        </w:rPr>
      </w:pPr>
      <w:r>
        <w:rPr>
          <w:bCs/>
          <w:sz w:val="24"/>
        </w:rPr>
        <w:t>2、《基金合同》的终止事由</w:t>
      </w:r>
    </w:p>
    <w:p>
      <w:pPr>
        <w:adjustRightInd w:val="0"/>
        <w:snapToGrid w:val="0"/>
        <w:spacing w:line="360" w:lineRule="auto"/>
        <w:ind w:firstLine="480" w:firstLineChars="200"/>
        <w:rPr>
          <w:bCs/>
          <w:sz w:val="24"/>
        </w:rPr>
      </w:pPr>
      <w:r>
        <w:rPr>
          <w:rFonts w:hint="eastAsia"/>
          <w:bCs/>
          <w:sz w:val="24"/>
        </w:rPr>
        <w:t>有下列情形之一的，经履行相关程序后，《基金合同》应当终止：</w:t>
      </w:r>
    </w:p>
    <w:p>
      <w:pPr>
        <w:adjustRightInd w:val="0"/>
        <w:snapToGrid w:val="0"/>
        <w:spacing w:line="360" w:lineRule="auto"/>
        <w:ind w:firstLine="480" w:firstLineChars="200"/>
        <w:rPr>
          <w:bCs/>
          <w:sz w:val="24"/>
        </w:rPr>
      </w:pPr>
      <w:r>
        <w:rPr>
          <w:rFonts w:hint="eastAsia"/>
          <w:bCs/>
          <w:sz w:val="24"/>
        </w:rPr>
        <w:t>（1）基金份额持有人大会决定终止的；</w:t>
      </w:r>
    </w:p>
    <w:p>
      <w:pPr>
        <w:adjustRightInd w:val="0"/>
        <w:snapToGrid w:val="0"/>
        <w:spacing w:line="360" w:lineRule="auto"/>
        <w:ind w:firstLine="480" w:firstLineChars="200"/>
        <w:rPr>
          <w:bCs/>
          <w:sz w:val="24"/>
        </w:rPr>
      </w:pPr>
      <w:r>
        <w:rPr>
          <w:rFonts w:hint="eastAsia"/>
          <w:bCs/>
          <w:sz w:val="24"/>
        </w:rPr>
        <w:t>（2）基金管理人、基金托管人职责终止，在6个月内没有新基金管理人、新基金托管人承接的；</w:t>
      </w:r>
    </w:p>
    <w:p>
      <w:pPr>
        <w:adjustRightInd w:val="0"/>
        <w:snapToGrid w:val="0"/>
        <w:spacing w:line="360" w:lineRule="auto"/>
        <w:ind w:firstLine="480" w:firstLineChars="200"/>
        <w:rPr>
          <w:bCs/>
          <w:sz w:val="24"/>
        </w:rPr>
      </w:pPr>
      <w:r>
        <w:rPr>
          <w:rFonts w:hint="eastAsia"/>
          <w:bCs/>
          <w:sz w:val="24"/>
        </w:rPr>
        <w:t>（3）《基金合同》约定的其他情形；</w:t>
      </w:r>
    </w:p>
    <w:p>
      <w:pPr>
        <w:adjustRightInd w:val="0"/>
        <w:snapToGrid w:val="0"/>
        <w:spacing w:line="360" w:lineRule="auto"/>
        <w:ind w:firstLine="480" w:firstLineChars="200"/>
        <w:rPr>
          <w:bCs/>
          <w:sz w:val="24"/>
        </w:rPr>
      </w:pPr>
      <w:r>
        <w:rPr>
          <w:rFonts w:hint="eastAsia"/>
          <w:bCs/>
          <w:sz w:val="24"/>
        </w:rPr>
        <w:t>（4）相关法律法规和中国证监会规定的其他情况。</w:t>
      </w:r>
    </w:p>
    <w:p>
      <w:pPr>
        <w:adjustRightInd w:val="0"/>
        <w:snapToGrid w:val="0"/>
        <w:spacing w:line="360" w:lineRule="auto"/>
        <w:ind w:firstLine="480" w:firstLineChars="200"/>
        <w:rPr>
          <w:bCs/>
          <w:sz w:val="24"/>
        </w:rPr>
      </w:pPr>
      <w:r>
        <w:rPr>
          <w:rFonts w:hint="eastAsia"/>
          <w:bCs/>
          <w:sz w:val="24"/>
        </w:rPr>
        <w:t>3</w:t>
      </w:r>
      <w:r>
        <w:rPr>
          <w:bCs/>
          <w:sz w:val="24"/>
        </w:rPr>
        <w:t>、基金财产的清算</w:t>
      </w:r>
    </w:p>
    <w:p>
      <w:pPr>
        <w:adjustRightInd w:val="0"/>
        <w:snapToGrid w:val="0"/>
        <w:spacing w:line="360" w:lineRule="auto"/>
        <w:ind w:firstLine="480" w:firstLineChars="200"/>
        <w:rPr>
          <w:bCs/>
          <w:sz w:val="24"/>
        </w:rPr>
      </w:pPr>
      <w:r>
        <w:rPr>
          <w:rFonts w:hint="eastAsia"/>
          <w:bCs/>
          <w:sz w:val="24"/>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adjustRightInd w:val="0"/>
        <w:snapToGrid w:val="0"/>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bCs/>
          <w:sz w:val="24"/>
        </w:rPr>
      </w:pPr>
      <w:r>
        <w:rPr>
          <w:rFonts w:hint="eastAsia"/>
          <w:bCs/>
          <w:sz w:val="24"/>
        </w:rPr>
        <w:t>（4）基金财产清算程序：</w:t>
      </w:r>
    </w:p>
    <w:p>
      <w:pPr>
        <w:adjustRightInd w:val="0"/>
        <w:snapToGrid w:val="0"/>
        <w:spacing w:line="360" w:lineRule="auto"/>
        <w:ind w:firstLine="480" w:firstLineChars="200"/>
        <w:rPr>
          <w:bCs/>
          <w:sz w:val="24"/>
        </w:rPr>
      </w:pPr>
      <w:r>
        <w:rPr>
          <w:rFonts w:hint="eastAsia"/>
          <w:bCs/>
          <w:sz w:val="24"/>
        </w:rPr>
        <w:t>1）《基金合同》终止情形出现时，由基金财产清算小组统一接管基金财产；</w:t>
      </w:r>
    </w:p>
    <w:p>
      <w:pPr>
        <w:adjustRightInd w:val="0"/>
        <w:snapToGrid w:val="0"/>
        <w:spacing w:line="360" w:lineRule="auto"/>
        <w:ind w:firstLine="480" w:firstLineChars="200"/>
        <w:rPr>
          <w:bCs/>
          <w:sz w:val="24"/>
        </w:rPr>
      </w:pPr>
      <w:r>
        <w:rPr>
          <w:rFonts w:hint="eastAsia"/>
          <w:bCs/>
          <w:sz w:val="24"/>
        </w:rPr>
        <w:t>2）对基金财产和债权债务进行清理和确认；</w:t>
      </w:r>
    </w:p>
    <w:p>
      <w:pPr>
        <w:adjustRightInd w:val="0"/>
        <w:snapToGrid w:val="0"/>
        <w:spacing w:line="360" w:lineRule="auto"/>
        <w:ind w:firstLine="480" w:firstLineChars="200"/>
        <w:rPr>
          <w:bCs/>
          <w:sz w:val="24"/>
        </w:rPr>
      </w:pPr>
      <w:r>
        <w:rPr>
          <w:rFonts w:hint="eastAsia"/>
          <w:bCs/>
          <w:sz w:val="24"/>
        </w:rPr>
        <w:t>3）对基金财产进行估值和变现；</w:t>
      </w:r>
    </w:p>
    <w:p>
      <w:pPr>
        <w:adjustRightInd w:val="0"/>
        <w:snapToGrid w:val="0"/>
        <w:spacing w:line="360" w:lineRule="auto"/>
        <w:ind w:firstLine="480" w:firstLineChars="200"/>
        <w:rPr>
          <w:bCs/>
          <w:sz w:val="24"/>
        </w:rPr>
      </w:pPr>
      <w:r>
        <w:rPr>
          <w:rFonts w:hint="eastAsia"/>
          <w:bCs/>
          <w:sz w:val="24"/>
        </w:rPr>
        <w:t>4）制作清算报告；</w:t>
      </w:r>
    </w:p>
    <w:p>
      <w:pPr>
        <w:adjustRightInd w:val="0"/>
        <w:snapToGrid w:val="0"/>
        <w:spacing w:line="360" w:lineRule="auto"/>
        <w:ind w:firstLine="480" w:firstLineChars="200"/>
        <w:rPr>
          <w:bCs/>
          <w:sz w:val="24"/>
        </w:rPr>
      </w:pPr>
      <w:r>
        <w:rPr>
          <w:rFonts w:hint="eastAsia"/>
          <w:bCs/>
          <w:sz w:val="24"/>
        </w:rPr>
        <w:t>5）聘请符合《中华人民共和国证券法》规定的会计师事务所对清算报告进行外部审计，聘请律师事务所对清算报告出具法律意见书；</w:t>
      </w:r>
    </w:p>
    <w:p>
      <w:pPr>
        <w:adjustRightInd w:val="0"/>
        <w:snapToGrid w:val="0"/>
        <w:spacing w:line="360" w:lineRule="auto"/>
        <w:ind w:firstLine="480" w:firstLineChars="200"/>
        <w:rPr>
          <w:bCs/>
          <w:sz w:val="24"/>
        </w:rPr>
      </w:pPr>
      <w:r>
        <w:rPr>
          <w:rFonts w:hint="eastAsia"/>
          <w:bCs/>
          <w:sz w:val="24"/>
        </w:rPr>
        <w:t>6）将清算报告报中国证监会备案并公告；</w:t>
      </w:r>
    </w:p>
    <w:p>
      <w:pPr>
        <w:adjustRightInd w:val="0"/>
        <w:snapToGrid w:val="0"/>
        <w:spacing w:line="360" w:lineRule="auto"/>
        <w:ind w:firstLine="480" w:firstLineChars="200"/>
        <w:rPr>
          <w:bCs/>
          <w:sz w:val="24"/>
        </w:rPr>
      </w:pPr>
      <w:r>
        <w:rPr>
          <w:rFonts w:hint="eastAsia"/>
          <w:bCs/>
          <w:sz w:val="24"/>
        </w:rPr>
        <w:t>7）对基金剩余财产进行分配。</w:t>
      </w:r>
    </w:p>
    <w:p>
      <w:pPr>
        <w:adjustRightInd w:val="0"/>
        <w:snapToGrid w:val="0"/>
        <w:spacing w:line="360" w:lineRule="auto"/>
        <w:ind w:firstLine="480" w:firstLineChars="200"/>
        <w:rPr>
          <w:bCs/>
          <w:sz w:val="24"/>
        </w:rPr>
      </w:pPr>
      <w:r>
        <w:rPr>
          <w:rFonts w:hint="eastAsia"/>
          <w:bCs/>
          <w:sz w:val="24"/>
        </w:rPr>
        <w:t>（5）基金财产清算的期限为6个月，但因本基金所持证券的流动性受到限制而不能及时变现的，清算期限相应顺延。</w:t>
      </w:r>
    </w:p>
    <w:p>
      <w:pPr>
        <w:adjustRightInd w:val="0"/>
        <w:snapToGrid w:val="0"/>
        <w:spacing w:line="360" w:lineRule="auto"/>
        <w:ind w:firstLine="480" w:firstLineChars="200"/>
        <w:rPr>
          <w:bCs/>
          <w:sz w:val="24"/>
        </w:rPr>
      </w:pPr>
      <w:r>
        <w:rPr>
          <w:rFonts w:hint="eastAsia"/>
          <w:bCs/>
          <w:sz w:val="24"/>
        </w:rPr>
        <w:t>4</w:t>
      </w:r>
      <w:r>
        <w:rPr>
          <w:bCs/>
          <w:sz w:val="24"/>
        </w:rPr>
        <w:t>、清算费用</w:t>
      </w:r>
    </w:p>
    <w:p>
      <w:pPr>
        <w:adjustRightInd w:val="0"/>
        <w:snapToGrid w:val="0"/>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pPr>
        <w:adjustRightInd w:val="0"/>
        <w:snapToGrid w:val="0"/>
        <w:spacing w:line="360" w:lineRule="auto"/>
        <w:ind w:firstLine="480" w:firstLineChars="200"/>
        <w:rPr>
          <w:bCs/>
          <w:sz w:val="24"/>
        </w:rPr>
      </w:pPr>
      <w:r>
        <w:rPr>
          <w:rFonts w:hint="eastAsia"/>
          <w:bCs/>
          <w:sz w:val="24"/>
        </w:rPr>
        <w:t>5</w:t>
      </w:r>
      <w:r>
        <w:rPr>
          <w:bCs/>
          <w:sz w:val="24"/>
        </w:rPr>
        <w:t>、基金财产清算剩余资产的分配</w:t>
      </w:r>
    </w:p>
    <w:p>
      <w:pPr>
        <w:adjustRightInd w:val="0"/>
        <w:snapToGrid w:val="0"/>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w:t>
      </w:r>
    </w:p>
    <w:p>
      <w:pPr>
        <w:adjustRightInd w:val="0"/>
        <w:snapToGrid w:val="0"/>
        <w:spacing w:line="360" w:lineRule="auto"/>
        <w:ind w:firstLine="480" w:firstLineChars="200"/>
        <w:rPr>
          <w:bCs/>
          <w:sz w:val="24"/>
        </w:rPr>
      </w:pPr>
      <w:r>
        <w:rPr>
          <w:rFonts w:hint="eastAsia"/>
          <w:bCs/>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djustRightInd w:val="0"/>
        <w:snapToGrid w:val="0"/>
        <w:spacing w:line="360" w:lineRule="auto"/>
        <w:ind w:firstLine="480" w:firstLineChars="200"/>
        <w:rPr>
          <w:bCs/>
          <w:sz w:val="24"/>
        </w:rPr>
      </w:pPr>
      <w:r>
        <w:rPr>
          <w:rFonts w:hint="eastAsia"/>
          <w:bCs/>
          <w:sz w:val="24"/>
        </w:rPr>
        <w:t>6</w:t>
      </w:r>
      <w:r>
        <w:rPr>
          <w:bCs/>
          <w:sz w:val="24"/>
        </w:rPr>
        <w:t>、基金财产清算的公告</w:t>
      </w:r>
    </w:p>
    <w:p>
      <w:pPr>
        <w:adjustRightInd w:val="0"/>
        <w:snapToGrid w:val="0"/>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pPr>
        <w:adjustRightInd w:val="0"/>
        <w:snapToGrid w:val="0"/>
        <w:spacing w:line="360" w:lineRule="auto"/>
        <w:ind w:firstLine="480" w:firstLineChars="200"/>
        <w:rPr>
          <w:bCs/>
          <w:sz w:val="24"/>
        </w:rPr>
      </w:pPr>
      <w:r>
        <w:rPr>
          <w:rFonts w:hint="eastAsia"/>
          <w:bCs/>
          <w:sz w:val="24"/>
        </w:rPr>
        <w:t>7</w:t>
      </w:r>
      <w:r>
        <w:rPr>
          <w:bCs/>
          <w:sz w:val="24"/>
        </w:rPr>
        <w:t>、基金财产清算账册及文件的保存</w:t>
      </w:r>
    </w:p>
    <w:p>
      <w:pPr>
        <w:widowControl/>
        <w:adjustRightInd w:val="0"/>
        <w:snapToGrid w:val="0"/>
        <w:spacing w:line="360" w:lineRule="auto"/>
        <w:ind w:firstLine="480" w:firstLineChars="200"/>
        <w:rPr>
          <w:bCs/>
          <w:sz w:val="24"/>
        </w:rPr>
      </w:pPr>
      <w:r>
        <w:rPr>
          <w:rFonts w:hint="eastAsia"/>
          <w:bCs/>
          <w:sz w:val="24"/>
        </w:rPr>
        <w:t>基金财产清算账册及有关文件由基金托管人保存不低于法律法规规定的最低期限。</w:t>
      </w:r>
    </w:p>
    <w:p>
      <w:pPr>
        <w:adjustRightInd w:val="0"/>
        <w:snapToGrid w:val="0"/>
        <w:spacing w:line="360" w:lineRule="auto"/>
        <w:ind w:firstLine="482"/>
        <w:outlineLvl w:val="1"/>
        <w:rPr>
          <w:b/>
          <w:bCs/>
          <w:sz w:val="24"/>
        </w:rPr>
      </w:pPr>
      <w:r>
        <w:rPr>
          <w:b/>
          <w:bCs/>
          <w:sz w:val="24"/>
        </w:rPr>
        <w:t>（四）争议</w:t>
      </w:r>
      <w:r>
        <w:rPr>
          <w:rFonts w:hint="eastAsia"/>
          <w:b/>
          <w:bCs/>
          <w:sz w:val="24"/>
        </w:rPr>
        <w:t>解决方式</w:t>
      </w:r>
    </w:p>
    <w:p>
      <w:pPr>
        <w:adjustRightInd w:val="0"/>
        <w:snapToGrid w:val="0"/>
        <w:spacing w:line="360" w:lineRule="auto"/>
        <w:ind w:firstLine="482" w:firstLineChars="200"/>
        <w:rPr>
          <w:b/>
          <w:sz w:val="24"/>
        </w:rPr>
      </w:pPr>
      <w:r>
        <w:rPr>
          <w:rFonts w:hint="eastAsia"/>
          <w:b/>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pPr>
        <w:adjustRightInd w:val="0"/>
        <w:snapToGrid w:val="0"/>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pPr>
        <w:adjustRightInd w:val="0"/>
        <w:snapToGrid w:val="0"/>
        <w:spacing w:line="360" w:lineRule="auto"/>
        <w:ind w:firstLine="480" w:firstLineChars="200"/>
        <w:rPr>
          <w:bCs/>
          <w:sz w:val="24"/>
        </w:rPr>
      </w:pPr>
      <w:r>
        <w:rPr>
          <w:rFonts w:hint="eastAsia"/>
          <w:bCs/>
          <w:sz w:val="24"/>
        </w:rPr>
        <w:t>《基金合同》受中国法律（为本基金合同之目的，不含港澳台地区法律）管辖并从其解释。</w:t>
      </w:r>
      <w:bookmarkStart w:id="137" w:name="_Toc523711688"/>
    </w:p>
    <w:p>
      <w:pPr>
        <w:adjustRightInd w:val="0"/>
        <w:snapToGrid w:val="0"/>
        <w:spacing w:line="360" w:lineRule="auto"/>
        <w:ind w:firstLine="482"/>
        <w:outlineLvl w:val="1"/>
        <w:rPr>
          <w:b/>
          <w:bCs/>
          <w:sz w:val="24"/>
        </w:rPr>
      </w:pPr>
      <w:r>
        <w:rPr>
          <w:b/>
          <w:bCs/>
          <w:sz w:val="24"/>
        </w:rPr>
        <w:t>（五）基金合同存放地和投资者取得基金合同的方式</w:t>
      </w:r>
    </w:p>
    <w:bookmarkEnd w:id="137"/>
    <w:p>
      <w:pPr>
        <w:adjustRightInd w:val="0"/>
        <w:snapToGrid w:val="0"/>
        <w:spacing w:line="360" w:lineRule="auto"/>
        <w:ind w:firstLine="480" w:firstLineChars="200"/>
        <w:rPr>
          <w:bCs/>
          <w:sz w:val="24"/>
        </w:rPr>
      </w:pPr>
      <w:r>
        <w:rPr>
          <w:rFonts w:hint="eastAsia"/>
          <w:bCs/>
          <w:sz w:val="24"/>
        </w:rPr>
        <w:t>《基金合同》正本</w:t>
      </w:r>
      <w:r>
        <w:rPr>
          <w:bCs/>
          <w:sz w:val="24"/>
        </w:rPr>
        <w:t>一式</w:t>
      </w:r>
      <w:r>
        <w:rPr>
          <w:rFonts w:hint="eastAsia"/>
          <w:bCs/>
          <w:sz w:val="24"/>
        </w:rPr>
        <w:t>三</w:t>
      </w:r>
      <w:r>
        <w:rPr>
          <w:bCs/>
          <w:sz w:val="24"/>
        </w:rPr>
        <w:t>份</w:t>
      </w:r>
      <w:r>
        <w:rPr>
          <w:rFonts w:hint="eastAsia"/>
          <w:bCs/>
          <w:sz w:val="24"/>
        </w:rPr>
        <w:t>，除上报有关监管机构一</w:t>
      </w:r>
      <w:r>
        <w:rPr>
          <w:bCs/>
          <w:sz w:val="24"/>
        </w:rPr>
        <w:t>份</w:t>
      </w:r>
      <w:r>
        <w:rPr>
          <w:rFonts w:hint="eastAsia"/>
          <w:bCs/>
          <w:sz w:val="24"/>
        </w:rPr>
        <w:t>外，基金管理人、基金托管人各持有一份，每份具有同等的法律效力。</w:t>
      </w:r>
    </w:p>
    <w:p>
      <w:pPr>
        <w:adjustRightInd w:val="0"/>
        <w:snapToGrid w:val="0"/>
        <w:spacing w:line="360" w:lineRule="auto"/>
        <w:ind w:firstLine="480" w:firstLineChars="200"/>
        <w:rPr>
          <w:rFonts w:ascii="宋体" w:hAnsi="宋体"/>
          <w:sz w:val="24"/>
        </w:rPr>
      </w:pPr>
      <w:r>
        <w:rPr>
          <w:rFonts w:hint="eastAsia"/>
          <w:bCs/>
          <w:sz w:val="24"/>
        </w:rPr>
        <w:t>《基金合同》可印制成册，供投资者在基金管理人、基金托管人、销售机构的办公场所和营业场所查阅，但应以《基金合同》正本为准。</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38" w:name="_Toc19038"/>
      <w:bookmarkStart w:id="139" w:name="_Toc48122021"/>
      <w:bookmarkStart w:id="140" w:name="_Toc26115"/>
      <w:bookmarkStart w:id="141" w:name="_Toc2002"/>
      <w:r>
        <w:rPr>
          <w:rFonts w:hint="eastAsia" w:ascii="宋体" w:hAnsi="宋体"/>
          <w:b/>
          <w:kern w:val="0"/>
          <w:sz w:val="30"/>
        </w:rPr>
        <w:t>二十</w:t>
      </w:r>
      <w:r>
        <w:rPr>
          <w:rFonts w:hint="default" w:ascii="宋体" w:hAnsi="宋体"/>
          <w:b/>
          <w:kern w:val="0"/>
          <w:sz w:val="30"/>
          <w:lang w:val="en-US"/>
        </w:rPr>
        <w:t>一</w:t>
      </w:r>
      <w:r>
        <w:rPr>
          <w:rFonts w:hint="eastAsia" w:ascii="宋体" w:hAnsi="宋体"/>
          <w:b/>
          <w:kern w:val="0"/>
          <w:sz w:val="30"/>
        </w:rPr>
        <w:t>、托管协议的内容摘要</w:t>
      </w:r>
      <w:bookmarkEnd w:id="138"/>
      <w:bookmarkEnd w:id="139"/>
      <w:bookmarkEnd w:id="140"/>
      <w:bookmarkEnd w:id="141"/>
    </w:p>
    <w:p>
      <w:pPr>
        <w:adjustRightInd w:val="0"/>
        <w:snapToGrid w:val="0"/>
        <w:spacing w:line="360" w:lineRule="auto"/>
        <w:ind w:firstLine="482"/>
        <w:outlineLvl w:val="1"/>
        <w:rPr>
          <w:b/>
          <w:bCs/>
          <w:sz w:val="24"/>
        </w:rPr>
      </w:pPr>
      <w:r>
        <w:rPr>
          <w:rFonts w:hint="eastAsia"/>
          <w:b/>
          <w:bCs/>
          <w:sz w:val="24"/>
        </w:rPr>
        <w:t>（一）托管协议当事人</w:t>
      </w:r>
    </w:p>
    <w:p>
      <w:pPr>
        <w:widowControl/>
        <w:adjustRightInd w:val="0"/>
        <w:snapToGrid w:val="0"/>
        <w:spacing w:line="360" w:lineRule="auto"/>
        <w:ind w:firstLine="480" w:firstLineChars="200"/>
        <w:rPr>
          <w:bCs/>
          <w:sz w:val="24"/>
        </w:rPr>
      </w:pPr>
      <w:r>
        <w:rPr>
          <w:rFonts w:hint="eastAsia"/>
          <w:bCs/>
          <w:sz w:val="24"/>
        </w:rPr>
        <w:t>1、基金管理人</w:t>
      </w:r>
    </w:p>
    <w:p>
      <w:pPr>
        <w:widowControl/>
        <w:adjustRightInd w:val="0"/>
        <w:snapToGrid w:val="0"/>
        <w:spacing w:line="360" w:lineRule="auto"/>
        <w:ind w:firstLine="480" w:firstLineChars="200"/>
        <w:rPr>
          <w:bCs/>
          <w:sz w:val="24"/>
        </w:rPr>
      </w:pPr>
      <w:r>
        <w:rPr>
          <w:rFonts w:hint="eastAsia"/>
          <w:bCs/>
          <w:sz w:val="24"/>
        </w:rPr>
        <w:t>名称：交银施罗德基金管理有限公司</w:t>
      </w:r>
    </w:p>
    <w:p>
      <w:pPr>
        <w:widowControl/>
        <w:adjustRightInd w:val="0"/>
        <w:snapToGrid w:val="0"/>
        <w:spacing w:line="360" w:lineRule="auto"/>
        <w:ind w:firstLine="480" w:firstLineChars="200"/>
        <w:rPr>
          <w:bCs/>
          <w:sz w:val="24"/>
        </w:rPr>
      </w:pPr>
      <w:r>
        <w:rPr>
          <w:rFonts w:hint="eastAsia"/>
          <w:bCs/>
          <w:sz w:val="24"/>
        </w:rPr>
        <w:t>注册地址：中国（上海）自由贸易试验区银城中路188号交通银行大楼二层（裙）</w:t>
      </w:r>
    </w:p>
    <w:p>
      <w:pPr>
        <w:widowControl/>
        <w:adjustRightInd w:val="0"/>
        <w:snapToGrid w:val="0"/>
        <w:spacing w:line="360" w:lineRule="auto"/>
        <w:ind w:firstLine="480" w:firstLineChars="200"/>
        <w:rPr>
          <w:bCs/>
          <w:sz w:val="24"/>
        </w:rPr>
      </w:pPr>
      <w:r>
        <w:rPr>
          <w:rFonts w:hint="eastAsia"/>
          <w:bCs/>
          <w:sz w:val="24"/>
        </w:rPr>
        <w:t>办公地址：上海市浦东新区世纪大道8号国金中心二期21-22楼</w:t>
      </w:r>
    </w:p>
    <w:p>
      <w:pPr>
        <w:widowControl/>
        <w:adjustRightInd w:val="0"/>
        <w:snapToGrid w:val="0"/>
        <w:spacing w:line="360" w:lineRule="auto"/>
        <w:ind w:firstLine="480" w:firstLineChars="200"/>
        <w:rPr>
          <w:bCs/>
          <w:sz w:val="24"/>
        </w:rPr>
      </w:pPr>
      <w:r>
        <w:rPr>
          <w:rFonts w:hint="eastAsia"/>
          <w:bCs/>
          <w:sz w:val="24"/>
        </w:rPr>
        <w:t>邮政编码：200120</w:t>
      </w:r>
    </w:p>
    <w:p>
      <w:pPr>
        <w:widowControl/>
        <w:adjustRightInd w:val="0"/>
        <w:snapToGrid w:val="0"/>
        <w:spacing w:line="360" w:lineRule="auto"/>
        <w:ind w:firstLine="480" w:firstLineChars="200"/>
        <w:rPr>
          <w:bCs/>
          <w:sz w:val="24"/>
        </w:rPr>
      </w:pPr>
      <w:r>
        <w:rPr>
          <w:rFonts w:hint="eastAsia"/>
          <w:bCs/>
          <w:sz w:val="24"/>
        </w:rPr>
        <w:t>法定代表人：袁庆伟（代任）</w:t>
      </w:r>
    </w:p>
    <w:p>
      <w:pPr>
        <w:widowControl/>
        <w:adjustRightInd w:val="0"/>
        <w:snapToGrid w:val="0"/>
        <w:spacing w:line="360" w:lineRule="auto"/>
        <w:ind w:firstLine="480" w:firstLineChars="200"/>
        <w:rPr>
          <w:bCs/>
          <w:sz w:val="24"/>
        </w:rPr>
      </w:pPr>
      <w:r>
        <w:rPr>
          <w:rFonts w:hint="eastAsia"/>
          <w:bCs/>
          <w:sz w:val="24"/>
        </w:rPr>
        <w:t>成立日期：2005年8月4日</w:t>
      </w:r>
    </w:p>
    <w:p>
      <w:pPr>
        <w:widowControl/>
        <w:adjustRightInd w:val="0"/>
        <w:snapToGrid w:val="0"/>
        <w:spacing w:line="360" w:lineRule="auto"/>
        <w:ind w:firstLine="480" w:firstLineChars="200"/>
        <w:rPr>
          <w:bCs/>
          <w:sz w:val="24"/>
        </w:rPr>
      </w:pPr>
      <w:r>
        <w:rPr>
          <w:rFonts w:hint="eastAsia"/>
          <w:bCs/>
          <w:sz w:val="24"/>
        </w:rPr>
        <w:t>批准设立机关及批准设立文号：中国证监会证监基金字[2005]128号</w:t>
      </w:r>
    </w:p>
    <w:p>
      <w:pPr>
        <w:widowControl/>
        <w:adjustRightInd w:val="0"/>
        <w:snapToGrid w:val="0"/>
        <w:spacing w:line="360" w:lineRule="auto"/>
        <w:ind w:firstLine="480" w:firstLineChars="200"/>
        <w:rPr>
          <w:bCs/>
          <w:sz w:val="24"/>
        </w:rPr>
      </w:pPr>
      <w:r>
        <w:rPr>
          <w:rFonts w:hint="eastAsia"/>
          <w:bCs/>
          <w:sz w:val="24"/>
        </w:rPr>
        <w:t>组织形式：有限责任公司</w:t>
      </w:r>
    </w:p>
    <w:p>
      <w:pPr>
        <w:widowControl/>
        <w:adjustRightInd w:val="0"/>
        <w:snapToGrid w:val="0"/>
        <w:spacing w:line="360" w:lineRule="auto"/>
        <w:ind w:firstLine="480" w:firstLineChars="200"/>
        <w:rPr>
          <w:bCs/>
          <w:sz w:val="24"/>
        </w:rPr>
      </w:pPr>
      <w:r>
        <w:rPr>
          <w:rFonts w:hint="eastAsia"/>
          <w:bCs/>
          <w:sz w:val="24"/>
        </w:rPr>
        <w:t>注册资本：2亿元人民币</w:t>
      </w:r>
    </w:p>
    <w:p>
      <w:pPr>
        <w:widowControl/>
        <w:adjustRightInd w:val="0"/>
        <w:snapToGrid w:val="0"/>
        <w:spacing w:line="360" w:lineRule="auto"/>
        <w:ind w:firstLine="480" w:firstLineChars="200"/>
        <w:rPr>
          <w:bCs/>
          <w:sz w:val="24"/>
        </w:rPr>
      </w:pPr>
      <w:r>
        <w:rPr>
          <w:rFonts w:hint="eastAsia"/>
          <w:bCs/>
          <w:sz w:val="24"/>
        </w:rPr>
        <w:t>存续期间：持续经营</w:t>
      </w:r>
    </w:p>
    <w:p>
      <w:pPr>
        <w:widowControl/>
        <w:adjustRightInd w:val="0"/>
        <w:snapToGrid w:val="0"/>
        <w:spacing w:line="360" w:lineRule="auto"/>
        <w:ind w:firstLine="480" w:firstLineChars="200"/>
        <w:rPr>
          <w:bCs/>
          <w:sz w:val="24"/>
        </w:rPr>
      </w:pPr>
      <w:r>
        <w:rPr>
          <w:rFonts w:hint="eastAsia"/>
          <w:bCs/>
          <w:sz w:val="24"/>
        </w:rPr>
        <w:t>经营范围：基金募集、基金销售、资产管理和中国证监会许可的其它业务</w:t>
      </w:r>
    </w:p>
    <w:p>
      <w:pPr>
        <w:widowControl/>
        <w:adjustRightInd w:val="0"/>
        <w:snapToGrid w:val="0"/>
        <w:spacing w:line="360" w:lineRule="auto"/>
        <w:ind w:firstLine="480" w:firstLineChars="200"/>
        <w:rPr>
          <w:bCs/>
          <w:sz w:val="24"/>
        </w:rPr>
      </w:pPr>
      <w:r>
        <w:rPr>
          <w:rFonts w:hint="eastAsia"/>
          <w:bCs/>
          <w:sz w:val="24"/>
        </w:rPr>
        <w:t>2、基金托管人</w:t>
      </w:r>
    </w:p>
    <w:p>
      <w:pPr>
        <w:widowControl/>
        <w:adjustRightInd w:val="0"/>
        <w:snapToGrid w:val="0"/>
        <w:spacing w:line="360" w:lineRule="auto"/>
        <w:ind w:firstLine="480" w:firstLineChars="200"/>
        <w:rPr>
          <w:bCs/>
          <w:sz w:val="24"/>
        </w:rPr>
      </w:pPr>
      <w:r>
        <w:rPr>
          <w:rFonts w:hint="eastAsia"/>
          <w:bCs/>
          <w:sz w:val="24"/>
        </w:rPr>
        <w:t>名称：中国农业银行股份有限公司</w:t>
      </w:r>
    </w:p>
    <w:p>
      <w:pPr>
        <w:widowControl/>
        <w:adjustRightInd w:val="0"/>
        <w:snapToGrid w:val="0"/>
        <w:spacing w:line="360" w:lineRule="auto"/>
        <w:ind w:firstLine="480" w:firstLineChars="200"/>
        <w:rPr>
          <w:bCs/>
          <w:sz w:val="24"/>
        </w:rPr>
      </w:pPr>
      <w:r>
        <w:rPr>
          <w:rFonts w:hint="eastAsia"/>
          <w:bCs/>
          <w:sz w:val="24"/>
        </w:rPr>
        <w:t>注册地址：北京市东城区建国门内大街69号</w:t>
      </w:r>
    </w:p>
    <w:p>
      <w:pPr>
        <w:widowControl/>
        <w:adjustRightInd w:val="0"/>
        <w:snapToGrid w:val="0"/>
        <w:spacing w:line="360" w:lineRule="auto"/>
        <w:ind w:firstLine="480" w:firstLineChars="200"/>
        <w:rPr>
          <w:bCs/>
          <w:sz w:val="24"/>
        </w:rPr>
      </w:pPr>
      <w:r>
        <w:rPr>
          <w:rFonts w:hint="eastAsia"/>
          <w:bCs/>
          <w:sz w:val="24"/>
        </w:rPr>
        <w:t>办公地址：北京市西城区复兴门内大街28号凯晨世贸中心东座九层</w:t>
      </w:r>
    </w:p>
    <w:p>
      <w:pPr>
        <w:widowControl/>
        <w:adjustRightInd w:val="0"/>
        <w:snapToGrid w:val="0"/>
        <w:spacing w:line="360" w:lineRule="auto"/>
        <w:ind w:firstLine="480" w:firstLineChars="200"/>
        <w:rPr>
          <w:bCs/>
          <w:sz w:val="24"/>
        </w:rPr>
      </w:pPr>
      <w:r>
        <w:rPr>
          <w:rFonts w:hint="eastAsia"/>
          <w:bCs/>
          <w:sz w:val="24"/>
        </w:rPr>
        <w:t>邮政编码：100031</w:t>
      </w:r>
    </w:p>
    <w:p>
      <w:pPr>
        <w:widowControl/>
        <w:adjustRightInd w:val="0"/>
        <w:snapToGrid w:val="0"/>
        <w:spacing w:line="360" w:lineRule="auto"/>
        <w:ind w:firstLine="480" w:firstLineChars="200"/>
        <w:rPr>
          <w:bCs/>
          <w:sz w:val="24"/>
        </w:rPr>
      </w:pPr>
      <w:r>
        <w:rPr>
          <w:rFonts w:hint="eastAsia"/>
          <w:bCs/>
          <w:sz w:val="24"/>
        </w:rPr>
        <w:t>法定代表人：谷澍</w:t>
      </w:r>
    </w:p>
    <w:p>
      <w:pPr>
        <w:widowControl/>
        <w:adjustRightInd w:val="0"/>
        <w:snapToGrid w:val="0"/>
        <w:spacing w:line="360" w:lineRule="auto"/>
        <w:ind w:firstLine="480" w:firstLineChars="200"/>
        <w:rPr>
          <w:bCs/>
          <w:sz w:val="24"/>
        </w:rPr>
      </w:pPr>
      <w:r>
        <w:rPr>
          <w:rFonts w:hint="eastAsia"/>
          <w:bCs/>
          <w:sz w:val="24"/>
        </w:rPr>
        <w:t>成立时间：2009年1月15日</w:t>
      </w:r>
    </w:p>
    <w:p>
      <w:pPr>
        <w:widowControl/>
        <w:adjustRightInd w:val="0"/>
        <w:snapToGrid w:val="0"/>
        <w:spacing w:line="360" w:lineRule="auto"/>
        <w:ind w:firstLine="480" w:firstLineChars="200"/>
        <w:rPr>
          <w:bCs/>
          <w:sz w:val="24"/>
        </w:rPr>
      </w:pPr>
      <w:r>
        <w:rPr>
          <w:rFonts w:hint="eastAsia"/>
          <w:bCs/>
          <w:sz w:val="24"/>
        </w:rPr>
        <w:t>基金托管资格批文及文号：中国证监会证监基字[1998]23号</w:t>
      </w:r>
    </w:p>
    <w:p>
      <w:pPr>
        <w:widowControl/>
        <w:adjustRightInd w:val="0"/>
        <w:snapToGrid w:val="0"/>
        <w:spacing w:line="360" w:lineRule="auto"/>
        <w:ind w:firstLine="480" w:firstLineChars="200"/>
        <w:rPr>
          <w:bCs/>
          <w:sz w:val="24"/>
        </w:rPr>
      </w:pPr>
      <w:r>
        <w:rPr>
          <w:rFonts w:hint="eastAsia"/>
          <w:bCs/>
          <w:sz w:val="24"/>
        </w:rPr>
        <w:t>批准设立机关和批准设立文号：中国银监会银监复[2009]13号</w:t>
      </w:r>
    </w:p>
    <w:p>
      <w:pPr>
        <w:widowControl/>
        <w:adjustRightInd w:val="0"/>
        <w:snapToGrid w:val="0"/>
        <w:spacing w:line="360" w:lineRule="auto"/>
        <w:ind w:firstLine="480" w:firstLineChars="200"/>
        <w:rPr>
          <w:bCs/>
          <w:sz w:val="24"/>
        </w:rPr>
      </w:pPr>
      <w:r>
        <w:rPr>
          <w:rFonts w:hint="eastAsia"/>
          <w:bCs/>
          <w:sz w:val="24"/>
        </w:rPr>
        <w:t>组织形式：股份有限公司</w:t>
      </w:r>
    </w:p>
    <w:p>
      <w:pPr>
        <w:widowControl/>
        <w:adjustRightInd w:val="0"/>
        <w:snapToGrid w:val="0"/>
        <w:spacing w:line="360" w:lineRule="auto"/>
        <w:ind w:firstLine="480" w:firstLineChars="200"/>
        <w:rPr>
          <w:bCs/>
          <w:sz w:val="24"/>
        </w:rPr>
      </w:pPr>
      <w:r>
        <w:rPr>
          <w:rFonts w:hint="eastAsia"/>
          <w:bCs/>
          <w:sz w:val="24"/>
        </w:rPr>
        <w:t>注册资本：34,998,303.4万元人民币</w:t>
      </w:r>
    </w:p>
    <w:p>
      <w:pPr>
        <w:widowControl/>
        <w:adjustRightInd w:val="0"/>
        <w:snapToGrid w:val="0"/>
        <w:spacing w:line="360" w:lineRule="auto"/>
        <w:ind w:firstLine="480" w:firstLineChars="200"/>
        <w:rPr>
          <w:bCs/>
          <w:sz w:val="24"/>
        </w:rPr>
      </w:pPr>
      <w:r>
        <w:rPr>
          <w:rFonts w:hint="eastAsia"/>
          <w:bCs/>
          <w:sz w:val="24"/>
        </w:rPr>
        <w:t>存续期间：持续经营</w:t>
      </w:r>
    </w:p>
    <w:p>
      <w:pPr>
        <w:widowControl/>
        <w:adjustRightInd w:val="0"/>
        <w:snapToGrid w:val="0"/>
        <w:spacing w:line="360" w:lineRule="auto"/>
        <w:ind w:firstLine="480" w:firstLineChars="200"/>
        <w:rPr>
          <w:bCs/>
          <w:sz w:val="24"/>
        </w:rPr>
      </w:pPr>
      <w:r>
        <w:rPr>
          <w:rFonts w:hint="eastAsia"/>
          <w:bCs/>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pPr>
        <w:adjustRightInd w:val="0"/>
        <w:snapToGrid w:val="0"/>
        <w:spacing w:line="360" w:lineRule="auto"/>
        <w:ind w:firstLine="482"/>
        <w:outlineLvl w:val="1"/>
        <w:rPr>
          <w:b/>
          <w:bCs/>
          <w:sz w:val="24"/>
        </w:rPr>
      </w:pPr>
      <w:r>
        <w:rPr>
          <w:rFonts w:hint="eastAsia"/>
          <w:b/>
          <w:bCs/>
          <w:sz w:val="24"/>
        </w:rPr>
        <w:t>（二）基金托管人对基金管理人的业务监督和核查</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合理疑义的事项进行核查。</w:t>
      </w:r>
    </w:p>
    <w:p>
      <w:pPr>
        <w:adjustRightInd w:val="0"/>
        <w:snapToGrid w:val="0"/>
        <w:spacing w:line="360" w:lineRule="auto"/>
        <w:ind w:firstLine="482"/>
        <w:rPr>
          <w:rFonts w:ascii="宋体" w:hAnsi="宋体"/>
          <w:sz w:val="24"/>
          <w:szCs w:val="24"/>
        </w:rPr>
      </w:pPr>
      <w:r>
        <w:rPr>
          <w:rFonts w:hint="eastAsia" w:ascii="宋体" w:hAnsi="宋体"/>
          <w:sz w:val="24"/>
          <w:szCs w:val="24"/>
        </w:rPr>
        <w:t>本基金可投资于境内市场和境外市场依法发行的金融工具。</w:t>
      </w:r>
    </w:p>
    <w:p>
      <w:pPr>
        <w:adjustRightInd w:val="0"/>
        <w:snapToGrid w:val="0"/>
        <w:spacing w:line="360" w:lineRule="auto"/>
        <w:ind w:firstLine="482"/>
        <w:rPr>
          <w:rFonts w:ascii="宋体" w:hAnsi="宋体"/>
          <w:sz w:val="24"/>
          <w:szCs w:val="24"/>
        </w:rPr>
      </w:pPr>
      <w:r>
        <w:rPr>
          <w:rFonts w:hint="eastAsia" w:ascii="宋体" w:hAnsi="宋体"/>
          <w:sz w:val="24"/>
          <w:szCs w:val="24"/>
        </w:rPr>
        <w:t>境内市场投资工具，包括境内依法发行上市的股票（含主板、创业板、科创板及其他经中国证监会核准或注册上市的股票、存托凭证）、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股票期权以及法律法规或中国证监会允许基金投资的其他金融工具（但须符合中国证监会相关规定）。</w:t>
      </w:r>
    </w:p>
    <w:p>
      <w:pPr>
        <w:adjustRightInd w:val="0"/>
        <w:snapToGrid w:val="0"/>
        <w:spacing w:line="360" w:lineRule="auto"/>
        <w:ind w:firstLine="482"/>
        <w:rPr>
          <w:rFonts w:ascii="宋体" w:hAnsi="宋体"/>
          <w:sz w:val="24"/>
          <w:szCs w:val="24"/>
        </w:rPr>
      </w:pPr>
      <w:r>
        <w:rPr>
          <w:rFonts w:hint="eastAsia" w:ascii="宋体" w:hAnsi="宋体"/>
          <w:sz w:val="24"/>
          <w:szCs w:val="24"/>
        </w:rPr>
        <w:t>境外市场投资工具，包括已与中国证监会签署双边监管合作谅解备忘录的国家或地区证券市场挂牌交易的普通股、优先股、存托凭证、房地产信托凭证；港股通标的股票；在已与中国证监会签署双边监管合作谅解备忘录的国家或地区证券监管机构登记注册的公募基金（含交易型开放式基金ETF）；政府债券、公司债券、可转换债券、住房按揭支持证券、资产支持证券等及经中国证监会认可的国际金融组织发行的证券；银行存款、可转让存单、银行承兑汇票、银行票据、商业票据、回购协议、短期政府债券等货币市场工具；远期合约、互换及经中国证监会认可的境外交易所上市交易的权证、期权、期货等金融衍生产品；与固定收益、股权、信用、商品指数、基金等标的物挂钩的结构性投资产品；中国证监会允许基金投资的其他金融工具（但须符合中国证监会相关规定）。</w:t>
      </w:r>
    </w:p>
    <w:p>
      <w:pPr>
        <w:adjustRightInd w:val="0"/>
        <w:snapToGrid w:val="0"/>
        <w:spacing w:line="360" w:lineRule="auto"/>
        <w:ind w:firstLine="482"/>
        <w:rPr>
          <w:rFonts w:ascii="宋体" w:hAnsi="宋体"/>
          <w:sz w:val="24"/>
          <w:szCs w:val="24"/>
        </w:rPr>
      </w:pPr>
      <w:r>
        <w:rPr>
          <w:rFonts w:hint="eastAsia" w:ascii="宋体" w:hAnsi="宋体"/>
          <w:sz w:val="24"/>
          <w:szCs w:val="24"/>
        </w:rPr>
        <w:t>本基金可以进行境外证券借贷交易、境外正回购交易、逆回购交易。</w:t>
      </w:r>
    </w:p>
    <w:p>
      <w:pPr>
        <w:adjustRightInd w:val="0"/>
        <w:snapToGrid w:val="0"/>
        <w:spacing w:line="360" w:lineRule="auto"/>
        <w:ind w:firstLine="482"/>
        <w:rPr>
          <w:rFonts w:ascii="宋体" w:hAnsi="宋体"/>
          <w:sz w:val="24"/>
          <w:szCs w:val="24"/>
        </w:rPr>
      </w:pPr>
      <w:r>
        <w:rPr>
          <w:rFonts w:hint="eastAsia" w:ascii="宋体" w:hAnsi="宋体"/>
          <w:sz w:val="24"/>
          <w:szCs w:val="24"/>
        </w:rPr>
        <w:t>其中，在投资香港市场时，本基金可通过合格境内机构投资者（QDII）境外投资额度、内地与香港股票市场交易互联互通机制或内地与香港债券市场互联互通南向合作进行投资。</w:t>
      </w:r>
    </w:p>
    <w:p>
      <w:pPr>
        <w:adjustRightInd w:val="0"/>
        <w:snapToGrid w:val="0"/>
        <w:spacing w:line="360" w:lineRule="auto"/>
        <w:ind w:firstLine="482"/>
        <w:rPr>
          <w:rFonts w:ascii="宋体" w:hAnsi="宋体"/>
          <w:sz w:val="24"/>
          <w:szCs w:val="24"/>
        </w:rPr>
      </w:pPr>
      <w:r>
        <w:rPr>
          <w:rFonts w:hint="eastAsia" w:ascii="宋体" w:hAnsi="宋体"/>
          <w:sz w:val="24"/>
          <w:szCs w:val="24"/>
        </w:rPr>
        <w:t>如法律法规或监管机构以后允许基金投资其他品种，基金管理人在履行适当程序后，可以将其纳入投资范围。</w:t>
      </w:r>
    </w:p>
    <w:p>
      <w:pPr>
        <w:adjustRightInd w:val="0"/>
        <w:snapToGrid w:val="0"/>
        <w:spacing w:line="360" w:lineRule="auto"/>
        <w:ind w:firstLine="482"/>
        <w:rPr>
          <w:rFonts w:ascii="宋体" w:hAnsi="宋体"/>
          <w:sz w:val="24"/>
          <w:szCs w:val="24"/>
        </w:rPr>
      </w:pPr>
      <w:r>
        <w:rPr>
          <w:rFonts w:hint="eastAsia" w:ascii="宋体" w:hAnsi="宋体"/>
          <w:sz w:val="24"/>
          <w:szCs w:val="24"/>
        </w:rPr>
        <w:t>基金的投资组合比例为：股票投资（含普通股、优先股、港股通标的股票、存托凭证）占基金资产的比例为60%-95%，其中投资于本基金界定的港股消费主题相关股票（含存托凭证）的比例不低于非现金基金资产的80%；每个交易日日终在扣除股指期货和股票期权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rPr>
          <w:rFonts w:ascii="宋体" w:hAnsi="宋体"/>
          <w:sz w:val="24"/>
          <w:szCs w:val="24"/>
        </w:rPr>
      </w:pPr>
      <w:r>
        <w:rPr>
          <w:rFonts w:hint="eastAsia" w:ascii="宋体" w:hAnsi="宋体"/>
          <w:sz w:val="24"/>
          <w:szCs w:val="24"/>
        </w:rPr>
        <w:t>如果法律法规或中国证监会变更投资品种的投资比例限制，基金管理人在履行适当程序后，可以调整上述投资品种的投资比例。</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2、基金托管人根据有关法律法规的规定及基金合同的约定，对基金投资、融资比例进行监督。基金托管人按下述比例和调整期限进行监督：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（1）股票投资（含普通股、优先股、港股通标的股票、存托凭证）占基金资产的比例为60%-95%，其中投资于本基金界定的港股消费主题相关股票（含存托凭证）的比例不低于非现金基金资产的80%；</w:t>
      </w:r>
    </w:p>
    <w:p>
      <w:pPr>
        <w:adjustRightInd w:val="0"/>
        <w:snapToGrid w:val="0"/>
        <w:spacing w:line="360" w:lineRule="auto"/>
        <w:ind w:firstLine="482"/>
        <w:rPr>
          <w:rFonts w:ascii="宋体" w:hAnsi="宋体"/>
          <w:sz w:val="24"/>
          <w:szCs w:val="24"/>
        </w:rPr>
      </w:pPr>
      <w:r>
        <w:rPr>
          <w:rFonts w:hint="eastAsia" w:ascii="宋体" w:hAnsi="宋体"/>
          <w:sz w:val="24"/>
          <w:szCs w:val="24"/>
        </w:rPr>
        <w:t>（2）每个交易日日终在扣除股指期货和股票期权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rPr>
          <w:rFonts w:ascii="宋体" w:hAnsi="宋体"/>
          <w:sz w:val="24"/>
          <w:szCs w:val="24"/>
        </w:rPr>
      </w:pPr>
      <w:r>
        <w:rPr>
          <w:rFonts w:hint="eastAsia" w:ascii="宋体" w:hAnsi="宋体"/>
          <w:sz w:val="24"/>
          <w:szCs w:val="24"/>
        </w:rPr>
        <w:t>（3）本基金资产总值不得超过基金资产净值的140%；</w:t>
      </w:r>
    </w:p>
    <w:p>
      <w:pPr>
        <w:adjustRightInd w:val="0"/>
        <w:snapToGrid w:val="0"/>
        <w:spacing w:line="360" w:lineRule="auto"/>
        <w:ind w:firstLine="482"/>
        <w:rPr>
          <w:rFonts w:ascii="宋体" w:hAnsi="宋体"/>
          <w:sz w:val="24"/>
          <w:szCs w:val="24"/>
        </w:rPr>
      </w:pPr>
    </w:p>
    <w:p>
      <w:pPr>
        <w:adjustRightInd w:val="0"/>
        <w:snapToGrid w:val="0"/>
        <w:spacing w:line="360" w:lineRule="auto"/>
        <w:ind w:firstLine="482"/>
        <w:rPr>
          <w:rFonts w:ascii="宋体" w:hAnsi="宋体"/>
          <w:sz w:val="24"/>
          <w:szCs w:val="24"/>
        </w:rPr>
      </w:pPr>
      <w:r>
        <w:rPr>
          <w:rFonts w:hint="eastAsia" w:ascii="宋体" w:hAnsi="宋体"/>
          <w:sz w:val="24"/>
          <w:szCs w:val="24"/>
        </w:rPr>
        <w:t>（4）本基金境内投资组合应遵循以下限制：</w:t>
      </w:r>
    </w:p>
    <w:p>
      <w:pPr>
        <w:adjustRightInd w:val="0"/>
        <w:snapToGrid w:val="0"/>
        <w:spacing w:line="360" w:lineRule="auto"/>
        <w:ind w:firstLine="482"/>
        <w:rPr>
          <w:rFonts w:ascii="宋体" w:hAnsi="宋体"/>
          <w:sz w:val="24"/>
          <w:szCs w:val="24"/>
        </w:rPr>
      </w:pPr>
      <w:r>
        <w:rPr>
          <w:rFonts w:hint="eastAsia" w:ascii="宋体" w:hAnsi="宋体"/>
          <w:sz w:val="24"/>
          <w:szCs w:val="24"/>
        </w:rPr>
        <w:t>1）本基金持有一家公司发行的证券（同一家公司在境内和境外同时上市的，持股比例合计计算），其市值不超过基金资产净值的10％；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2）本基金管理人管理的且由本基金托管人托管的全部基金持有一家公司发行的证券（同一家公司在境内和境外同时上市的，持股比例合计计算），不超过该证券的10％，完全按照有关指数的构成比例进行证券投资的基金品种可以不受此条款规定的比例限制；</w:t>
      </w:r>
    </w:p>
    <w:p>
      <w:pPr>
        <w:adjustRightInd w:val="0"/>
        <w:snapToGrid w:val="0"/>
        <w:spacing w:line="360" w:lineRule="auto"/>
        <w:ind w:firstLine="482"/>
        <w:rPr>
          <w:rFonts w:ascii="宋体" w:hAnsi="宋体"/>
          <w:sz w:val="24"/>
          <w:szCs w:val="24"/>
        </w:rPr>
      </w:pPr>
      <w:r>
        <w:rPr>
          <w:rFonts w:hint="eastAsia" w:ascii="宋体" w:hAnsi="宋体"/>
          <w:sz w:val="24"/>
          <w:szCs w:val="24"/>
        </w:rPr>
        <w:t>3）本基金投资于同一原始权益人的各类资产支持证券的比例，不得超过基金资产净值的10％；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4）本基金持有的全部资产支持证券，其市值不得超过基金资产净值的20％；</w:t>
      </w:r>
    </w:p>
    <w:p>
      <w:pPr>
        <w:adjustRightInd w:val="0"/>
        <w:snapToGrid w:val="0"/>
        <w:spacing w:line="360" w:lineRule="auto"/>
        <w:ind w:firstLine="482"/>
        <w:rPr>
          <w:rFonts w:ascii="宋体" w:hAnsi="宋体"/>
          <w:sz w:val="24"/>
          <w:szCs w:val="24"/>
        </w:rPr>
      </w:pPr>
      <w:r>
        <w:rPr>
          <w:rFonts w:hint="eastAsia" w:ascii="宋体" w:hAnsi="宋体"/>
          <w:sz w:val="24"/>
          <w:szCs w:val="24"/>
        </w:rPr>
        <w:t>5）本基金持有的同一（指同一信用级别）资产支持证券的比例，不得超过该资产支持证券规模的10％；</w:t>
      </w:r>
    </w:p>
    <w:p>
      <w:pPr>
        <w:adjustRightInd w:val="0"/>
        <w:snapToGrid w:val="0"/>
        <w:spacing w:line="360" w:lineRule="auto"/>
        <w:ind w:firstLine="482"/>
        <w:rPr>
          <w:rFonts w:ascii="宋体" w:hAnsi="宋体"/>
          <w:sz w:val="24"/>
          <w:szCs w:val="24"/>
        </w:rPr>
      </w:pPr>
      <w:r>
        <w:rPr>
          <w:rFonts w:hint="eastAsia" w:ascii="宋体" w:hAnsi="宋体"/>
          <w:sz w:val="24"/>
          <w:szCs w:val="24"/>
        </w:rPr>
        <w:t>6）本基金管理人管理的且由本基金托管人托管的全部基金投资于同一原始权益人的各类资产支持证券，不得超过其各类资产支持证券合计规模的10％；</w:t>
      </w:r>
    </w:p>
    <w:p>
      <w:pPr>
        <w:adjustRightInd w:val="0"/>
        <w:snapToGrid w:val="0"/>
        <w:spacing w:line="360" w:lineRule="auto"/>
        <w:ind w:firstLine="482"/>
        <w:rPr>
          <w:rFonts w:ascii="宋体" w:hAnsi="宋体"/>
          <w:sz w:val="24"/>
          <w:szCs w:val="24"/>
        </w:rPr>
      </w:pPr>
      <w:r>
        <w:rPr>
          <w:rFonts w:hint="eastAsia" w:ascii="宋体" w:hAnsi="宋体"/>
          <w:sz w:val="24"/>
          <w:szCs w:val="24"/>
        </w:rPr>
        <w:t>7）本基金应投资于信用级别评级为BBB以上（含BBB）的资产支持证券。基金持有资产支持证券期间，如果其信用等级下降、不再符合投资标准，应在评级报告发布之日起3个月内予以全部卖出；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82"/>
        <w:rPr>
          <w:rFonts w:ascii="宋体" w:hAnsi="宋体"/>
          <w:sz w:val="24"/>
          <w:szCs w:val="24"/>
        </w:rPr>
      </w:pPr>
      <w:r>
        <w:rPr>
          <w:rFonts w:hint="eastAsia" w:ascii="宋体" w:hAnsi="宋体"/>
          <w:sz w:val="24"/>
          <w:szCs w:val="24"/>
        </w:rPr>
        <w:t>8）基金财产参与股票发行申购，本基金所申报的金额不超过本基金的总资产，本基金所申报的股票数量不超过拟发行股票公司本次发行股票的总量；</w:t>
      </w:r>
    </w:p>
    <w:p>
      <w:pPr>
        <w:adjustRightInd w:val="0"/>
        <w:snapToGrid w:val="0"/>
        <w:spacing w:line="360" w:lineRule="auto"/>
        <w:ind w:firstLine="482"/>
        <w:rPr>
          <w:rFonts w:ascii="宋体" w:hAnsi="宋体"/>
          <w:sz w:val="24"/>
          <w:szCs w:val="24"/>
        </w:rPr>
      </w:pPr>
      <w:r>
        <w:rPr>
          <w:rFonts w:hint="eastAsia" w:ascii="宋体" w:hAnsi="宋体"/>
          <w:sz w:val="24"/>
          <w:szCs w:val="24"/>
        </w:rPr>
        <w:t>9）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spacing w:line="360" w:lineRule="auto"/>
        <w:ind w:firstLine="482"/>
        <w:rPr>
          <w:rFonts w:ascii="宋体" w:hAnsi="宋体"/>
          <w:sz w:val="24"/>
          <w:szCs w:val="24"/>
        </w:rPr>
      </w:pPr>
      <w:r>
        <w:rPr>
          <w:rFonts w:hint="eastAsia" w:ascii="宋体" w:hAnsi="宋体"/>
          <w:sz w:val="24"/>
          <w:szCs w:val="24"/>
        </w:rPr>
        <w:t>10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djustRightInd w:val="0"/>
        <w:snapToGrid w:val="0"/>
        <w:spacing w:line="360" w:lineRule="auto"/>
        <w:ind w:firstLine="482"/>
        <w:rPr>
          <w:rFonts w:ascii="宋体" w:hAnsi="宋体"/>
          <w:sz w:val="24"/>
          <w:szCs w:val="24"/>
        </w:rPr>
      </w:pPr>
      <w:r>
        <w:rPr>
          <w:rFonts w:hint="eastAsia" w:ascii="宋体" w:hAnsi="宋体"/>
          <w:sz w:val="24"/>
          <w:szCs w:val="24"/>
        </w:rPr>
        <w:t>11）本基金与私募类证券资管产品及中国证监会认定的其他主体为交易对手开展逆回购交易的，可接受质押品的资质要求应当与本基金合同约定的投资范围保持一致；</w:t>
      </w:r>
    </w:p>
    <w:p>
      <w:pPr>
        <w:adjustRightInd w:val="0"/>
        <w:snapToGrid w:val="0"/>
        <w:spacing w:line="360" w:lineRule="auto"/>
        <w:ind w:firstLine="482"/>
        <w:rPr>
          <w:rFonts w:ascii="宋体" w:hAnsi="宋体"/>
          <w:sz w:val="24"/>
          <w:szCs w:val="24"/>
        </w:rPr>
      </w:pPr>
      <w:r>
        <w:rPr>
          <w:rFonts w:hint="eastAsia" w:ascii="宋体" w:hAnsi="宋体"/>
          <w:sz w:val="24"/>
          <w:szCs w:val="24"/>
        </w:rPr>
        <w:t>12）若本基金参与股指期货交易，则：</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本基金在任何交易日日终，持有的买入股指期货合约价值，不得超过基金资产净值的10%；</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③</w:t>
      </w:r>
      <w:r>
        <w:rPr>
          <w:rFonts w:hint="eastAsia" w:ascii="宋体" w:hAnsi="宋体"/>
          <w:sz w:val="24"/>
          <w:szCs w:val="24"/>
        </w:rPr>
        <w:t>本基金在任何交易日日终，持有的卖出股指期货合约价值不得超过基金持有的股票总市值的20%；</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④</w:t>
      </w:r>
      <w:r>
        <w:rPr>
          <w:rFonts w:hint="eastAsia" w:ascii="宋体" w:hAnsi="宋体"/>
          <w:sz w:val="24"/>
          <w:szCs w:val="24"/>
        </w:rPr>
        <w:t>本基金所持有的股票市值和买入、卖出股指期货合约价值，合计（轧差计算）应当符合基金合同关于股票投资比例的有关约定；</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⑤</w:t>
      </w:r>
      <w:r>
        <w:rPr>
          <w:rFonts w:hint="eastAsia" w:ascii="宋体" w:hAnsi="宋体"/>
          <w:sz w:val="24"/>
          <w:szCs w:val="24"/>
        </w:rPr>
        <w:t>本基金在任何交易日内交易（不包括平仓）的股指期货合约的成交金额不得超过上一交易日基金资产净值的20%；</w:t>
      </w:r>
    </w:p>
    <w:p>
      <w:pPr>
        <w:adjustRightInd w:val="0"/>
        <w:snapToGrid w:val="0"/>
        <w:spacing w:line="360" w:lineRule="auto"/>
        <w:ind w:firstLine="482"/>
        <w:rPr>
          <w:rFonts w:ascii="宋体" w:hAnsi="宋体"/>
          <w:sz w:val="24"/>
          <w:szCs w:val="24"/>
        </w:rPr>
      </w:pPr>
      <w:r>
        <w:rPr>
          <w:rFonts w:hint="eastAsia" w:ascii="宋体" w:hAnsi="宋体"/>
          <w:sz w:val="24"/>
          <w:szCs w:val="24"/>
        </w:rPr>
        <w:t>13）若本基金参与股票期权交易，则：</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因未平仓的期权合约支付和收取的权利金总额不得超过基金资产净值的10%；</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开仓卖出认购期权的，应持有足额标的证券；开仓卖出认沽期权的，应持有合约行权所需的全额现金或交易所规则认可的可冲抵期权保证金的现金等价物；</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③</w:t>
      </w:r>
      <w:r>
        <w:rPr>
          <w:rFonts w:hint="eastAsia" w:ascii="宋体" w:hAnsi="宋体"/>
          <w:sz w:val="24"/>
          <w:szCs w:val="24"/>
        </w:rPr>
        <w:t>未平仓的期权合约面值不得超过基金资产净值的20%。其中，合约面值按照行权价乘以合约乘数计算；</w:t>
      </w:r>
    </w:p>
    <w:p>
      <w:pPr>
        <w:adjustRightInd w:val="0"/>
        <w:snapToGrid w:val="0"/>
        <w:spacing w:line="360" w:lineRule="auto"/>
        <w:ind w:firstLine="482"/>
        <w:rPr>
          <w:rFonts w:ascii="宋体" w:hAnsi="宋体"/>
          <w:sz w:val="24"/>
          <w:szCs w:val="24"/>
        </w:rPr>
      </w:pPr>
      <w:r>
        <w:rPr>
          <w:rFonts w:hint="eastAsia" w:ascii="宋体" w:hAnsi="宋体"/>
          <w:sz w:val="24"/>
          <w:szCs w:val="24"/>
        </w:rPr>
        <w:t>14）本基金投资境内存托凭证的比例限制依照境内上市交易的股票执行；</w:t>
      </w:r>
    </w:p>
    <w:p>
      <w:pPr>
        <w:adjustRightInd w:val="0"/>
        <w:snapToGrid w:val="0"/>
        <w:spacing w:line="360" w:lineRule="auto"/>
        <w:ind w:firstLine="482"/>
        <w:rPr>
          <w:rFonts w:ascii="宋体" w:hAnsi="宋体"/>
          <w:sz w:val="24"/>
          <w:szCs w:val="24"/>
        </w:rPr>
      </w:pPr>
    </w:p>
    <w:p>
      <w:pPr>
        <w:adjustRightInd w:val="0"/>
        <w:snapToGrid w:val="0"/>
        <w:spacing w:line="360" w:lineRule="auto"/>
        <w:ind w:firstLine="482"/>
        <w:rPr>
          <w:rFonts w:ascii="宋体" w:hAnsi="宋体"/>
          <w:sz w:val="24"/>
          <w:szCs w:val="24"/>
        </w:rPr>
      </w:pPr>
      <w:r>
        <w:rPr>
          <w:rFonts w:hint="eastAsia" w:ascii="宋体" w:hAnsi="宋体"/>
          <w:sz w:val="24"/>
          <w:szCs w:val="24"/>
        </w:rPr>
        <w:t>（5）本基金境外投资组合应遵循以下限制：</w:t>
      </w:r>
    </w:p>
    <w:p>
      <w:pPr>
        <w:adjustRightInd w:val="0"/>
        <w:snapToGrid w:val="0"/>
        <w:spacing w:line="360" w:lineRule="auto"/>
        <w:ind w:firstLine="482"/>
        <w:rPr>
          <w:rFonts w:ascii="宋体" w:hAnsi="宋体"/>
          <w:sz w:val="24"/>
          <w:szCs w:val="24"/>
        </w:rPr>
      </w:pPr>
      <w:r>
        <w:rPr>
          <w:rFonts w:hint="eastAsia" w:ascii="宋体" w:hAnsi="宋体"/>
          <w:sz w:val="24"/>
          <w:szCs w:val="24"/>
        </w:rPr>
        <w:t>1）本基金持有同一家银行的存款不得超过基金资产净值的 20%，本基金的境外存款银行为中资商业银行在境外设立的分行或在最近一个会计年度达到中国证监会认可的信用评级机构评级的境外银行。存放于基金托管账户的存款可以不受上述限制；</w:t>
      </w:r>
    </w:p>
    <w:p>
      <w:pPr>
        <w:adjustRightInd w:val="0"/>
        <w:snapToGrid w:val="0"/>
        <w:spacing w:line="360" w:lineRule="auto"/>
        <w:ind w:firstLine="482"/>
        <w:rPr>
          <w:rFonts w:ascii="宋体" w:hAnsi="宋体"/>
          <w:sz w:val="24"/>
          <w:szCs w:val="24"/>
        </w:rPr>
      </w:pPr>
      <w:r>
        <w:rPr>
          <w:rFonts w:hint="eastAsia" w:ascii="宋体" w:hAnsi="宋体"/>
          <w:sz w:val="24"/>
          <w:szCs w:val="24"/>
        </w:rPr>
        <w:t>2）本基金持有同一机构（政府、国际金融组织除外）发行的证券市值不得超过基金资产净值的 10%。该投资比例应当合并计算同一机构境内外发行的证券总市值；</w:t>
      </w:r>
    </w:p>
    <w:p>
      <w:pPr>
        <w:adjustRightInd w:val="0"/>
        <w:snapToGrid w:val="0"/>
        <w:spacing w:line="360" w:lineRule="auto"/>
        <w:ind w:firstLine="482"/>
        <w:rPr>
          <w:rFonts w:ascii="宋体" w:hAnsi="宋体"/>
          <w:sz w:val="24"/>
          <w:szCs w:val="24"/>
        </w:rPr>
      </w:pPr>
      <w:r>
        <w:rPr>
          <w:rFonts w:hint="eastAsia" w:ascii="宋体" w:hAnsi="宋体"/>
          <w:sz w:val="24"/>
          <w:szCs w:val="24"/>
        </w:rPr>
        <w:t>3）本基金持有与中国证监会签署双边监管合作谅解备忘录国家或地区以外的其他国家或地区证券市场挂牌交易的证券资产不得超过基金资产净值的 10%，其中持有任一国家或地区市场的证券资产不得超过基金资产净值的3%；</w:t>
      </w:r>
    </w:p>
    <w:p>
      <w:pPr>
        <w:adjustRightInd w:val="0"/>
        <w:snapToGrid w:val="0"/>
        <w:spacing w:line="360" w:lineRule="auto"/>
        <w:ind w:firstLine="482"/>
        <w:rPr>
          <w:rFonts w:ascii="宋体" w:hAnsi="宋体"/>
          <w:sz w:val="24"/>
          <w:szCs w:val="24"/>
        </w:rPr>
      </w:pPr>
      <w:r>
        <w:rPr>
          <w:rFonts w:hint="eastAsia" w:ascii="宋体" w:hAnsi="宋体"/>
          <w:sz w:val="24"/>
          <w:szCs w:val="24"/>
        </w:rPr>
        <w:t>4）本基金不得购买证券用于控制或影响发行该证券的机构或其管理层。本基金管理人管理的全部基金不得持有同一机构10%以上具有投票权的证券发行总量；同一机构境内外上市的总股本应当合并计算，同时应当一并计算存托凭证所代表的基础证券，并假设对持有的股本权证行使转换；</w:t>
      </w:r>
    </w:p>
    <w:p>
      <w:pPr>
        <w:adjustRightInd w:val="0"/>
        <w:snapToGrid w:val="0"/>
        <w:spacing w:line="360" w:lineRule="auto"/>
        <w:ind w:firstLine="482"/>
        <w:rPr>
          <w:rFonts w:ascii="宋体" w:hAnsi="宋体"/>
          <w:sz w:val="24"/>
          <w:szCs w:val="24"/>
        </w:rPr>
      </w:pPr>
      <w:r>
        <w:rPr>
          <w:rFonts w:hint="eastAsia" w:ascii="宋体" w:hAnsi="宋体"/>
          <w:sz w:val="24"/>
          <w:szCs w:val="24"/>
        </w:rPr>
        <w:t>5）本基金持有非流动性资产市值不得超过基金资产净值的10%。该非流动性资产是指法律或基金合同规定的流通受限证券以及中国证监会认定的其他资产；</w:t>
      </w:r>
    </w:p>
    <w:p>
      <w:pPr>
        <w:adjustRightInd w:val="0"/>
        <w:snapToGrid w:val="0"/>
        <w:spacing w:line="360" w:lineRule="auto"/>
        <w:ind w:firstLine="482"/>
        <w:rPr>
          <w:rFonts w:ascii="宋体" w:hAnsi="宋体"/>
          <w:sz w:val="24"/>
          <w:szCs w:val="24"/>
        </w:rPr>
      </w:pPr>
      <w:r>
        <w:rPr>
          <w:rFonts w:hint="eastAsia" w:ascii="宋体" w:hAnsi="宋体"/>
          <w:sz w:val="24"/>
          <w:szCs w:val="24"/>
        </w:rPr>
        <w:t>6）本基金持有境外基金的市值合计不得超过本基金资产净值的 10%，但持有货币市场基金不受此限制；</w:t>
      </w:r>
    </w:p>
    <w:p>
      <w:pPr>
        <w:adjustRightInd w:val="0"/>
        <w:snapToGrid w:val="0"/>
        <w:spacing w:line="360" w:lineRule="auto"/>
        <w:ind w:firstLine="482"/>
        <w:rPr>
          <w:rFonts w:ascii="宋体" w:hAnsi="宋体"/>
          <w:sz w:val="24"/>
          <w:szCs w:val="24"/>
        </w:rPr>
      </w:pPr>
      <w:r>
        <w:rPr>
          <w:rFonts w:hint="eastAsia" w:ascii="宋体" w:hAnsi="宋体"/>
          <w:sz w:val="24"/>
          <w:szCs w:val="24"/>
        </w:rPr>
        <w:t>7）本基金管理人所管理的全部基金持有任何一只境外基金，不超过该境外基金总份额的20％；</w:t>
      </w:r>
    </w:p>
    <w:p>
      <w:pPr>
        <w:adjustRightInd w:val="0"/>
        <w:snapToGrid w:val="0"/>
        <w:spacing w:line="360" w:lineRule="auto"/>
        <w:ind w:firstLine="482"/>
        <w:rPr>
          <w:rFonts w:ascii="宋体" w:hAnsi="宋体"/>
          <w:sz w:val="24"/>
          <w:szCs w:val="24"/>
        </w:rPr>
      </w:pPr>
      <w:r>
        <w:rPr>
          <w:rFonts w:hint="eastAsia" w:ascii="宋体" w:hAnsi="宋体"/>
          <w:sz w:val="24"/>
          <w:szCs w:val="24"/>
        </w:rPr>
        <w:t>8）本基金投资衍生品应当仅限于投资组合避险或有效管理，不得用于投机或放大交易，投资于境外金融衍生品的，同时应当严格遵守下列规定：</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本基金的金融衍生品全部敞口不得高于基金资产净值的100%；</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本基金投资期货支付的初始保证金、投资期权支付或收取的期权费、投资柜台交易衍生品支付的初始费用的总额不得高于基金资产净值的10%；</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③</w:t>
      </w:r>
      <w:r>
        <w:rPr>
          <w:rFonts w:hint="eastAsia" w:ascii="宋体" w:hAnsi="宋体"/>
          <w:sz w:val="24"/>
          <w:szCs w:val="24"/>
        </w:rPr>
        <w:t>本基金投资于远期合约、互换等柜台交易金融衍生品，应当符合以下要求：</w:t>
      </w:r>
    </w:p>
    <w:p>
      <w:pPr>
        <w:adjustRightInd w:val="0"/>
        <w:snapToGrid w:val="0"/>
        <w:spacing w:line="360" w:lineRule="auto"/>
        <w:ind w:firstLine="482"/>
        <w:rPr>
          <w:rFonts w:ascii="宋体" w:hAnsi="宋体"/>
          <w:sz w:val="24"/>
          <w:szCs w:val="24"/>
        </w:rPr>
      </w:pPr>
      <w:r>
        <w:rPr>
          <w:rFonts w:hint="eastAsia" w:ascii="宋体" w:hAnsi="宋体"/>
          <w:sz w:val="24"/>
          <w:szCs w:val="24"/>
        </w:rPr>
        <w:t>a.所有参与交易的对手方（中资商业银行除外）应当具有不低于中国证监会认可的信用评级机构评级；</w:t>
      </w:r>
    </w:p>
    <w:p>
      <w:pPr>
        <w:adjustRightInd w:val="0"/>
        <w:snapToGrid w:val="0"/>
        <w:spacing w:line="360" w:lineRule="auto"/>
        <w:ind w:firstLine="482"/>
        <w:rPr>
          <w:rFonts w:ascii="宋体" w:hAnsi="宋体"/>
          <w:sz w:val="24"/>
          <w:szCs w:val="24"/>
        </w:rPr>
      </w:pPr>
      <w:r>
        <w:rPr>
          <w:rFonts w:hint="eastAsia" w:ascii="宋体" w:hAnsi="宋体"/>
          <w:sz w:val="24"/>
          <w:szCs w:val="24"/>
        </w:rPr>
        <w:t>b.交易对手方应当至少每个工作日对交易进行估值，并且本基金可在任何时候以公允价值终止交易；</w:t>
      </w:r>
    </w:p>
    <w:p>
      <w:pPr>
        <w:adjustRightInd w:val="0"/>
        <w:snapToGrid w:val="0"/>
        <w:spacing w:line="360" w:lineRule="auto"/>
        <w:ind w:firstLine="482"/>
        <w:rPr>
          <w:rFonts w:ascii="宋体" w:hAnsi="宋体"/>
          <w:sz w:val="24"/>
          <w:szCs w:val="24"/>
        </w:rPr>
      </w:pPr>
      <w:r>
        <w:rPr>
          <w:rFonts w:hint="eastAsia" w:ascii="宋体" w:hAnsi="宋体"/>
          <w:sz w:val="24"/>
          <w:szCs w:val="24"/>
        </w:rPr>
        <w:t>c.任一交易对手方的市值计价敞口不得超过基金资产净值的20％；</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④</w:t>
      </w:r>
      <w:r>
        <w:rPr>
          <w:rFonts w:hint="eastAsia" w:ascii="宋体" w:hAnsi="宋体"/>
          <w:sz w:val="24"/>
          <w:szCs w:val="24"/>
        </w:rPr>
        <w:t>本基金不得直接投资与实物商品相关的衍生品；</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⑤</w:t>
      </w:r>
      <w:r>
        <w:rPr>
          <w:rFonts w:hint="eastAsia" w:ascii="宋体" w:hAnsi="宋体"/>
          <w:sz w:val="24"/>
          <w:szCs w:val="24"/>
        </w:rPr>
        <w:t>基金管理人应当在本基金会计年度结束后60个工作日内向中国证监会提交包括衍生品头寸及风险分析年度报告。</w:t>
      </w:r>
    </w:p>
    <w:p>
      <w:pPr>
        <w:adjustRightInd w:val="0"/>
        <w:snapToGrid w:val="0"/>
        <w:spacing w:line="360" w:lineRule="auto"/>
        <w:ind w:firstLine="482"/>
        <w:rPr>
          <w:rFonts w:ascii="宋体" w:hAnsi="宋体"/>
          <w:sz w:val="24"/>
          <w:szCs w:val="24"/>
        </w:rPr>
      </w:pPr>
      <w:r>
        <w:rPr>
          <w:rFonts w:hint="eastAsia" w:ascii="宋体" w:hAnsi="宋体"/>
          <w:sz w:val="24"/>
          <w:szCs w:val="24"/>
        </w:rPr>
        <w:t>9）本基金可以参与境外证券借贷交易，并且应当遵守下列规定：</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所有参与交易的对手方（中资商业银行除外）应当具有中国证监会认可的信用评级机构评级；</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应当采取市值计价制度进行调整以确保担保物市值不低于已借出证券市值的102％；</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③</w:t>
      </w:r>
      <w:r>
        <w:rPr>
          <w:rFonts w:hint="eastAsia" w:ascii="宋体" w:hAnsi="宋体"/>
          <w:sz w:val="24"/>
          <w:szCs w:val="24"/>
        </w:rPr>
        <w:t>借方应当在交易期内及时向本基金支付已借出证券产生的所有股息、利息和分红。一旦借方违约，本基金根据协议和有关法律有权保留和处置担保物以满足索赔需要；</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④</w:t>
      </w:r>
      <w:r>
        <w:rPr>
          <w:rFonts w:hint="eastAsia" w:ascii="宋体" w:hAnsi="宋体"/>
          <w:sz w:val="24"/>
          <w:szCs w:val="24"/>
        </w:rPr>
        <w:t>除中国证监会另有规定外，担保物可以是以下金融工具或品种：现金、存款证明、商业票据、政府债券、中资商业银行或由不低于中国证监会认可的信用评级机构评级的境外金融机构（作为交易对手方或其关联方的除外）出具的不可撤销信用证；</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⑤</w:t>
      </w:r>
      <w:r>
        <w:rPr>
          <w:rFonts w:hint="eastAsia" w:ascii="宋体" w:hAnsi="宋体"/>
          <w:sz w:val="24"/>
          <w:szCs w:val="24"/>
        </w:rPr>
        <w:t>本基金有权在任何时候终止证券借贷交易并在正常市场惯例的合理期限内要求归还任一或所有已借出的证券；</w:t>
      </w:r>
    </w:p>
    <w:p>
      <w:pPr>
        <w:adjustRightInd w:val="0"/>
        <w:snapToGrid w:val="0"/>
        <w:spacing w:line="360" w:lineRule="auto"/>
        <w:ind w:firstLine="482"/>
        <w:rPr>
          <w:rFonts w:ascii="宋体" w:hAnsi="宋体"/>
          <w:sz w:val="24"/>
          <w:szCs w:val="24"/>
        </w:rPr>
      </w:pPr>
      <w:r>
        <w:rPr>
          <w:rFonts w:hint="eastAsia" w:ascii="宋体" w:hAnsi="宋体"/>
          <w:sz w:val="24"/>
          <w:szCs w:val="24"/>
        </w:rPr>
        <w:t>10）本基金可以根据正常市场惯例参与境外正回购交易、逆回购交易，并且应当遵守下列规定：</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所有参与正回购交易的对手方（中资商业银行除外）应当具有中国证监会认可的信用评级机构信用评级；</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参与正回购交易，应当采取市值计价制度对卖出收益进行调整以确保现金不低于已售出证券市值的102％。一旦买方违约，本基金根据协议和有关法律有权保留或处置卖出收益以满足索赔需要；</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③</w:t>
      </w:r>
      <w:r>
        <w:rPr>
          <w:rFonts w:hint="eastAsia" w:ascii="宋体" w:hAnsi="宋体"/>
          <w:sz w:val="24"/>
          <w:szCs w:val="24"/>
        </w:rPr>
        <w:t>买方应当在正回购交易期内及时向本基金支付售出证券产生的所有股息、利息和分红；</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④</w:t>
      </w:r>
      <w:r>
        <w:rPr>
          <w:rFonts w:hint="eastAsia" w:ascii="宋体" w:hAnsi="宋体"/>
          <w:sz w:val="24"/>
          <w:szCs w:val="24"/>
        </w:rPr>
        <w:t>参与逆回购交易，应当对购入证券采取市值计价制度进行调整以确保已购入证券市值不低于支付现金的102％。一旦卖方违约，本基金根据协议和有关法律有权保留或处置已购入证券以满足索赔需要；</w:t>
      </w:r>
    </w:p>
    <w:p>
      <w:pPr>
        <w:adjustRightInd w:val="0"/>
        <w:snapToGrid w:val="0"/>
        <w:spacing w:line="360" w:lineRule="auto"/>
        <w:ind w:firstLine="482"/>
        <w:rPr>
          <w:rFonts w:ascii="宋体" w:hAnsi="宋体"/>
          <w:sz w:val="24"/>
          <w:szCs w:val="24"/>
        </w:rPr>
      </w:pPr>
      <w:r>
        <w:rPr>
          <w:rFonts w:hint="eastAsia" w:ascii="宋体" w:hAnsi="宋体"/>
          <w:sz w:val="24"/>
          <w:szCs w:val="24"/>
        </w:rPr>
        <w:t>11）基金参与境外证券借贷交易、正回购交易，所有已借出而未归还证券总市值或所有已售出而未回购证券总市值均不得超过基金总资产的50％。本项比例限制计算，基金因参与证券借贷交易、正回购交易而持有的担保物、现金不得计入基金总资产；</w:t>
      </w:r>
    </w:p>
    <w:p>
      <w:pPr>
        <w:adjustRightInd w:val="0"/>
        <w:snapToGrid w:val="0"/>
        <w:spacing w:line="360" w:lineRule="auto"/>
        <w:ind w:firstLine="482"/>
        <w:rPr>
          <w:rFonts w:ascii="宋体" w:hAnsi="宋体"/>
          <w:sz w:val="24"/>
          <w:szCs w:val="24"/>
        </w:rPr>
      </w:pPr>
      <w:r>
        <w:rPr>
          <w:rFonts w:hint="eastAsia" w:ascii="宋体" w:hAnsi="宋体"/>
          <w:sz w:val="24"/>
          <w:szCs w:val="24"/>
        </w:rPr>
        <w:t>12）为应付赎回、交易清算等临时用途借入现金的比例不得超过基金资产净值的10%；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（6）法律法规及中国证监会规定的和《基金合同》约定的其他投资限制。</w:t>
      </w:r>
    </w:p>
    <w:p>
      <w:pPr>
        <w:adjustRightInd w:val="0"/>
        <w:snapToGrid w:val="0"/>
        <w:spacing w:line="360" w:lineRule="auto"/>
        <w:ind w:firstLine="482"/>
        <w:rPr>
          <w:rFonts w:ascii="宋体" w:hAnsi="宋体"/>
          <w:sz w:val="24"/>
          <w:szCs w:val="24"/>
        </w:rPr>
      </w:pPr>
      <w:r>
        <w:rPr>
          <w:rFonts w:hint="eastAsia" w:ascii="宋体" w:hAnsi="宋体"/>
          <w:sz w:val="24"/>
          <w:szCs w:val="24"/>
        </w:rPr>
        <w:t>因证券、期货市场波动、证券发行人合并、基金规模变动等基金管理人之外的因素致使基金投资比例不符合上述规定投资比例的，针对第（4）项投资比例，除该项下第7）、10）、11）情形之外，基金管理人应当在10个交易日内进行调整，但中国证监会规定的特殊情形除外；若本基金投资超过第（1）、（3）、（5）项下第1）-7）项投资比例规定的，基金管理人应当在超过比例后30个交易日内采用合理的商业措施进行调整以符合投资比例要求，法律法规或中国证监会另有规定的依其规定执行。法律法规另有规定的，从其规定。</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adjustRightInd w:val="0"/>
        <w:snapToGrid w:val="0"/>
        <w:spacing w:line="360" w:lineRule="auto"/>
        <w:ind w:firstLine="482"/>
        <w:rPr>
          <w:rFonts w:ascii="宋体" w:hAnsi="宋体"/>
          <w:sz w:val="24"/>
          <w:szCs w:val="24"/>
        </w:rPr>
      </w:pPr>
      <w:r>
        <w:rPr>
          <w:rFonts w:hint="eastAsia" w:ascii="宋体" w:hAnsi="宋体"/>
          <w:sz w:val="24"/>
          <w:szCs w:val="24"/>
        </w:rPr>
        <w:t>法律法规或监管部门取消或变更上述限制，如适用于本基金，基金管理人在履行适当程序后，则本基金投资不再受相关限制或以变更后的规定为准。</w:t>
      </w:r>
    </w:p>
    <w:p>
      <w:pPr>
        <w:adjustRightInd w:val="0"/>
        <w:snapToGrid w:val="0"/>
        <w:spacing w:line="360" w:lineRule="auto"/>
        <w:ind w:firstLine="482"/>
        <w:rPr>
          <w:rFonts w:ascii="宋体" w:hAnsi="宋体"/>
          <w:sz w:val="24"/>
          <w:szCs w:val="24"/>
        </w:rPr>
      </w:pPr>
      <w:r>
        <w:rPr>
          <w:rFonts w:hint="eastAsia" w:ascii="宋体" w:hAnsi="宋体"/>
          <w:sz w:val="24"/>
          <w:szCs w:val="24"/>
        </w:rPr>
        <w:t>3、基金托管人根据有关法律法规的规定及基金合同的约定，对本协议第十七条第11项基金投资禁止行为进行监督。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djustRightInd w:val="0"/>
        <w:snapToGrid w:val="0"/>
        <w:spacing w:line="360" w:lineRule="auto"/>
        <w:ind w:firstLine="482"/>
        <w:rPr>
          <w:rFonts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对银行间债券市场交易对手名单进行更新，如基金管理人根据市场情况需要临时调整银行间债券市场交易对手名单，应向基金托管人说明理由，在与交易对手发生交易前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相应损失和责任。如基金管理人在基金投资运作之前未向基金托管人提供银行间债券市场交易对手名单的，视为基金管理人认可全市场交易对手。</w:t>
      </w:r>
    </w:p>
    <w:p>
      <w:pPr>
        <w:adjustRightInd w:val="0"/>
        <w:snapToGrid w:val="0"/>
        <w:spacing w:line="360" w:lineRule="auto"/>
        <w:ind w:firstLine="482"/>
        <w:rPr>
          <w:rFonts w:ascii="宋体" w:hAnsi="宋体"/>
          <w:sz w:val="24"/>
          <w:szCs w:val="24"/>
        </w:rPr>
      </w:pPr>
      <w:r>
        <w:rPr>
          <w:rFonts w:hint="eastAsia" w:ascii="宋体" w:hAnsi="宋体"/>
          <w:sz w:val="24"/>
          <w:szCs w:val="24"/>
        </w:rPr>
        <w:t>5、基金托管人根据有关法律法规的规定及基金合同的约定，对基金管理人投资银行存款进行监督。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基金投资银行存款的，基金管理人应根据法律法规的规定及基金合同的约定，建立投资制度、审慎选择存款银行，做好风险控制；并按照基金托管人的要求配合基金托管人完成相关业务办理。</w:t>
      </w:r>
    </w:p>
    <w:p>
      <w:pPr>
        <w:adjustRightInd w:val="0"/>
        <w:snapToGrid w:val="0"/>
        <w:spacing w:line="360" w:lineRule="auto"/>
        <w:ind w:firstLine="482"/>
        <w:rPr>
          <w:rFonts w:ascii="宋体" w:hAnsi="宋体"/>
          <w:sz w:val="24"/>
          <w:szCs w:val="24"/>
        </w:rPr>
      </w:pPr>
      <w:r>
        <w:rPr>
          <w:rFonts w:hint="eastAsia" w:ascii="宋体" w:hAnsi="宋体"/>
          <w:sz w:val="24"/>
          <w:szCs w:val="24"/>
        </w:rPr>
        <w:t>6、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pPr>
        <w:adjustRightInd w:val="0"/>
        <w:snapToGrid w:val="0"/>
        <w:spacing w:line="360" w:lineRule="auto"/>
        <w:ind w:firstLine="482"/>
        <w:rPr>
          <w:rFonts w:ascii="宋体" w:hAnsi="宋体"/>
          <w:sz w:val="24"/>
          <w:szCs w:val="24"/>
        </w:rPr>
      </w:pPr>
      <w:r>
        <w:rPr>
          <w:rFonts w:hint="eastAsia" w:ascii="宋体" w:hAnsi="宋体"/>
          <w:sz w:val="24"/>
          <w:szCs w:val="24"/>
        </w:rPr>
        <w:t>如果基金管理人未经基金托管人的审核擅自将不实的业绩表现数据印制在宣传推介材料上，则基金托管人对此不承担相应责任，并将在发现后立即报告中国证监会。</w:t>
      </w:r>
    </w:p>
    <w:p>
      <w:pPr>
        <w:adjustRightInd w:val="0"/>
        <w:snapToGrid w:val="0"/>
        <w:spacing w:line="360" w:lineRule="auto"/>
        <w:ind w:firstLine="482"/>
        <w:rPr>
          <w:rFonts w:ascii="宋体" w:hAnsi="宋体"/>
          <w:sz w:val="24"/>
          <w:szCs w:val="24"/>
        </w:rPr>
      </w:pPr>
      <w:r>
        <w:rPr>
          <w:rFonts w:hint="eastAsia" w:ascii="宋体" w:hAnsi="宋体"/>
          <w:sz w:val="24"/>
          <w:szCs w:val="24"/>
        </w:rPr>
        <w:t>7、基金托管人根据有关法律法规的规定及基金合同的约定，对基金投资流通受限证券进行监督。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（1）基金投资流通受限证券，应遵守《关于基金投资非公开发行股票等流通受限证券有关问题的通知》等有关法律法规规定。</w:t>
      </w:r>
    </w:p>
    <w:p>
      <w:pPr>
        <w:adjustRightInd w:val="0"/>
        <w:snapToGrid w:val="0"/>
        <w:spacing w:line="360" w:lineRule="auto"/>
        <w:ind w:firstLine="482"/>
        <w:rPr>
          <w:rFonts w:ascii="宋体" w:hAnsi="宋体"/>
          <w:sz w:val="24"/>
          <w:szCs w:val="24"/>
        </w:rPr>
      </w:pPr>
      <w:r>
        <w:rPr>
          <w:rFonts w:hint="eastAsia" w:ascii="宋体" w:hAnsi="宋体"/>
          <w:sz w:val="24"/>
          <w:szCs w:val="24"/>
        </w:rPr>
        <w:t>（2）此处的流通受限证券与上文提及的流动性受限资产并不完全一致，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adjustRightInd w:val="0"/>
        <w:snapToGrid w:val="0"/>
        <w:spacing w:line="360" w:lineRule="auto"/>
        <w:ind w:firstLine="482"/>
        <w:rPr>
          <w:rFonts w:ascii="宋体" w:hAnsi="宋体"/>
          <w:sz w:val="24"/>
          <w:szCs w:val="24"/>
        </w:rPr>
      </w:pPr>
      <w:r>
        <w:rPr>
          <w:rFonts w:hint="eastAsia" w:ascii="宋体" w:hAnsi="宋体"/>
          <w:sz w:val="24"/>
          <w:szCs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pPr>
        <w:adjustRightInd w:val="0"/>
        <w:snapToGrid w:val="0"/>
        <w:spacing w:line="360" w:lineRule="auto"/>
        <w:ind w:firstLine="482"/>
        <w:rPr>
          <w:rFonts w:ascii="宋体" w:hAnsi="宋体"/>
          <w:sz w:val="24"/>
          <w:szCs w:val="24"/>
        </w:rPr>
      </w:pPr>
      <w:r>
        <w:rPr>
          <w:rFonts w:hint="eastAsia" w:ascii="宋体" w:hAnsi="宋体"/>
          <w:sz w:val="24"/>
          <w:szCs w:val="24"/>
        </w:rPr>
        <w:t>（4）在投资流通受限证券之前，基金管理人应提前向基金托管人提供有关流通受限证券的相关信息，具体应当包括但不限于如下文件（如有）：</w:t>
      </w:r>
    </w:p>
    <w:p>
      <w:pPr>
        <w:adjustRightInd w:val="0"/>
        <w:snapToGrid w:val="0"/>
        <w:spacing w:line="360" w:lineRule="auto"/>
        <w:ind w:firstLine="482"/>
        <w:rPr>
          <w:rFonts w:ascii="宋体" w:hAnsi="宋体"/>
          <w:sz w:val="24"/>
          <w:szCs w:val="24"/>
        </w:rPr>
      </w:pPr>
      <w:r>
        <w:rPr>
          <w:rFonts w:hint="eastAsia" w:ascii="宋体" w:hAnsi="宋体"/>
          <w:sz w:val="24"/>
          <w:szCs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pPr>
        <w:adjustRightInd w:val="0"/>
        <w:snapToGrid w:val="0"/>
        <w:spacing w:line="360" w:lineRule="auto"/>
        <w:ind w:firstLine="482"/>
        <w:rPr>
          <w:rFonts w:ascii="宋体" w:hAnsi="宋体"/>
          <w:sz w:val="24"/>
          <w:szCs w:val="24"/>
        </w:rPr>
      </w:pPr>
      <w:r>
        <w:rPr>
          <w:rFonts w:hint="eastAsia" w:ascii="宋体" w:hAnsi="宋体"/>
          <w:sz w:val="24"/>
          <w:szCs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相应责任，并有权报告中国证监会。</w:t>
      </w:r>
    </w:p>
    <w:p>
      <w:pPr>
        <w:adjustRightInd w:val="0"/>
        <w:snapToGrid w:val="0"/>
        <w:spacing w:line="360" w:lineRule="auto"/>
        <w:ind w:firstLine="482"/>
        <w:rPr>
          <w:rFonts w:ascii="宋体" w:hAnsi="宋体"/>
          <w:sz w:val="24"/>
          <w:szCs w:val="24"/>
        </w:rPr>
      </w:pPr>
      <w:r>
        <w:rPr>
          <w:rFonts w:hint="eastAsia" w:ascii="宋体" w:hAnsi="宋体"/>
          <w:sz w:val="24"/>
          <w:szCs w:val="24"/>
        </w:rPr>
        <w:t>（6）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pPr>
        <w:adjustRightInd w:val="0"/>
        <w:snapToGrid w:val="0"/>
        <w:spacing w:line="360" w:lineRule="auto"/>
        <w:ind w:firstLine="482"/>
        <w:rPr>
          <w:rFonts w:ascii="宋体" w:hAnsi="宋体"/>
          <w:sz w:val="24"/>
          <w:szCs w:val="24"/>
        </w:rPr>
      </w:pPr>
      <w:r>
        <w:rPr>
          <w:rFonts w:hint="eastAsia" w:ascii="宋体" w:hAnsi="宋体"/>
          <w:sz w:val="24"/>
          <w:szCs w:val="24"/>
        </w:rPr>
        <w:t>（7）如果基金管理人未按照本协议的约定向基金托管人报送相关数据或者报送了虚假的数据，导致基金托管人不能履行基金托管人职责的，基金管理人应依法承担相应法律后果。除基金托管人未能依据法律法规、基金合同及本协议履行职责外，因投资流通受限证券产生的损失，基金托管人按照本协议履行监督职责后不承担上述损失。</w:t>
      </w:r>
    </w:p>
    <w:p>
      <w:pPr>
        <w:adjustRightInd w:val="0"/>
        <w:snapToGrid w:val="0"/>
        <w:spacing w:line="360" w:lineRule="auto"/>
        <w:ind w:firstLine="482"/>
        <w:rPr>
          <w:rFonts w:ascii="宋体" w:hAnsi="宋体"/>
          <w:sz w:val="24"/>
          <w:szCs w:val="24"/>
        </w:rPr>
      </w:pPr>
      <w:r>
        <w:rPr>
          <w:rFonts w:hint="eastAsia" w:ascii="宋体" w:hAnsi="宋体"/>
          <w:sz w:val="24"/>
          <w:szCs w:val="24"/>
        </w:rPr>
        <w:t>8、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pPr>
        <w:adjustRightInd w:val="0"/>
        <w:snapToGrid w:val="0"/>
        <w:spacing w:line="360" w:lineRule="auto"/>
        <w:ind w:firstLine="482"/>
        <w:rPr>
          <w:rFonts w:ascii="宋体" w:hAnsi="宋体"/>
          <w:sz w:val="24"/>
          <w:szCs w:val="24"/>
        </w:rPr>
      </w:pPr>
      <w:r>
        <w:rPr>
          <w:rFonts w:hint="eastAsia" w:ascii="宋体" w:hAnsi="宋体"/>
          <w:sz w:val="24"/>
          <w:szCs w:val="24"/>
        </w:rPr>
        <w:t>9、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规要求需向中国证监会报送基金监督报告的事项，基金管理人应积极配合提供相关数据资料和制度等。</w:t>
      </w:r>
    </w:p>
    <w:p>
      <w:pPr>
        <w:adjustRightInd w:val="0"/>
        <w:snapToGrid w:val="0"/>
        <w:spacing w:line="360" w:lineRule="auto"/>
        <w:ind w:firstLine="482"/>
        <w:rPr>
          <w:rFonts w:ascii="宋体" w:hAnsi="宋体"/>
          <w:sz w:val="24"/>
          <w:szCs w:val="24"/>
        </w:rPr>
      </w:pPr>
      <w:r>
        <w:rPr>
          <w:rFonts w:hint="eastAsia" w:ascii="宋体" w:hAnsi="宋体"/>
          <w:sz w:val="24"/>
          <w:szCs w:val="24"/>
        </w:rPr>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pPr>
        <w:adjustRightInd w:val="0"/>
        <w:snapToGrid w:val="0"/>
        <w:spacing w:line="360" w:lineRule="auto"/>
        <w:ind w:firstLine="482"/>
        <w:outlineLvl w:val="1"/>
        <w:rPr>
          <w:b/>
          <w:bCs/>
          <w:sz w:val="24"/>
        </w:rPr>
      </w:pPr>
      <w:r>
        <w:rPr>
          <w:rFonts w:hint="eastAsia"/>
          <w:b/>
          <w:bCs/>
          <w:sz w:val="24"/>
        </w:rPr>
        <w:t>（三）基金管理人对基金托管人的业务核查</w:t>
      </w:r>
    </w:p>
    <w:p>
      <w:pPr>
        <w:adjustRightInd w:val="0"/>
        <w:snapToGrid w:val="0"/>
        <w:spacing w:line="360" w:lineRule="auto"/>
        <w:ind w:firstLine="482"/>
        <w:rPr>
          <w:rFonts w:ascii="宋体" w:hAnsi="宋体"/>
          <w:sz w:val="24"/>
          <w:szCs w:val="24"/>
        </w:rPr>
      </w:pPr>
      <w:r>
        <w:rPr>
          <w:rFonts w:hint="eastAsia" w:ascii="宋体" w:hAnsi="宋体"/>
          <w:sz w:val="24"/>
          <w:szCs w:val="24"/>
        </w:rPr>
        <w:t>1、基金管理人对基金托管人履行托管职责情况进行核查，核查事项包括基金托管人安全保管基金财产、开设基金财产的资金账户、证券账户等投资所需账户、复核基金管理人计算的基金资产净值和各类基金份额的基金份额净值、根据基金管理人指令办理清算交收、相关信息披露和监督基金投资运作等行为。</w:t>
      </w:r>
    </w:p>
    <w:p>
      <w:pPr>
        <w:adjustRightInd w:val="0"/>
        <w:snapToGrid w:val="0"/>
        <w:spacing w:line="360" w:lineRule="auto"/>
        <w:ind w:firstLine="482"/>
        <w:rPr>
          <w:rFonts w:ascii="宋体" w:hAnsi="宋体"/>
          <w:sz w:val="24"/>
          <w:szCs w:val="24"/>
        </w:rPr>
      </w:pPr>
      <w:r>
        <w:rPr>
          <w:rFonts w:hint="eastAsia" w:ascii="宋体" w:hAnsi="宋体"/>
          <w:sz w:val="24"/>
          <w:szCs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基金财产的完整性和真实性，在规定时间内答复基金管理人并改正。</w:t>
      </w:r>
    </w:p>
    <w:p>
      <w:pPr>
        <w:adjustRightInd w:val="0"/>
        <w:snapToGrid w:val="0"/>
        <w:spacing w:line="360" w:lineRule="auto"/>
        <w:ind w:firstLine="482"/>
        <w:rPr>
          <w:rFonts w:ascii="宋体" w:hAnsi="宋体"/>
          <w:sz w:val="24"/>
          <w:szCs w:val="24"/>
        </w:rPr>
      </w:pPr>
      <w:r>
        <w:rPr>
          <w:rFonts w:hint="eastAsia" w:ascii="宋体" w:hAnsi="宋体"/>
          <w:sz w:val="24"/>
          <w:szCs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adjustRightInd w:val="0"/>
        <w:snapToGrid w:val="0"/>
        <w:spacing w:line="360" w:lineRule="auto"/>
        <w:ind w:firstLine="482"/>
        <w:outlineLvl w:val="1"/>
        <w:rPr>
          <w:b/>
          <w:bCs/>
          <w:sz w:val="24"/>
        </w:rPr>
      </w:pPr>
      <w:r>
        <w:rPr>
          <w:rFonts w:hint="eastAsia"/>
          <w:b/>
          <w:bCs/>
          <w:sz w:val="24"/>
        </w:rPr>
        <w:t>（四）基金财产保管</w:t>
      </w:r>
    </w:p>
    <w:p>
      <w:pPr>
        <w:adjustRightInd w:val="0"/>
        <w:snapToGrid w:val="0"/>
        <w:spacing w:line="360" w:lineRule="auto"/>
        <w:ind w:firstLine="482"/>
        <w:rPr>
          <w:rFonts w:ascii="宋体" w:hAnsi="宋体"/>
          <w:sz w:val="24"/>
          <w:szCs w:val="24"/>
        </w:rPr>
      </w:pPr>
      <w:r>
        <w:rPr>
          <w:rFonts w:hint="eastAsia" w:ascii="宋体" w:hAnsi="宋体"/>
          <w:sz w:val="24"/>
          <w:szCs w:val="24"/>
        </w:rPr>
        <w:t>1、基金财产保管的原则</w:t>
      </w:r>
    </w:p>
    <w:p>
      <w:pPr>
        <w:adjustRightInd w:val="0"/>
        <w:snapToGrid w:val="0"/>
        <w:spacing w:line="360" w:lineRule="auto"/>
        <w:ind w:firstLine="482"/>
        <w:rPr>
          <w:rFonts w:ascii="宋体" w:hAnsi="宋体"/>
          <w:sz w:val="24"/>
          <w:szCs w:val="24"/>
        </w:rPr>
      </w:pPr>
      <w:r>
        <w:rPr>
          <w:rFonts w:hint="eastAsia" w:ascii="宋体" w:hAnsi="宋体"/>
          <w:sz w:val="24"/>
          <w:szCs w:val="24"/>
        </w:rPr>
        <w:t>（1）基金财产应独立于基金管理人、基金托管人的固有财产。</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（2）基金托管人应安全保管基金财产。未经基金管理人依据合法程序作出的合法合规指令，基金托管人不得自行运用、处分、分配基金的任何财产。</w:t>
      </w:r>
    </w:p>
    <w:p>
      <w:pPr>
        <w:adjustRightInd w:val="0"/>
        <w:snapToGrid w:val="0"/>
        <w:spacing w:line="360" w:lineRule="auto"/>
        <w:ind w:firstLine="482"/>
        <w:rPr>
          <w:rFonts w:ascii="宋体" w:hAnsi="宋体"/>
          <w:sz w:val="24"/>
          <w:szCs w:val="24"/>
        </w:rPr>
      </w:pPr>
      <w:r>
        <w:rPr>
          <w:rFonts w:hint="eastAsia" w:ascii="宋体" w:hAnsi="宋体"/>
          <w:sz w:val="24"/>
          <w:szCs w:val="24"/>
        </w:rPr>
        <w:t>（3）基金托管人按照规定开设基金财产的资金账户、证券账户等投资所需账户。</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（4）基金托管人对所托管的不同基金财产分别设置账户，与基金托管人的其他业务和其他基金的托管业务实行严格的分账管理，独立核算，确保基金财产的完整与独立。</w:t>
      </w:r>
    </w:p>
    <w:p>
      <w:pPr>
        <w:adjustRightInd w:val="0"/>
        <w:snapToGrid w:val="0"/>
        <w:spacing w:line="360" w:lineRule="auto"/>
        <w:ind w:firstLine="482"/>
        <w:rPr>
          <w:rFonts w:ascii="宋体" w:hAnsi="宋体"/>
          <w:sz w:val="24"/>
          <w:szCs w:val="24"/>
        </w:rPr>
      </w:pPr>
      <w:r>
        <w:rPr>
          <w:rFonts w:hint="eastAsia" w:ascii="宋体" w:hAnsi="宋体"/>
          <w:sz w:val="24"/>
          <w:szCs w:val="24"/>
        </w:rPr>
        <w:t>（5）基金托管人根据基金管理人和经基金管理人授权的境外投资顾问（如有）的指令，按照基金合同和本协议的约定保管基金财产，如有特殊情况双方可另行协商解决。</w:t>
      </w:r>
    </w:p>
    <w:p>
      <w:pPr>
        <w:adjustRightInd w:val="0"/>
        <w:snapToGrid w:val="0"/>
        <w:spacing w:line="360" w:lineRule="auto"/>
        <w:ind w:firstLine="482"/>
        <w:rPr>
          <w:rFonts w:ascii="宋体" w:hAnsi="宋体"/>
          <w:sz w:val="24"/>
          <w:szCs w:val="24"/>
        </w:rPr>
      </w:pPr>
      <w:r>
        <w:rPr>
          <w:rFonts w:hint="eastAsia" w:ascii="宋体" w:hAnsi="宋体"/>
          <w:sz w:val="24"/>
          <w:szCs w:val="24"/>
        </w:rPr>
        <w:t>（6）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相应责任，但应提供必要的协助。</w:t>
      </w:r>
    </w:p>
    <w:p>
      <w:pPr>
        <w:adjustRightInd w:val="0"/>
        <w:snapToGrid w:val="0"/>
        <w:spacing w:line="360" w:lineRule="auto"/>
        <w:ind w:firstLine="482"/>
        <w:rPr>
          <w:rFonts w:ascii="宋体" w:hAnsi="宋体"/>
          <w:sz w:val="24"/>
          <w:szCs w:val="24"/>
        </w:rPr>
      </w:pPr>
      <w:r>
        <w:rPr>
          <w:rFonts w:hint="eastAsia" w:ascii="宋体" w:hAnsi="宋体"/>
          <w:sz w:val="24"/>
          <w:szCs w:val="24"/>
        </w:rPr>
        <w:t>2、基金募集期间及募集资金的验资</w:t>
      </w:r>
    </w:p>
    <w:p>
      <w:pPr>
        <w:adjustRightInd w:val="0"/>
        <w:snapToGrid w:val="0"/>
        <w:spacing w:line="360" w:lineRule="auto"/>
        <w:ind w:firstLine="482"/>
        <w:rPr>
          <w:rFonts w:ascii="宋体" w:hAnsi="宋体"/>
          <w:sz w:val="24"/>
          <w:szCs w:val="24"/>
        </w:rPr>
      </w:pPr>
      <w:r>
        <w:rPr>
          <w:rFonts w:hint="eastAsia" w:ascii="宋体" w:hAnsi="宋体"/>
          <w:sz w:val="24"/>
          <w:szCs w:val="24"/>
        </w:rPr>
        <w:t>（1）基金募集期间的认购款项应存于专用账户。该账户由基金管理人或基金管理人委托的登记机构开立并管理。</w:t>
      </w:r>
    </w:p>
    <w:p>
      <w:pPr>
        <w:adjustRightInd w:val="0"/>
        <w:snapToGrid w:val="0"/>
        <w:spacing w:line="360" w:lineRule="auto"/>
        <w:ind w:firstLine="482"/>
        <w:rPr>
          <w:rFonts w:ascii="宋体" w:hAnsi="宋体"/>
          <w:sz w:val="24"/>
          <w:szCs w:val="24"/>
        </w:rPr>
      </w:pPr>
      <w:r>
        <w:rPr>
          <w:rFonts w:hint="eastAsia" w:ascii="宋体" w:hAnsi="宋体"/>
          <w:sz w:val="24"/>
          <w:szCs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托管资金账户，同时在规定时间内，聘请符合《中华人民共和国证券法》规定的会计师事务所进行验资，出具验资报告。出具的验资报告由参加验资的2名或2名以上中国注册会计师签字方为有效。</w:t>
      </w:r>
    </w:p>
    <w:p>
      <w:pPr>
        <w:adjustRightInd w:val="0"/>
        <w:snapToGrid w:val="0"/>
        <w:spacing w:line="360" w:lineRule="auto"/>
        <w:ind w:firstLine="482"/>
        <w:rPr>
          <w:rFonts w:ascii="宋体" w:hAnsi="宋体"/>
          <w:sz w:val="24"/>
          <w:szCs w:val="24"/>
        </w:rPr>
      </w:pPr>
      <w:r>
        <w:rPr>
          <w:rFonts w:hint="eastAsia" w:ascii="宋体" w:hAnsi="宋体"/>
          <w:sz w:val="24"/>
          <w:szCs w:val="24"/>
        </w:rPr>
        <w:t>（3）若基金募集期限届满，未能达到基金备案的条件，由基金管理人按规定办理退款等事宜，基金托管人应提供充分协助。</w:t>
      </w:r>
    </w:p>
    <w:p>
      <w:pPr>
        <w:adjustRightInd w:val="0"/>
        <w:snapToGrid w:val="0"/>
        <w:spacing w:line="360" w:lineRule="auto"/>
        <w:ind w:firstLine="482"/>
        <w:rPr>
          <w:rFonts w:ascii="宋体" w:hAnsi="宋体"/>
          <w:sz w:val="24"/>
          <w:szCs w:val="24"/>
        </w:rPr>
      </w:pPr>
      <w:r>
        <w:rPr>
          <w:rFonts w:hint="eastAsia" w:ascii="宋体" w:hAnsi="宋体"/>
          <w:sz w:val="24"/>
          <w:szCs w:val="24"/>
        </w:rPr>
        <w:t>3、基金资金账户（即基金托管账户）的开立和管理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以本基金、基金托管人或其境外托管人的名义（视当地法律或市场规则而定）在其营业机构或其境外托管人开立基金的资金账户，并根据基金管理人合法合规的指令办理资金收付。基金的银行预留印鉴由基金托管人保管和使用。</w:t>
      </w:r>
    </w:p>
    <w:p>
      <w:pPr>
        <w:adjustRightInd w:val="0"/>
        <w:snapToGrid w:val="0"/>
        <w:spacing w:line="360" w:lineRule="auto"/>
        <w:ind w:firstLine="482"/>
        <w:rPr>
          <w:rFonts w:ascii="宋体" w:hAnsi="宋体"/>
          <w:sz w:val="24"/>
          <w:szCs w:val="24"/>
        </w:rPr>
      </w:pPr>
      <w:r>
        <w:rPr>
          <w:rFonts w:hint="eastAsia" w:ascii="宋体" w:hAnsi="宋体"/>
          <w:sz w:val="24"/>
          <w:szCs w:val="24"/>
        </w:rPr>
        <w:t>（2）基金资金账户的开立和使用，限于满足开展基金业务的需要。基金托管人、基金管理人不得假借基金的名义开立任何其他银行账户；亦不得使用基金的任何账户进行基金业务以外的活动。</w:t>
      </w:r>
    </w:p>
    <w:p>
      <w:pPr>
        <w:adjustRightInd w:val="0"/>
        <w:snapToGrid w:val="0"/>
        <w:spacing w:line="360" w:lineRule="auto"/>
        <w:ind w:firstLine="482"/>
        <w:rPr>
          <w:rFonts w:ascii="宋体" w:hAnsi="宋体"/>
          <w:sz w:val="24"/>
          <w:szCs w:val="24"/>
        </w:rPr>
      </w:pPr>
      <w:r>
        <w:rPr>
          <w:rFonts w:hint="eastAsia" w:ascii="宋体" w:hAnsi="宋体"/>
          <w:sz w:val="24"/>
          <w:szCs w:val="24"/>
        </w:rPr>
        <w:t>（3）基金资金账户的开立和管理应符合账户所在国家或地区相关监管机构的有关规定。</w:t>
      </w:r>
    </w:p>
    <w:p>
      <w:pPr>
        <w:adjustRightInd w:val="0"/>
        <w:snapToGrid w:val="0"/>
        <w:spacing w:line="360" w:lineRule="auto"/>
        <w:ind w:firstLine="482"/>
        <w:rPr>
          <w:rFonts w:ascii="宋体" w:hAnsi="宋体"/>
          <w:sz w:val="24"/>
          <w:szCs w:val="24"/>
        </w:rPr>
      </w:pPr>
      <w:r>
        <w:rPr>
          <w:rFonts w:hint="eastAsia" w:ascii="宋体" w:hAnsi="宋体"/>
          <w:sz w:val="24"/>
          <w:szCs w:val="24"/>
        </w:rPr>
        <w:t>4、基金证券账户的开立和管理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和境外托管人在基金所投资市场的证券交易所或登记结算机构处，按照该交易所或登记结算机构的业务规则以本基金、基金托管人或其境外托管人的名义为基金开立证券账户。基金托管人或其境外托管人负责办理与开立证券账户有关的手续。</w:t>
      </w:r>
    </w:p>
    <w:p>
      <w:pPr>
        <w:adjustRightInd w:val="0"/>
        <w:snapToGrid w:val="0"/>
        <w:spacing w:line="360" w:lineRule="auto"/>
        <w:ind w:firstLine="482"/>
        <w:rPr>
          <w:rFonts w:ascii="宋体" w:hAnsi="宋体"/>
          <w:sz w:val="24"/>
          <w:szCs w:val="24"/>
        </w:rPr>
      </w:pPr>
      <w:r>
        <w:rPr>
          <w:rFonts w:hint="eastAsia" w:ascii="宋体" w:hAnsi="宋体"/>
          <w:sz w:val="24"/>
          <w:szCs w:val="24"/>
        </w:rPr>
        <w:t>（2）基金证券账户的开立和使用，限于满足开展本基金业务的需要。基金托管人和基金管理人以及境外托管人均不得出借或未经基金托管人、基金管理人同意擅自转让基金的任何证券账户，亦不得使用基金的任何账户进行本基金业务以外的活动。</w:t>
      </w:r>
    </w:p>
    <w:p>
      <w:pPr>
        <w:adjustRightInd w:val="0"/>
        <w:snapToGrid w:val="0"/>
        <w:spacing w:line="360" w:lineRule="auto"/>
        <w:ind w:firstLine="482"/>
        <w:rPr>
          <w:rFonts w:ascii="宋体" w:hAnsi="宋体"/>
          <w:sz w:val="24"/>
          <w:szCs w:val="24"/>
        </w:rPr>
      </w:pPr>
      <w:r>
        <w:rPr>
          <w:rFonts w:hint="eastAsia" w:ascii="宋体" w:hAnsi="宋体"/>
          <w:sz w:val="24"/>
          <w:szCs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pPr>
        <w:adjustRightInd w:val="0"/>
        <w:snapToGrid w:val="0"/>
        <w:spacing w:line="360" w:lineRule="auto"/>
        <w:ind w:firstLine="482"/>
        <w:rPr>
          <w:rFonts w:ascii="宋体" w:hAnsi="宋体"/>
          <w:sz w:val="24"/>
          <w:szCs w:val="24"/>
        </w:rPr>
      </w:pPr>
      <w:r>
        <w:rPr>
          <w:rFonts w:hint="eastAsia" w:ascii="宋体" w:hAnsi="宋体"/>
          <w:sz w:val="24"/>
          <w:szCs w:val="24"/>
        </w:rPr>
        <w:t>（4）基金证券账户的开立和证券账户相关证明文件的保管由基金托管人负责，账户资产的管理和运用由基金管理人负责。</w:t>
      </w:r>
    </w:p>
    <w:p>
      <w:pPr>
        <w:adjustRightInd w:val="0"/>
        <w:snapToGrid w:val="0"/>
        <w:spacing w:line="360" w:lineRule="auto"/>
        <w:ind w:firstLine="482"/>
        <w:rPr>
          <w:rFonts w:ascii="宋体" w:hAnsi="宋体"/>
          <w:sz w:val="24"/>
          <w:szCs w:val="24"/>
        </w:rPr>
      </w:pPr>
      <w:r>
        <w:rPr>
          <w:rFonts w:hint="eastAsia" w:ascii="宋体" w:hAnsi="宋体"/>
          <w:sz w:val="24"/>
          <w:szCs w:val="24"/>
        </w:rPr>
        <w:t>（5）基金管理人投资于合法合规、符合基金合同的其他非交易所市场的投资品种时，在基金合同生效后，基金托管人或境外托管人根据投资所在市场以及国家或地区的相关规定，开立进行基金的投资活动所需要的各类证券和结算账户，并协助办理与各类证券和结算账户相关的投资资格。</w:t>
      </w:r>
    </w:p>
    <w:p>
      <w:pPr>
        <w:adjustRightInd w:val="0"/>
        <w:snapToGrid w:val="0"/>
        <w:spacing w:line="360" w:lineRule="auto"/>
        <w:ind w:firstLine="482"/>
        <w:rPr>
          <w:rFonts w:ascii="宋体" w:hAnsi="宋体"/>
          <w:sz w:val="24"/>
          <w:szCs w:val="24"/>
        </w:rPr>
      </w:pPr>
      <w:r>
        <w:rPr>
          <w:rFonts w:hint="eastAsia" w:ascii="宋体" w:hAnsi="宋体"/>
          <w:sz w:val="24"/>
          <w:szCs w:val="24"/>
        </w:rPr>
        <w:t>（6）基金证券账户的开立和管理应符合账户所在国家或地区有关法律的规定。</w:t>
      </w:r>
    </w:p>
    <w:p>
      <w:pPr>
        <w:adjustRightInd w:val="0"/>
        <w:snapToGrid w:val="0"/>
        <w:spacing w:line="360" w:lineRule="auto"/>
        <w:ind w:firstLine="482"/>
        <w:rPr>
          <w:rFonts w:ascii="宋体" w:hAnsi="宋体"/>
          <w:sz w:val="24"/>
          <w:szCs w:val="24"/>
        </w:rPr>
      </w:pPr>
      <w:r>
        <w:rPr>
          <w:rFonts w:hint="eastAsia" w:ascii="宋体" w:hAnsi="宋体"/>
          <w:sz w:val="24"/>
          <w:szCs w:val="24"/>
        </w:rPr>
        <w:t>5、其他账户的开立和管理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（1）因业务发展需要而开立的其他账户，可以根据投资市场所在国家或地区法律法规和基金合同的规定，由基金托管人或其境外托管人负责开立。</w:t>
      </w:r>
    </w:p>
    <w:p>
      <w:pPr>
        <w:adjustRightInd w:val="0"/>
        <w:snapToGrid w:val="0"/>
        <w:spacing w:line="360" w:lineRule="auto"/>
        <w:ind w:firstLine="482"/>
        <w:rPr>
          <w:rFonts w:ascii="宋体" w:hAnsi="宋体"/>
          <w:sz w:val="24"/>
          <w:szCs w:val="24"/>
        </w:rPr>
      </w:pPr>
      <w:r>
        <w:rPr>
          <w:rFonts w:hint="eastAsia" w:ascii="宋体" w:hAnsi="宋体"/>
          <w:sz w:val="24"/>
          <w:szCs w:val="24"/>
        </w:rPr>
        <w:t>（2）投资市场所在国家或地区法律法规等有关规定对相关账户的开立和管理另有规定的，从其规定办理。</w:t>
      </w:r>
    </w:p>
    <w:p>
      <w:pPr>
        <w:adjustRightInd w:val="0"/>
        <w:snapToGrid w:val="0"/>
        <w:spacing w:line="360" w:lineRule="auto"/>
        <w:ind w:firstLine="482"/>
        <w:rPr>
          <w:rFonts w:ascii="宋体" w:hAnsi="宋体"/>
          <w:sz w:val="24"/>
          <w:szCs w:val="24"/>
        </w:rPr>
      </w:pPr>
      <w:r>
        <w:rPr>
          <w:rFonts w:hint="eastAsia" w:ascii="宋体" w:hAnsi="宋体"/>
          <w:sz w:val="24"/>
          <w:szCs w:val="24"/>
        </w:rPr>
        <w:t>6、基金财产投资的有关有价凭证等的保管</w:t>
      </w:r>
    </w:p>
    <w:p>
      <w:pPr>
        <w:adjustRightInd w:val="0"/>
        <w:snapToGrid w:val="0"/>
        <w:spacing w:line="360" w:lineRule="auto"/>
        <w:ind w:firstLine="482"/>
        <w:rPr>
          <w:rFonts w:ascii="宋体" w:hAnsi="宋体"/>
          <w:sz w:val="24"/>
          <w:szCs w:val="24"/>
        </w:rPr>
      </w:pPr>
      <w:r>
        <w:rPr>
          <w:rFonts w:hint="eastAsia" w:ascii="宋体" w:hAnsi="宋体"/>
          <w:sz w:val="24"/>
          <w:szCs w:val="24"/>
        </w:rPr>
        <w:t>基金财产投资的有关实物证券由基金托管人存放于基金托管人及其境外托管人的保管库。实物证券的购买和转让，由基金托管人及其境外托管人根据基金管理人的指令办理。属于基金托管人及其境外托管人实际有效控制下的实物证券在基金托管人保管期间的损坏、灭失，由此产生的责任应由基金托管人承担。基金托管人对基金托管人及其境外托管人以外机构实际有效控制的证券不承担保管责任。</w:t>
      </w:r>
    </w:p>
    <w:p>
      <w:pPr>
        <w:adjustRightInd w:val="0"/>
        <w:snapToGrid w:val="0"/>
        <w:spacing w:line="360" w:lineRule="auto"/>
        <w:ind w:firstLine="482"/>
        <w:rPr>
          <w:rFonts w:ascii="宋体" w:hAnsi="宋体"/>
          <w:sz w:val="24"/>
          <w:szCs w:val="24"/>
        </w:rPr>
      </w:pPr>
      <w:r>
        <w:rPr>
          <w:rFonts w:hint="eastAsia" w:ascii="宋体" w:hAnsi="宋体"/>
          <w:sz w:val="24"/>
          <w:szCs w:val="24"/>
        </w:rPr>
        <w:t>7、与基金财产有关的重大合同的保管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便基金管理人和基金托管人至少各持有一份正本的原件。重大合同的保管期限不低于法律法规规定的最低期限。</w:t>
      </w:r>
    </w:p>
    <w:p>
      <w:pPr>
        <w:adjustRightInd w:val="0"/>
        <w:snapToGrid w:val="0"/>
        <w:spacing w:line="360" w:lineRule="auto"/>
        <w:ind w:firstLine="482"/>
        <w:outlineLvl w:val="1"/>
        <w:rPr>
          <w:b/>
          <w:bCs/>
          <w:sz w:val="24"/>
        </w:rPr>
      </w:pPr>
      <w:r>
        <w:rPr>
          <w:b/>
          <w:bCs/>
          <w:sz w:val="24"/>
        </w:rPr>
        <w:t>（五）基金资产净值</w:t>
      </w:r>
      <w:r>
        <w:rPr>
          <w:rFonts w:hint="eastAsia"/>
          <w:b/>
          <w:bCs/>
          <w:sz w:val="24"/>
        </w:rPr>
        <w:t>计算和会计核算</w:t>
      </w:r>
    </w:p>
    <w:p>
      <w:pPr>
        <w:adjustRightInd w:val="0"/>
        <w:snapToGrid w:val="0"/>
        <w:spacing w:line="360" w:lineRule="auto"/>
        <w:ind w:firstLine="482"/>
        <w:rPr>
          <w:rFonts w:ascii="宋体" w:hAnsi="宋体"/>
          <w:sz w:val="24"/>
          <w:szCs w:val="24"/>
        </w:rPr>
      </w:pPr>
      <w:r>
        <w:rPr>
          <w:rFonts w:hint="eastAsia" w:ascii="宋体" w:hAnsi="宋体"/>
          <w:sz w:val="24"/>
          <w:szCs w:val="24"/>
        </w:rPr>
        <w:t>1、基金资产净值的计算及复核程序</w:t>
      </w:r>
    </w:p>
    <w:p>
      <w:pPr>
        <w:adjustRightInd w:val="0"/>
        <w:snapToGrid w:val="0"/>
        <w:spacing w:line="360" w:lineRule="auto"/>
        <w:ind w:firstLine="482"/>
        <w:rPr>
          <w:rFonts w:ascii="宋体" w:hAnsi="宋体"/>
          <w:sz w:val="24"/>
          <w:szCs w:val="24"/>
        </w:rPr>
      </w:pPr>
      <w:r>
        <w:rPr>
          <w:rFonts w:hint="eastAsia" w:ascii="宋体" w:hAnsi="宋体"/>
          <w:sz w:val="24"/>
          <w:szCs w:val="24"/>
        </w:rPr>
        <w:t>（1）基金资产净值</w:t>
      </w:r>
    </w:p>
    <w:p>
      <w:pPr>
        <w:adjustRightInd w:val="0"/>
        <w:snapToGrid w:val="0"/>
        <w:spacing w:line="360" w:lineRule="auto"/>
        <w:ind w:firstLine="482"/>
        <w:rPr>
          <w:rFonts w:ascii="宋体" w:hAnsi="宋体"/>
          <w:sz w:val="24"/>
          <w:szCs w:val="24"/>
        </w:rPr>
      </w:pPr>
      <w:r>
        <w:rPr>
          <w:rFonts w:hint="eastAsia" w:ascii="宋体" w:hAnsi="宋体"/>
          <w:sz w:val="24"/>
          <w:szCs w:val="24"/>
        </w:rPr>
        <w:t>基金资产净值是指基金资产总值减去基金负债后的价值。</w:t>
      </w:r>
    </w:p>
    <w:p>
      <w:pPr>
        <w:adjustRightInd w:val="0"/>
        <w:snapToGrid w:val="0"/>
        <w:spacing w:line="360" w:lineRule="auto"/>
        <w:ind w:firstLine="482"/>
        <w:rPr>
          <w:rFonts w:ascii="宋体" w:hAnsi="宋体"/>
          <w:sz w:val="24"/>
          <w:szCs w:val="24"/>
        </w:rPr>
      </w:pPr>
      <w:r>
        <w:rPr>
          <w:rFonts w:hint="eastAsia" w:ascii="宋体" w:hAnsi="宋体"/>
          <w:sz w:val="24"/>
          <w:szCs w:val="24"/>
        </w:rPr>
        <w:t>各类基金份额的基金份额净值是按照每个估值日，该类基金份额的基金资产净值除以当日该类基金份额的余额数量计算，均精确到0.0001元，小数点后第5位四舍五入，由此产生的误差计入基金财产。基金管理人可以设立大额赎回情形下的净值精度应急调整机制，具体可参见相关公告。国家另有规定的，从其规定。</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基金管理人于每个估值日的下一个工作日计算该估值日的各类基金份额的基金资产净值及基金份额净值，经基金托管人复核，并按规定公告，如遇特殊情况，经履行适当程序，可以适当延迟计算或公告。</w:t>
      </w:r>
    </w:p>
    <w:p>
      <w:pPr>
        <w:adjustRightInd w:val="0"/>
        <w:snapToGrid w:val="0"/>
        <w:spacing w:line="360" w:lineRule="auto"/>
        <w:ind w:firstLine="482"/>
        <w:rPr>
          <w:rFonts w:ascii="宋体" w:hAnsi="宋体"/>
          <w:sz w:val="24"/>
          <w:szCs w:val="24"/>
        </w:rPr>
      </w:pPr>
      <w:r>
        <w:rPr>
          <w:rFonts w:hint="eastAsia" w:ascii="宋体" w:hAnsi="宋体"/>
          <w:sz w:val="24"/>
          <w:szCs w:val="24"/>
        </w:rPr>
        <w:t>（2）复核程序</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应每个估值日的下一个工作日对该估值日的基金资产估值，但基金管理人根据法律法规或基金合同的规定暂停估值时除外。基金管理人对基金资产进行估值后，将基金资产净值、各类基金份额净值结果发送基金托管人，经基金托管人复核无误后，由基金管理人依据基金合同和相关法律法规的规定对外公布。</w:t>
      </w:r>
    </w:p>
    <w:p>
      <w:pPr>
        <w:adjustRightInd w:val="0"/>
        <w:snapToGrid w:val="0"/>
        <w:spacing w:line="360" w:lineRule="auto"/>
        <w:ind w:firstLine="482"/>
        <w:rPr>
          <w:rFonts w:ascii="宋体" w:hAnsi="宋体"/>
          <w:sz w:val="24"/>
          <w:szCs w:val="24"/>
        </w:rPr>
      </w:pPr>
      <w:r>
        <w:rPr>
          <w:rFonts w:hint="eastAsia" w:ascii="宋体" w:hAnsi="宋体"/>
          <w:sz w:val="24"/>
          <w:szCs w:val="24"/>
        </w:rPr>
        <w:t>2、基金资产估值方法和特殊情形的处理</w:t>
      </w:r>
    </w:p>
    <w:p>
      <w:pPr>
        <w:adjustRightInd w:val="0"/>
        <w:snapToGrid w:val="0"/>
        <w:spacing w:line="360" w:lineRule="auto"/>
        <w:ind w:firstLine="482"/>
        <w:rPr>
          <w:rFonts w:ascii="宋体" w:hAnsi="宋体"/>
          <w:sz w:val="24"/>
          <w:szCs w:val="24"/>
        </w:rPr>
      </w:pPr>
      <w:r>
        <w:rPr>
          <w:rFonts w:hint="eastAsia" w:ascii="宋体" w:hAnsi="宋体"/>
          <w:sz w:val="24"/>
          <w:szCs w:val="24"/>
        </w:rPr>
        <w:t>（1）估值对象</w:t>
      </w:r>
    </w:p>
    <w:p>
      <w:pPr>
        <w:adjustRightInd w:val="0"/>
        <w:snapToGrid w:val="0"/>
        <w:spacing w:line="360" w:lineRule="auto"/>
        <w:ind w:firstLine="482"/>
        <w:rPr>
          <w:rFonts w:ascii="宋体" w:hAnsi="宋体"/>
          <w:sz w:val="24"/>
          <w:szCs w:val="24"/>
        </w:rPr>
      </w:pPr>
      <w:r>
        <w:rPr>
          <w:rFonts w:hint="eastAsia" w:ascii="宋体" w:hAnsi="宋体"/>
          <w:sz w:val="24"/>
          <w:szCs w:val="24"/>
        </w:rPr>
        <w:t>基金所拥有的股票、基金、债券、资产支持证券、金融衍生品和其他投资等持续以公允价值计量的金融资产及负债。</w:t>
      </w:r>
    </w:p>
    <w:p>
      <w:pPr>
        <w:adjustRightInd w:val="0"/>
        <w:snapToGrid w:val="0"/>
        <w:spacing w:line="360" w:lineRule="auto"/>
        <w:ind w:firstLine="482"/>
        <w:rPr>
          <w:rFonts w:ascii="宋体" w:hAnsi="宋体"/>
          <w:sz w:val="24"/>
          <w:szCs w:val="24"/>
        </w:rPr>
      </w:pPr>
      <w:r>
        <w:rPr>
          <w:rFonts w:hint="eastAsia" w:ascii="宋体" w:hAnsi="宋体"/>
          <w:sz w:val="24"/>
          <w:szCs w:val="24"/>
        </w:rPr>
        <w:t>（2）估值方法</w:t>
      </w:r>
    </w:p>
    <w:p>
      <w:pPr>
        <w:adjustRightInd w:val="0"/>
        <w:snapToGrid w:val="0"/>
        <w:spacing w:line="360" w:lineRule="auto"/>
        <w:ind w:firstLine="482"/>
        <w:rPr>
          <w:rFonts w:ascii="宋体" w:hAnsi="宋体"/>
          <w:sz w:val="24"/>
          <w:szCs w:val="24"/>
        </w:rPr>
      </w:pPr>
      <w:r>
        <w:rPr>
          <w:rFonts w:hint="eastAsia" w:ascii="宋体" w:hAnsi="宋体"/>
          <w:sz w:val="24"/>
          <w:szCs w:val="24"/>
        </w:rPr>
        <w:t>1）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spacing w:line="360" w:lineRule="auto"/>
        <w:ind w:firstLine="482"/>
        <w:rPr>
          <w:rFonts w:ascii="宋体" w:hAnsi="宋体"/>
          <w:sz w:val="24"/>
          <w:szCs w:val="24"/>
        </w:rPr>
      </w:pPr>
      <w:r>
        <w:rPr>
          <w:rFonts w:hint="eastAsia" w:ascii="宋体" w:hAnsi="宋体"/>
          <w:sz w:val="24"/>
          <w:szCs w:val="24"/>
        </w:rPr>
        <w:t>2）处于未上市期间的有价证券应区分如下情况处理：</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送股、转增股、配股和公开增发的新股，按估值日在证券交易所挂牌的同一股票的估值方法估值；该日无交易的，以最近一日的市价（收盘价）估值；</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首次公开发行未上市的股票、债券和权证，采用估值技术确定公允价值；</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③</w:t>
      </w:r>
      <w:r>
        <w:rPr>
          <w:rFonts w:hint="eastAsia" w:ascii="宋体" w:hAnsi="宋体"/>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spacing w:line="360" w:lineRule="auto"/>
        <w:ind w:firstLine="482"/>
        <w:rPr>
          <w:rFonts w:ascii="宋体" w:hAnsi="宋体"/>
          <w:sz w:val="24"/>
          <w:szCs w:val="24"/>
        </w:rPr>
      </w:pPr>
      <w:r>
        <w:rPr>
          <w:rFonts w:hint="eastAsia" w:ascii="宋体" w:hAnsi="宋体"/>
          <w:sz w:val="24"/>
          <w:szCs w:val="24"/>
        </w:rPr>
        <w:t>3）对于已上市或已挂牌转让的不含权固定收益品种（另有规定的除外），选取第三方估值基准服务机构提供的相应品种当日的估值全价进行估值。</w:t>
      </w:r>
    </w:p>
    <w:p>
      <w:pPr>
        <w:adjustRightInd w:val="0"/>
        <w:snapToGrid w:val="0"/>
        <w:spacing w:line="360" w:lineRule="auto"/>
        <w:ind w:firstLine="482"/>
        <w:rPr>
          <w:rFonts w:ascii="宋体" w:hAnsi="宋体"/>
          <w:sz w:val="24"/>
          <w:szCs w:val="24"/>
        </w:rPr>
      </w:pPr>
      <w:r>
        <w:rPr>
          <w:rFonts w:hint="eastAsia" w:ascii="宋体" w:hAnsi="宋体"/>
          <w:sz w:val="24"/>
          <w:szCs w:val="24"/>
        </w:rPr>
        <w:t>4）对于已上市或已挂牌转让的含权固定收益品种（另有规定的除外），选取第三方估值基准服务机构提供的相应品种当日的唯一估值全价或推荐估值全价进行估值。</w:t>
      </w:r>
    </w:p>
    <w:p>
      <w:pPr>
        <w:adjustRightInd w:val="0"/>
        <w:snapToGrid w:val="0"/>
        <w:spacing w:line="360" w:lineRule="auto"/>
        <w:ind w:firstLine="482"/>
        <w:rPr>
          <w:rFonts w:ascii="宋体" w:hAnsi="宋体"/>
          <w:sz w:val="24"/>
          <w:szCs w:val="24"/>
        </w:rPr>
      </w:pPr>
      <w:r>
        <w:rPr>
          <w:rFonts w:hint="eastAsia" w:ascii="宋体" w:hAnsi="宋体"/>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djustRightInd w:val="0"/>
        <w:snapToGrid w:val="0"/>
        <w:spacing w:line="360" w:lineRule="auto"/>
        <w:ind w:firstLine="482"/>
        <w:rPr>
          <w:rFonts w:ascii="宋体" w:hAnsi="宋体"/>
          <w:sz w:val="24"/>
          <w:szCs w:val="24"/>
        </w:rPr>
      </w:pPr>
      <w:r>
        <w:rPr>
          <w:rFonts w:hint="eastAsia" w:ascii="宋体" w:hAnsi="宋体"/>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spacing w:line="360" w:lineRule="auto"/>
        <w:ind w:firstLine="482"/>
        <w:rPr>
          <w:rFonts w:ascii="宋体" w:hAnsi="宋体"/>
          <w:sz w:val="24"/>
          <w:szCs w:val="24"/>
        </w:rPr>
      </w:pPr>
      <w:r>
        <w:rPr>
          <w:rFonts w:hint="eastAsia" w:ascii="宋体" w:hAnsi="宋体"/>
          <w:sz w:val="24"/>
          <w:szCs w:val="24"/>
        </w:rPr>
        <w:t>6）对于未上市或未挂牌转让且不存在活跃市场的固定收益品种，采用在当前情况下适用并且有足够可利用数据和其他信息支持的估值技术确定其公允价值。</w:t>
      </w:r>
    </w:p>
    <w:p>
      <w:pPr>
        <w:adjustRightInd w:val="0"/>
        <w:snapToGrid w:val="0"/>
        <w:spacing w:line="360" w:lineRule="auto"/>
        <w:ind w:firstLine="482"/>
        <w:rPr>
          <w:rFonts w:ascii="宋体" w:hAnsi="宋体"/>
          <w:sz w:val="24"/>
          <w:szCs w:val="24"/>
        </w:rPr>
      </w:pPr>
      <w:r>
        <w:rPr>
          <w:rFonts w:hint="eastAsia" w:ascii="宋体" w:hAnsi="宋体"/>
          <w:sz w:val="24"/>
          <w:szCs w:val="24"/>
        </w:rPr>
        <w:t>7）本基金投资股指期货合约，一般以估值当日结算价进行估值，估值当日无结算价的，且最近交易日后经济环境未发生重大变化的，采用最近交易日结算价估值。本基金投资股票期权合约，根据相关法律法规以及监管部门的规定估值。</w:t>
      </w:r>
    </w:p>
    <w:p>
      <w:pPr>
        <w:adjustRightInd w:val="0"/>
        <w:snapToGrid w:val="0"/>
        <w:spacing w:line="360" w:lineRule="auto"/>
        <w:ind w:firstLine="482"/>
        <w:rPr>
          <w:rFonts w:ascii="宋体" w:hAnsi="宋体"/>
          <w:sz w:val="24"/>
          <w:szCs w:val="24"/>
        </w:rPr>
      </w:pPr>
      <w:r>
        <w:rPr>
          <w:rFonts w:hint="eastAsia" w:ascii="宋体" w:hAnsi="宋体"/>
          <w:sz w:val="24"/>
          <w:szCs w:val="24"/>
        </w:rPr>
        <w:t>8）同一证券同时在两个或两个以上市场交易的，按证券所处的市场分别估值。</w:t>
      </w:r>
    </w:p>
    <w:p>
      <w:pPr>
        <w:adjustRightInd w:val="0"/>
        <w:snapToGrid w:val="0"/>
        <w:spacing w:line="360" w:lineRule="auto"/>
        <w:ind w:firstLine="482"/>
        <w:rPr>
          <w:rFonts w:ascii="宋体" w:hAnsi="宋体"/>
          <w:sz w:val="24"/>
          <w:szCs w:val="24"/>
        </w:rPr>
      </w:pPr>
      <w:r>
        <w:rPr>
          <w:rFonts w:hint="eastAsia" w:ascii="宋体" w:hAnsi="宋体"/>
          <w:sz w:val="24"/>
          <w:szCs w:val="24"/>
        </w:rPr>
        <w:t>9）外汇汇率</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估值计算中涉及港币、美元、英镑、欧元、日元等五种主要货币对人民币汇率的，将依据下列信息提供机构所提供的汇率为基准：当日中国人民银行或其授权机构公布的人民币与主要货币的中间价。</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涉及到其它币种与人民币之间的汇率，参照数据服务商提供的当日各种货币兑美元折算率采用套算的方法进行折算。</w:t>
      </w:r>
    </w:p>
    <w:p>
      <w:pPr>
        <w:adjustRightInd w:val="0"/>
        <w:snapToGrid w:val="0"/>
        <w:spacing w:line="360" w:lineRule="auto"/>
        <w:ind w:firstLine="482"/>
        <w:rPr>
          <w:rFonts w:ascii="宋体" w:hAnsi="宋体"/>
          <w:sz w:val="24"/>
          <w:szCs w:val="24"/>
        </w:rPr>
      </w:pPr>
      <w:r>
        <w:rPr>
          <w:rFonts w:hint="eastAsia" w:ascii="宋体" w:hAnsi="宋体"/>
          <w:sz w:val="24"/>
          <w:szCs w:val="24"/>
        </w:rPr>
        <w:t>若本基金现行估值汇率不再发布或发生重大变更，或市场上出现更为公允、更适合本基金的估值汇率时，基金管理人与基金托管人协商一致并履行适当程序后，可根据实际情况调整本基金的估值汇率，无需召开基金份额持有人大会。</w:t>
      </w:r>
    </w:p>
    <w:p>
      <w:pPr>
        <w:adjustRightInd w:val="0"/>
        <w:snapToGrid w:val="0"/>
        <w:spacing w:line="360" w:lineRule="auto"/>
        <w:ind w:firstLine="482"/>
        <w:rPr>
          <w:rFonts w:ascii="宋体" w:hAnsi="宋体"/>
          <w:sz w:val="24"/>
          <w:szCs w:val="24"/>
        </w:rPr>
      </w:pPr>
      <w:r>
        <w:rPr>
          <w:rFonts w:hint="eastAsia" w:ascii="宋体" w:hAnsi="宋体"/>
          <w:sz w:val="24"/>
          <w:szCs w:val="24"/>
        </w:rPr>
        <w:t>10）境外基金估值方法</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上市流通的基金按估值日其所在证券交易所的收盘价估值；估值日无交易的，以最近交易日的收盘价估值；</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非上市流通基金以估值截止时点能够取得的最新基金份额净值进行估值。</w:t>
      </w:r>
    </w:p>
    <w:p>
      <w:pPr>
        <w:adjustRightInd w:val="0"/>
        <w:snapToGrid w:val="0"/>
        <w:spacing w:line="360" w:lineRule="auto"/>
        <w:ind w:firstLine="482"/>
        <w:rPr>
          <w:rFonts w:ascii="宋体" w:hAnsi="宋体"/>
          <w:sz w:val="24"/>
          <w:szCs w:val="24"/>
        </w:rPr>
      </w:pPr>
      <w:r>
        <w:rPr>
          <w:rFonts w:hint="eastAsia" w:ascii="宋体" w:hAnsi="宋体"/>
          <w:sz w:val="24"/>
          <w:szCs w:val="24"/>
        </w:rPr>
        <w:t>11）对于按照中国法律法规和基金投资境外交易场所所在地的法律法规规定应交纳的各项税金，本基金将按权责发生制原则进行估值；对于因税收规定调整或其他原因导致本基金实际交纳税金与估算的应交税金有差异的，本基金将在相关税金调整日或实际支付日进行相应的会计处理。</w:t>
      </w:r>
    </w:p>
    <w:p>
      <w:pPr>
        <w:adjustRightInd w:val="0"/>
        <w:snapToGrid w:val="0"/>
        <w:spacing w:line="360" w:lineRule="auto"/>
        <w:ind w:firstLine="482"/>
        <w:rPr>
          <w:rFonts w:ascii="宋体" w:hAnsi="宋体"/>
          <w:sz w:val="24"/>
          <w:szCs w:val="24"/>
        </w:rPr>
      </w:pPr>
      <w:r>
        <w:rPr>
          <w:rFonts w:hint="eastAsia" w:ascii="宋体" w:hAnsi="宋体"/>
          <w:sz w:val="24"/>
          <w:szCs w:val="24"/>
        </w:rPr>
        <w:t>对于非代扣代缴的税收，基金管理人可聘请税收顾问对相关投资市场的税收情况给予意见和建议。境外托管人根据基金管理人的指示具体协调基金在海外税务的申报、缴纳及索取税收返还等相关工作。</w:t>
      </w:r>
    </w:p>
    <w:p>
      <w:pPr>
        <w:adjustRightInd w:val="0"/>
        <w:snapToGrid w:val="0"/>
        <w:spacing w:line="360" w:lineRule="auto"/>
        <w:ind w:firstLine="482"/>
        <w:rPr>
          <w:rFonts w:ascii="宋体" w:hAnsi="宋体"/>
          <w:sz w:val="24"/>
          <w:szCs w:val="24"/>
        </w:rPr>
      </w:pPr>
      <w:r>
        <w:rPr>
          <w:rFonts w:hint="eastAsia" w:ascii="宋体" w:hAnsi="宋体"/>
          <w:sz w:val="24"/>
          <w:szCs w:val="24"/>
        </w:rPr>
        <w:t>12）本基金投资境内存托凭证的估值核算，依照境内上市交易的股票执行；本基金投资境外存托凭证的估值核算，依照其所在证券交易所的最近交易日的收盘价估值。</w:t>
      </w:r>
    </w:p>
    <w:p>
      <w:pPr>
        <w:adjustRightInd w:val="0"/>
        <w:snapToGrid w:val="0"/>
        <w:spacing w:line="360" w:lineRule="auto"/>
        <w:ind w:firstLine="482"/>
        <w:rPr>
          <w:rFonts w:ascii="宋体" w:hAnsi="宋体"/>
          <w:sz w:val="24"/>
          <w:szCs w:val="24"/>
        </w:rPr>
      </w:pPr>
      <w:r>
        <w:rPr>
          <w:rFonts w:hint="eastAsia" w:ascii="宋体" w:hAnsi="宋体"/>
          <w:sz w:val="24"/>
          <w:szCs w:val="24"/>
        </w:rPr>
        <w:t>13）境外衍生工具估值方法</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上市流通的衍生品按估值日其所在证券交易所的收盘价估值；估值日无交易的，以最近交易日的收盘价估值；</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未上市流通的衍生品，应当采用估值技术确定其公允价值。采用估值技术得出的结果，应当反映估值日在公平交易中可能采用的交易价格。</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③</w:t>
      </w:r>
      <w:r>
        <w:rPr>
          <w:rFonts w:hint="eastAsia" w:ascii="宋体" w:hAnsi="宋体"/>
          <w:sz w:val="24"/>
          <w:szCs w:val="24"/>
        </w:rPr>
        <w:t>衍生品的估值，可以参考国际会计准则进行。</w:t>
      </w:r>
    </w:p>
    <w:p>
      <w:pPr>
        <w:adjustRightInd w:val="0"/>
        <w:snapToGrid w:val="0"/>
        <w:spacing w:line="360" w:lineRule="auto"/>
        <w:ind w:firstLine="482"/>
        <w:rPr>
          <w:rFonts w:ascii="宋体" w:hAnsi="宋体"/>
          <w:sz w:val="24"/>
          <w:szCs w:val="24"/>
        </w:rPr>
      </w:pPr>
      <w:r>
        <w:rPr>
          <w:rFonts w:hint="eastAsia" w:ascii="宋体" w:hAnsi="宋体"/>
          <w:sz w:val="24"/>
          <w:szCs w:val="24"/>
        </w:rPr>
        <w:t>14）如有确凿证据表明按上述方法进行估值不能客观反映其公允价值的，基金管理人可根据具体情况与基金托管人商定后，按最能反映公允价值的价格估值。</w:t>
      </w:r>
    </w:p>
    <w:p>
      <w:pPr>
        <w:adjustRightInd w:val="0"/>
        <w:snapToGrid w:val="0"/>
        <w:spacing w:line="360" w:lineRule="auto"/>
        <w:ind w:firstLine="482"/>
        <w:rPr>
          <w:rFonts w:ascii="宋体" w:hAnsi="宋体"/>
          <w:sz w:val="24"/>
          <w:szCs w:val="24"/>
        </w:rPr>
      </w:pPr>
      <w:r>
        <w:rPr>
          <w:rFonts w:hint="eastAsia" w:ascii="宋体" w:hAnsi="宋体"/>
          <w:sz w:val="24"/>
          <w:szCs w:val="24"/>
        </w:rPr>
        <w:t>15）当发生大额申购或赎回情形时，基金管理人可以采用摆动定价机制，以确保基金估值的公平性。</w:t>
      </w:r>
    </w:p>
    <w:p>
      <w:pPr>
        <w:adjustRightInd w:val="0"/>
        <w:snapToGrid w:val="0"/>
        <w:spacing w:line="360" w:lineRule="auto"/>
        <w:ind w:firstLine="482"/>
        <w:rPr>
          <w:rFonts w:ascii="宋体" w:hAnsi="宋体"/>
          <w:sz w:val="24"/>
          <w:szCs w:val="24"/>
        </w:rPr>
      </w:pPr>
      <w:r>
        <w:rPr>
          <w:rFonts w:hint="eastAsia" w:ascii="宋体" w:hAnsi="宋体"/>
          <w:sz w:val="24"/>
          <w:szCs w:val="24"/>
        </w:rPr>
        <w:t>16）相关法律法规以及监管部门有强制规定的，从其规定。如有新增事项，按国家最新规定估值。</w:t>
      </w:r>
    </w:p>
    <w:p>
      <w:pPr>
        <w:adjustRightInd w:val="0"/>
        <w:snapToGrid w:val="0"/>
        <w:spacing w:line="360" w:lineRule="auto"/>
        <w:ind w:firstLine="482"/>
        <w:rPr>
          <w:rFonts w:ascii="宋体" w:hAnsi="宋体"/>
          <w:sz w:val="24"/>
          <w:szCs w:val="24"/>
        </w:rPr>
      </w:pPr>
      <w:r>
        <w:rPr>
          <w:rFonts w:hint="eastAsia" w:ascii="宋体" w:hAnsi="宋体"/>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spacing w:line="360" w:lineRule="auto"/>
        <w:ind w:firstLine="482"/>
        <w:rPr>
          <w:rFonts w:ascii="宋体" w:hAnsi="宋体"/>
          <w:sz w:val="24"/>
          <w:szCs w:val="24"/>
        </w:rPr>
      </w:pPr>
      <w:r>
        <w:rPr>
          <w:rFonts w:hint="eastAsia" w:ascii="宋体" w:hAnsi="宋体"/>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adjustRightInd w:val="0"/>
        <w:snapToGrid w:val="0"/>
        <w:spacing w:line="360" w:lineRule="auto"/>
        <w:ind w:firstLine="482"/>
        <w:rPr>
          <w:rFonts w:ascii="宋体" w:hAnsi="宋体"/>
          <w:sz w:val="24"/>
          <w:szCs w:val="24"/>
        </w:rPr>
      </w:pPr>
      <w:r>
        <w:rPr>
          <w:rFonts w:hint="eastAsia" w:ascii="宋体" w:hAnsi="宋体"/>
          <w:sz w:val="24"/>
          <w:szCs w:val="24"/>
        </w:rPr>
        <w:t>（3）特殊情形的处理</w:t>
      </w:r>
    </w:p>
    <w:p>
      <w:pPr>
        <w:adjustRightInd w:val="0"/>
        <w:snapToGrid w:val="0"/>
        <w:spacing w:line="360" w:lineRule="auto"/>
        <w:ind w:firstLine="482"/>
        <w:rPr>
          <w:rFonts w:ascii="宋体" w:hAnsi="宋体"/>
          <w:sz w:val="24"/>
          <w:szCs w:val="24"/>
        </w:rPr>
      </w:pPr>
      <w:r>
        <w:rPr>
          <w:rFonts w:hint="eastAsia" w:ascii="宋体" w:hAnsi="宋体"/>
          <w:sz w:val="24"/>
          <w:szCs w:val="24"/>
        </w:rPr>
        <w:t>1）基金管理人或基金托管人按估值方法的第14）项进行估值时，所造成的误差不作为基金资产估值错误处理。</w:t>
      </w:r>
    </w:p>
    <w:p>
      <w:pPr>
        <w:adjustRightInd w:val="0"/>
        <w:snapToGrid w:val="0"/>
        <w:spacing w:line="360" w:lineRule="auto"/>
        <w:ind w:firstLine="482"/>
        <w:rPr>
          <w:rFonts w:ascii="宋体" w:hAnsi="宋体"/>
          <w:sz w:val="24"/>
          <w:szCs w:val="24"/>
        </w:rPr>
      </w:pPr>
      <w:r>
        <w:rPr>
          <w:rFonts w:hint="eastAsia" w:ascii="宋体" w:hAnsi="宋体"/>
          <w:sz w:val="24"/>
          <w:szCs w:val="24"/>
        </w:rPr>
        <w:t>2）对于因税收规定调整或其他原因导致基金实际交纳税金与基金按照权责发生制进行估值的应交税金有差异的，相关估值调整不作为基金资产估值错误处理。</w:t>
      </w:r>
    </w:p>
    <w:p>
      <w:pPr>
        <w:adjustRightInd w:val="0"/>
        <w:snapToGrid w:val="0"/>
        <w:spacing w:line="360" w:lineRule="auto"/>
        <w:ind w:firstLine="482"/>
        <w:rPr>
          <w:rFonts w:ascii="宋体" w:hAnsi="宋体"/>
          <w:sz w:val="24"/>
          <w:szCs w:val="24"/>
        </w:rPr>
      </w:pPr>
      <w:r>
        <w:rPr>
          <w:rFonts w:hint="eastAsia" w:ascii="宋体" w:hAnsi="宋体"/>
          <w:sz w:val="24"/>
          <w:szCs w:val="24"/>
        </w:rPr>
        <w:t>3）由于时差、通讯或其他非可控的客观原因，在基金管理人和基金托管人协商一致的时间点前无法确认的交易，导致的对基金资产净值的影响，不作为基金资产估值错误处理。</w:t>
      </w:r>
    </w:p>
    <w:p>
      <w:pPr>
        <w:adjustRightInd w:val="0"/>
        <w:snapToGrid w:val="0"/>
        <w:spacing w:line="360" w:lineRule="auto"/>
        <w:ind w:firstLine="482"/>
        <w:rPr>
          <w:rFonts w:ascii="宋体" w:hAnsi="宋体"/>
          <w:sz w:val="24"/>
          <w:szCs w:val="24"/>
        </w:rPr>
      </w:pPr>
      <w:r>
        <w:rPr>
          <w:rFonts w:hint="eastAsia" w:ascii="宋体" w:hAnsi="宋体"/>
          <w:sz w:val="24"/>
          <w:szCs w:val="24"/>
        </w:rPr>
        <w:t>4）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djustRightInd w:val="0"/>
        <w:snapToGrid w:val="0"/>
        <w:spacing w:line="360" w:lineRule="auto"/>
        <w:ind w:firstLine="482"/>
        <w:rPr>
          <w:rFonts w:ascii="宋体" w:hAnsi="宋体"/>
          <w:sz w:val="24"/>
          <w:szCs w:val="24"/>
        </w:rPr>
      </w:pPr>
      <w:r>
        <w:rPr>
          <w:rFonts w:hint="eastAsia" w:ascii="宋体" w:hAnsi="宋体"/>
          <w:sz w:val="24"/>
          <w:szCs w:val="24"/>
        </w:rPr>
        <w:t>3、基金估值错误的处理方式</w:t>
      </w:r>
    </w:p>
    <w:p>
      <w:pPr>
        <w:adjustRightInd w:val="0"/>
        <w:snapToGrid w:val="0"/>
        <w:spacing w:line="360" w:lineRule="auto"/>
        <w:ind w:firstLine="482"/>
        <w:rPr>
          <w:rFonts w:ascii="宋体" w:hAnsi="宋体"/>
          <w:sz w:val="24"/>
          <w:szCs w:val="24"/>
        </w:rPr>
      </w:pPr>
      <w:r>
        <w:rPr>
          <w:rFonts w:hint="eastAsia" w:ascii="宋体" w:hAnsi="宋体"/>
          <w:sz w:val="24"/>
          <w:szCs w:val="24"/>
        </w:rPr>
        <w:t>（1）当任一类基金份额净值小数点后4位以内(含第4位)发生估值错误时，视为该类基金份额净值错误；基金份额净值出现错误时，基金管理人应当立即予以纠正，通报基金托管人，并采取合理的措施防止损失进一步扩大；任一类基金份额的错误偏差达到该类基金份额净值的0.25%时，基金管理人应当通报基金托管人并报中国证监会备案；错误偏差达到该类基金份额净值的0.5%时，基金管理人应当公告并报中国证监会备案；当发生基金份额净值错误时，由基金管理人负责处理，由此给基金份额持有人和基金造成损失的，应由基金管理人先行赔付，基金管理人按差错情形，有权向其他当事人追偿。</w:t>
      </w:r>
    </w:p>
    <w:p>
      <w:pPr>
        <w:adjustRightInd w:val="0"/>
        <w:snapToGrid w:val="0"/>
        <w:spacing w:line="360" w:lineRule="auto"/>
        <w:ind w:firstLine="482"/>
        <w:rPr>
          <w:rFonts w:ascii="宋体" w:hAnsi="宋体"/>
          <w:sz w:val="24"/>
          <w:szCs w:val="24"/>
        </w:rPr>
      </w:pPr>
      <w:r>
        <w:rPr>
          <w:rFonts w:hint="eastAsia" w:ascii="宋体" w:hAnsi="宋体"/>
          <w:sz w:val="24"/>
          <w:szCs w:val="24"/>
        </w:rPr>
        <w:t>（2）当基金份额净值错误给基金和基金份额持有人造成损失需要进行赔偿时，基金管理人和基金托管人应根据实际情况界定双方承担的责任，经确认后按以下条款进行赔偿：</w:t>
      </w:r>
    </w:p>
    <w:p>
      <w:pPr>
        <w:adjustRightInd w:val="0"/>
        <w:snapToGrid w:val="0"/>
        <w:spacing w:line="360" w:lineRule="auto"/>
        <w:ind w:firstLine="482"/>
        <w:rPr>
          <w:rFonts w:ascii="宋体" w:hAnsi="宋体"/>
          <w:sz w:val="24"/>
          <w:szCs w:val="24"/>
        </w:rPr>
      </w:pPr>
      <w:r>
        <w:rPr>
          <w:rFonts w:hint="eastAsia" w:ascii="宋体" w:hAnsi="宋体"/>
          <w:sz w:val="24"/>
          <w:szCs w:val="24"/>
        </w:rPr>
        <w:t>1）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pPr>
        <w:adjustRightInd w:val="0"/>
        <w:snapToGrid w:val="0"/>
        <w:spacing w:line="360" w:lineRule="auto"/>
        <w:ind w:firstLine="482"/>
        <w:rPr>
          <w:rFonts w:ascii="宋体" w:hAnsi="宋体"/>
          <w:sz w:val="24"/>
          <w:szCs w:val="24"/>
        </w:rPr>
      </w:pPr>
      <w:r>
        <w:rPr>
          <w:rFonts w:hint="eastAsia" w:ascii="宋体" w:hAnsi="宋体"/>
          <w:sz w:val="24"/>
          <w:szCs w:val="24"/>
        </w:rPr>
        <w:t>2）若基金管理人计算的基金份额净值已由基金托管人复核确认后公告，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基金管理人与基金托管人按照过错程度各自承担相应的责任。</w:t>
      </w:r>
    </w:p>
    <w:p>
      <w:pPr>
        <w:adjustRightInd w:val="0"/>
        <w:snapToGrid w:val="0"/>
        <w:spacing w:line="360" w:lineRule="auto"/>
        <w:ind w:firstLine="482"/>
        <w:rPr>
          <w:rFonts w:ascii="宋体" w:hAnsi="宋体"/>
          <w:sz w:val="24"/>
          <w:szCs w:val="24"/>
        </w:rPr>
      </w:pPr>
      <w:r>
        <w:rPr>
          <w:rFonts w:hint="eastAsia" w:ascii="宋体" w:hAnsi="宋体"/>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djustRightInd w:val="0"/>
        <w:snapToGrid w:val="0"/>
        <w:spacing w:line="360" w:lineRule="auto"/>
        <w:ind w:firstLine="482"/>
        <w:rPr>
          <w:rFonts w:ascii="宋体" w:hAnsi="宋体"/>
          <w:sz w:val="24"/>
          <w:szCs w:val="24"/>
        </w:rPr>
      </w:pPr>
      <w:r>
        <w:rPr>
          <w:rFonts w:hint="eastAsia" w:ascii="宋体" w:hAnsi="宋体"/>
          <w:sz w:val="24"/>
          <w:szCs w:val="24"/>
        </w:rPr>
        <w:t>4）由于基金管理人提供的信息错误（包括但不限于基金申购或赎回金额等），基金托管人在履行正常的复核程序后仍不能发现该错误，进而导致基金份额净值错误而引起的基金份额持有人和基金财产的损失，由基金管理人负责赔付。</w:t>
      </w:r>
    </w:p>
    <w:p>
      <w:pPr>
        <w:adjustRightInd w:val="0"/>
        <w:snapToGrid w:val="0"/>
        <w:spacing w:line="360" w:lineRule="auto"/>
        <w:ind w:firstLine="482"/>
        <w:rPr>
          <w:rFonts w:ascii="宋体" w:hAnsi="宋体"/>
          <w:sz w:val="24"/>
          <w:szCs w:val="24"/>
        </w:rPr>
      </w:pPr>
      <w:r>
        <w:rPr>
          <w:rFonts w:hint="eastAsia" w:ascii="宋体" w:hAnsi="宋体"/>
          <w:sz w:val="24"/>
          <w:szCs w:val="24"/>
        </w:rPr>
        <w:t>（3）基金管理人和基金托管人由于各自技术系统设置而产生的净值计算尾差，以基金管理人计算结果为准。</w:t>
      </w:r>
    </w:p>
    <w:p>
      <w:pPr>
        <w:adjustRightInd w:val="0"/>
        <w:snapToGrid w:val="0"/>
        <w:spacing w:line="360" w:lineRule="auto"/>
        <w:ind w:firstLine="482"/>
        <w:rPr>
          <w:rFonts w:ascii="宋体" w:hAnsi="宋体"/>
          <w:sz w:val="24"/>
          <w:szCs w:val="24"/>
        </w:rPr>
      </w:pPr>
      <w:r>
        <w:rPr>
          <w:rFonts w:hint="eastAsia" w:ascii="宋体" w:hAnsi="宋体"/>
          <w:sz w:val="24"/>
          <w:szCs w:val="24"/>
        </w:rPr>
        <w:t>（4）前述内容如法律法规或监管机构另有规定的，从其规定处理。</w:t>
      </w:r>
    </w:p>
    <w:p>
      <w:pPr>
        <w:adjustRightInd w:val="0"/>
        <w:snapToGrid w:val="0"/>
        <w:spacing w:line="360" w:lineRule="auto"/>
        <w:ind w:firstLine="482"/>
        <w:rPr>
          <w:rFonts w:ascii="宋体" w:hAnsi="宋体"/>
          <w:sz w:val="24"/>
          <w:szCs w:val="24"/>
        </w:rPr>
      </w:pPr>
      <w:r>
        <w:rPr>
          <w:rFonts w:hint="eastAsia" w:ascii="宋体" w:hAnsi="宋体"/>
          <w:sz w:val="24"/>
          <w:szCs w:val="24"/>
        </w:rPr>
        <w:t>4、暂停估值的情形</w:t>
      </w:r>
    </w:p>
    <w:p>
      <w:pPr>
        <w:adjustRightInd w:val="0"/>
        <w:snapToGrid w:val="0"/>
        <w:spacing w:line="360" w:lineRule="auto"/>
        <w:ind w:firstLine="482"/>
        <w:rPr>
          <w:rFonts w:ascii="宋体" w:hAnsi="宋体"/>
          <w:sz w:val="24"/>
          <w:szCs w:val="24"/>
        </w:rPr>
      </w:pPr>
      <w:r>
        <w:rPr>
          <w:rFonts w:hint="eastAsia" w:ascii="宋体" w:hAnsi="宋体"/>
          <w:sz w:val="24"/>
          <w:szCs w:val="24"/>
        </w:rPr>
        <w:t>（1）基金投资所涉及的证券、期货交易市场或外汇市场遇法定节假日或因其他原因暂停营业时；</w:t>
      </w:r>
    </w:p>
    <w:p>
      <w:pPr>
        <w:adjustRightInd w:val="0"/>
        <w:snapToGrid w:val="0"/>
        <w:spacing w:line="360" w:lineRule="auto"/>
        <w:ind w:firstLine="482"/>
        <w:rPr>
          <w:rFonts w:ascii="宋体" w:hAnsi="宋体"/>
          <w:sz w:val="24"/>
          <w:szCs w:val="24"/>
        </w:rPr>
      </w:pPr>
      <w:r>
        <w:rPr>
          <w:rFonts w:hint="eastAsia" w:ascii="宋体" w:hAnsi="宋体"/>
          <w:sz w:val="24"/>
          <w:szCs w:val="24"/>
        </w:rPr>
        <w:t>（2）因不可抗力致使基金管理人、基金托管人、境外托管人无法准确评估基金资产价值时；</w:t>
      </w:r>
    </w:p>
    <w:p>
      <w:pPr>
        <w:adjustRightInd w:val="0"/>
        <w:snapToGrid w:val="0"/>
        <w:spacing w:line="360" w:lineRule="auto"/>
        <w:ind w:firstLine="482"/>
        <w:rPr>
          <w:rFonts w:ascii="宋体" w:hAnsi="宋体"/>
          <w:sz w:val="24"/>
          <w:szCs w:val="24"/>
        </w:rPr>
      </w:pPr>
      <w:r>
        <w:rPr>
          <w:rFonts w:hint="eastAsia" w:ascii="宋体" w:hAnsi="宋体"/>
          <w:sz w:val="24"/>
          <w:szCs w:val="24"/>
        </w:rPr>
        <w:t>（3）当特定资产占前一估值日基金资产净值50%以上的，经与基金托管人协商确认后，基金管理人应当暂停估值；</w:t>
      </w:r>
    </w:p>
    <w:p>
      <w:pPr>
        <w:adjustRightInd w:val="0"/>
        <w:snapToGrid w:val="0"/>
        <w:spacing w:line="360" w:lineRule="auto"/>
        <w:ind w:firstLine="482"/>
        <w:rPr>
          <w:rFonts w:ascii="宋体" w:hAnsi="宋体"/>
          <w:sz w:val="24"/>
          <w:szCs w:val="24"/>
        </w:rPr>
      </w:pPr>
      <w:r>
        <w:rPr>
          <w:rFonts w:hint="eastAsia" w:ascii="宋体" w:hAnsi="宋体"/>
          <w:sz w:val="24"/>
          <w:szCs w:val="24"/>
        </w:rPr>
        <w:t>（4）法律法规、中国证监会和基金合同认定的其它情形。</w:t>
      </w:r>
    </w:p>
    <w:p>
      <w:pPr>
        <w:adjustRightInd w:val="0"/>
        <w:snapToGrid w:val="0"/>
        <w:spacing w:line="360" w:lineRule="auto"/>
        <w:ind w:firstLine="482"/>
        <w:rPr>
          <w:rFonts w:ascii="宋体" w:hAnsi="宋体"/>
          <w:sz w:val="24"/>
          <w:szCs w:val="24"/>
        </w:rPr>
      </w:pPr>
      <w:r>
        <w:rPr>
          <w:rFonts w:hint="eastAsia" w:ascii="宋体" w:hAnsi="宋体"/>
          <w:sz w:val="24"/>
          <w:szCs w:val="24"/>
        </w:rPr>
        <w:t>5、基金会计制度</w:t>
      </w:r>
    </w:p>
    <w:p>
      <w:pPr>
        <w:adjustRightInd w:val="0"/>
        <w:snapToGrid w:val="0"/>
        <w:spacing w:line="360" w:lineRule="auto"/>
        <w:ind w:firstLine="482"/>
        <w:rPr>
          <w:rFonts w:ascii="宋体" w:hAnsi="宋体"/>
          <w:sz w:val="24"/>
          <w:szCs w:val="24"/>
        </w:rPr>
      </w:pPr>
      <w:r>
        <w:rPr>
          <w:rFonts w:hint="eastAsia" w:ascii="宋体" w:hAnsi="宋体"/>
          <w:sz w:val="24"/>
          <w:szCs w:val="24"/>
        </w:rPr>
        <w:t>按国家有关部门规定的会计制度执行。</w:t>
      </w:r>
    </w:p>
    <w:p>
      <w:pPr>
        <w:adjustRightInd w:val="0"/>
        <w:snapToGrid w:val="0"/>
        <w:spacing w:line="360" w:lineRule="auto"/>
        <w:ind w:firstLine="482"/>
        <w:rPr>
          <w:rFonts w:ascii="宋体" w:hAnsi="宋体"/>
          <w:sz w:val="24"/>
          <w:szCs w:val="24"/>
        </w:rPr>
      </w:pPr>
      <w:r>
        <w:rPr>
          <w:rFonts w:hint="eastAsia" w:ascii="宋体" w:hAnsi="宋体"/>
          <w:sz w:val="24"/>
          <w:szCs w:val="24"/>
        </w:rPr>
        <w:t>6、基金账册的建立</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净值信息的计算和公告的，以基金管理人的账册为准。</w:t>
      </w:r>
    </w:p>
    <w:p>
      <w:pPr>
        <w:adjustRightInd w:val="0"/>
        <w:snapToGrid w:val="0"/>
        <w:spacing w:line="360" w:lineRule="auto"/>
        <w:ind w:firstLine="482"/>
        <w:rPr>
          <w:rFonts w:ascii="宋体" w:hAnsi="宋体"/>
          <w:sz w:val="24"/>
          <w:szCs w:val="24"/>
        </w:rPr>
      </w:pPr>
      <w:r>
        <w:rPr>
          <w:rFonts w:hint="eastAsia" w:ascii="宋体" w:hAnsi="宋体"/>
          <w:sz w:val="24"/>
          <w:szCs w:val="24"/>
        </w:rPr>
        <w:t>7、基金财务报表与报告的编制和复核</w:t>
      </w:r>
    </w:p>
    <w:p>
      <w:pPr>
        <w:adjustRightInd w:val="0"/>
        <w:snapToGrid w:val="0"/>
        <w:spacing w:line="360" w:lineRule="auto"/>
        <w:ind w:firstLine="482"/>
        <w:rPr>
          <w:rFonts w:ascii="宋体" w:hAnsi="宋体"/>
          <w:sz w:val="24"/>
          <w:szCs w:val="24"/>
        </w:rPr>
      </w:pPr>
      <w:r>
        <w:rPr>
          <w:rFonts w:hint="eastAsia" w:ascii="宋体" w:hAnsi="宋体"/>
          <w:sz w:val="24"/>
          <w:szCs w:val="24"/>
        </w:rPr>
        <w:t>（1）财务报表的编制</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应当及时编制并对外提供真实、完整的基金财务会计报告。月度报表的编制，基金管理人应于每月终了后5个工作日内完成；季度报告应在季度结束之日起15个工作日内编制完毕并予以公告；中期报告在上半年结束之日起两个月内编制完毕并予以公告；年度报告在每年结束之日起三个月内编制完毕并予以公告。基金合同生效不足2个月的，基金管理人可以不编制当期季度报告、中期报告或者年度报告。</w:t>
      </w:r>
    </w:p>
    <w:p>
      <w:pPr>
        <w:adjustRightInd w:val="0"/>
        <w:snapToGrid w:val="0"/>
        <w:spacing w:line="360" w:lineRule="auto"/>
        <w:ind w:firstLine="482"/>
        <w:rPr>
          <w:rFonts w:ascii="宋体" w:hAnsi="宋体"/>
          <w:sz w:val="24"/>
          <w:szCs w:val="24"/>
        </w:rPr>
      </w:pPr>
      <w:r>
        <w:rPr>
          <w:rFonts w:hint="eastAsia" w:ascii="宋体" w:hAnsi="宋体"/>
          <w:sz w:val="24"/>
          <w:szCs w:val="24"/>
        </w:rPr>
        <w:t>（2）报表复核</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基金管理人在报表或定期报告完成当日，对报表盖章后，以加密传真方式或双方书面商定的其他方式将有关报表提供基金托管人复核。</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pPr>
        <w:adjustRightInd w:val="0"/>
        <w:snapToGrid w:val="0"/>
        <w:spacing w:line="360" w:lineRule="auto"/>
        <w:ind w:firstLine="482"/>
        <w:rPr>
          <w:rFonts w:ascii="宋体" w:hAnsi="宋体"/>
          <w:sz w:val="24"/>
          <w:szCs w:val="24"/>
        </w:rPr>
      </w:pPr>
      <w:r>
        <w:rPr>
          <w:rFonts w:hint="eastAsia" w:ascii="宋体" w:hAnsi="宋体"/>
          <w:sz w:val="24"/>
          <w:szCs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8、基金管理人应每季向基金托管人提供基金业绩比较基准的基础数据和编制结果。</w:t>
      </w:r>
    </w:p>
    <w:p>
      <w:pPr>
        <w:adjustRightInd w:val="0"/>
        <w:snapToGrid w:val="0"/>
        <w:spacing w:line="360" w:lineRule="auto"/>
        <w:ind w:firstLine="482"/>
        <w:outlineLvl w:val="1"/>
        <w:rPr>
          <w:b/>
          <w:bCs/>
          <w:sz w:val="24"/>
        </w:rPr>
      </w:pPr>
      <w:r>
        <w:rPr>
          <w:b/>
          <w:bCs/>
          <w:sz w:val="24"/>
        </w:rPr>
        <w:t>（</w:t>
      </w:r>
      <w:r>
        <w:rPr>
          <w:rFonts w:hint="eastAsia"/>
          <w:b/>
          <w:bCs/>
          <w:sz w:val="24"/>
        </w:rPr>
        <w:t>六</w:t>
      </w:r>
      <w:r>
        <w:rPr>
          <w:b/>
          <w:bCs/>
          <w:sz w:val="24"/>
        </w:rPr>
        <w:t>）</w:t>
      </w:r>
      <w:r>
        <w:rPr>
          <w:rFonts w:hint="eastAsia"/>
          <w:b/>
          <w:bCs/>
          <w:sz w:val="24"/>
        </w:rPr>
        <w:t>基金份额持有人名册的登记与保管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基金份额持有人的名称和持有的基金份额。</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基金份额持有人名册由登记机构编制，由基金管理人审核并提交基金托管人保管。基金托管人有权按照相关法律法规要求基金管理人提供任意一个交易日或全部交易日的基金份额持有人名册，基金管理人应及时提供，不得拖延或拒绝提供。</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基金管理人应及时向基金托管人提交基金份额持有人名册。每年6月30日和12月31日的基金份额持有人名册应于下月前十个工作日内提交；基金合同生效日、基金合同终止日、基金份额持有人大会权益登记日等涉及到基金重要事项日期的基金份额持有人名册应于发生日后十个工作日内提交。</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基金管理人和基金托管人应妥善保管基金份额持有人名册，保存期限不低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pPr>
        <w:adjustRightInd w:val="0"/>
        <w:snapToGrid w:val="0"/>
        <w:spacing w:line="360" w:lineRule="auto"/>
        <w:ind w:firstLine="482"/>
        <w:outlineLvl w:val="1"/>
        <w:rPr>
          <w:b/>
          <w:bCs/>
          <w:sz w:val="24"/>
        </w:rPr>
      </w:pPr>
      <w:r>
        <w:rPr>
          <w:b/>
          <w:bCs/>
          <w:sz w:val="24"/>
        </w:rPr>
        <w:t>（七）争议解决方式</w:t>
      </w:r>
    </w:p>
    <w:p>
      <w:pPr>
        <w:adjustRightInd w:val="0"/>
        <w:snapToGrid w:val="0"/>
        <w:spacing w:line="360" w:lineRule="auto"/>
        <w:ind w:firstLine="482"/>
        <w:rPr>
          <w:rFonts w:ascii="宋体" w:hAnsi="宋体"/>
          <w:color w:val="0D0D0D"/>
          <w:sz w:val="24"/>
          <w:szCs w:val="24"/>
        </w:rPr>
      </w:pPr>
      <w:r>
        <w:rPr>
          <w:rFonts w:hint="eastAsia" w:ascii="宋体" w:hAnsi="宋体"/>
          <w:b/>
          <w:bCs/>
          <w:color w:val="0D0D0D"/>
          <w:sz w:val="24"/>
          <w:szCs w:val="24"/>
        </w:rPr>
        <w:t>因本协议产生或与之相关的争议，双方当事人应通过协商解决，协商不能解决的，任何一方均有权将争议提交中国国际经济贸易仲裁委员会，仲裁地点为北京市，按照中国国际经济贸易仲裁委员会届时有效的仲裁规则进行仲裁。仲裁裁决是终局的，对双方当事人均有约束力，除非仲裁裁决另有规定，仲裁费由败诉方承担。</w:t>
      </w:r>
    </w:p>
    <w:p>
      <w:pPr>
        <w:adjustRightInd w:val="0"/>
        <w:snapToGrid w:val="0"/>
        <w:spacing w:line="360" w:lineRule="auto"/>
        <w:ind w:firstLine="482"/>
        <w:rPr>
          <w:rFonts w:ascii="宋体" w:hAnsi="宋体"/>
          <w:color w:val="0D0D0D"/>
          <w:sz w:val="24"/>
          <w:szCs w:val="24"/>
        </w:rPr>
      </w:pPr>
      <w:r>
        <w:rPr>
          <w:rFonts w:hint="eastAsia" w:ascii="宋体" w:hAnsi="宋体"/>
          <w:color w:val="0D0D0D"/>
          <w:sz w:val="24"/>
          <w:szCs w:val="24"/>
        </w:rPr>
        <w:t>争议处理期间，双方当事人应恪守基金管理人和基金托管人职责，各自继续忠实、勤勉、尽责地履行基金合同和本托管协议规定的义务，维护基金份额持有人的合法权益。</w:t>
      </w:r>
    </w:p>
    <w:p>
      <w:pPr>
        <w:adjustRightInd w:val="0"/>
        <w:snapToGrid w:val="0"/>
        <w:spacing w:line="360" w:lineRule="auto"/>
        <w:ind w:firstLine="482"/>
        <w:rPr>
          <w:rFonts w:ascii="宋体" w:hAnsi="宋体"/>
          <w:color w:val="0D0D0D"/>
          <w:sz w:val="24"/>
          <w:szCs w:val="24"/>
        </w:rPr>
      </w:pPr>
      <w:r>
        <w:rPr>
          <w:rFonts w:hint="eastAsia" w:ascii="宋体" w:hAnsi="宋体"/>
          <w:color w:val="0D0D0D"/>
          <w:sz w:val="24"/>
          <w:szCs w:val="24"/>
        </w:rPr>
        <w:t>本协议适用中华人民共和国法律（为本协议之目的，不含港澳台地区法律）并从其解释。</w:t>
      </w:r>
    </w:p>
    <w:p>
      <w:pPr>
        <w:adjustRightInd w:val="0"/>
        <w:snapToGrid w:val="0"/>
        <w:spacing w:line="360" w:lineRule="auto"/>
        <w:ind w:firstLine="482" w:firstLineChars="200"/>
        <w:outlineLvl w:val="1"/>
        <w:rPr>
          <w:rFonts w:ascii="宋体" w:hAnsi="宋体"/>
          <w:b/>
          <w:kern w:val="0"/>
          <w:sz w:val="24"/>
          <w:szCs w:val="24"/>
        </w:rPr>
      </w:pPr>
      <w:r>
        <w:rPr>
          <w:rFonts w:ascii="宋体" w:hAnsi="宋体"/>
          <w:b/>
          <w:kern w:val="0"/>
          <w:sz w:val="24"/>
          <w:szCs w:val="24"/>
        </w:rPr>
        <w:t>（八）托管协议</w:t>
      </w:r>
      <w:r>
        <w:rPr>
          <w:rFonts w:hint="eastAsia" w:ascii="宋体" w:hAnsi="宋体"/>
          <w:b/>
          <w:kern w:val="0"/>
          <w:sz w:val="24"/>
          <w:szCs w:val="24"/>
        </w:rPr>
        <w:t>的变更、终止与基金财产的清算</w:t>
      </w:r>
    </w:p>
    <w:p>
      <w:pPr>
        <w:adjustRightInd w:val="0"/>
        <w:snapToGrid w:val="0"/>
        <w:spacing w:line="360" w:lineRule="auto"/>
        <w:ind w:firstLine="480" w:firstLineChars="200"/>
        <w:rPr>
          <w:color w:val="0D0D0D"/>
          <w:sz w:val="24"/>
          <w:szCs w:val="24"/>
        </w:rPr>
      </w:pPr>
      <w:r>
        <w:rPr>
          <w:rFonts w:hint="eastAsia"/>
          <w:color w:val="0D0D0D"/>
          <w:sz w:val="24"/>
          <w:szCs w:val="24"/>
        </w:rPr>
        <w:t>1、托管协议的变更程序</w:t>
      </w:r>
    </w:p>
    <w:p>
      <w:pPr>
        <w:adjustRightInd w:val="0"/>
        <w:snapToGrid w:val="0"/>
        <w:spacing w:line="360" w:lineRule="auto"/>
        <w:ind w:firstLine="480" w:firstLineChars="200"/>
        <w:rPr>
          <w:color w:val="0D0D0D"/>
          <w:sz w:val="24"/>
          <w:szCs w:val="24"/>
        </w:rPr>
      </w:pPr>
      <w:r>
        <w:rPr>
          <w:rFonts w:hint="eastAsia"/>
          <w:color w:val="0D0D0D"/>
          <w:sz w:val="24"/>
          <w:szCs w:val="24"/>
        </w:rPr>
        <w:t>本协议双方当事人经协商一致，可以对协议进行修改。修改后的新协议，其内容不得与基金合同的规定有任何冲突。基金托管协议的变更应按规定报中国证监会备案。</w:t>
      </w:r>
    </w:p>
    <w:p>
      <w:pPr>
        <w:adjustRightInd w:val="0"/>
        <w:snapToGrid w:val="0"/>
        <w:spacing w:line="360" w:lineRule="auto"/>
        <w:ind w:firstLine="480" w:firstLineChars="200"/>
        <w:rPr>
          <w:color w:val="0D0D0D"/>
          <w:sz w:val="24"/>
          <w:szCs w:val="24"/>
        </w:rPr>
      </w:pPr>
      <w:r>
        <w:rPr>
          <w:rFonts w:hint="eastAsia"/>
          <w:color w:val="0D0D0D"/>
          <w:sz w:val="24"/>
          <w:szCs w:val="24"/>
        </w:rPr>
        <w:t>2、基金托管协议终止的情形</w:t>
      </w:r>
    </w:p>
    <w:p>
      <w:pPr>
        <w:adjustRightInd w:val="0"/>
        <w:snapToGrid w:val="0"/>
        <w:spacing w:line="360" w:lineRule="auto"/>
        <w:ind w:firstLine="480" w:firstLineChars="200"/>
        <w:rPr>
          <w:color w:val="0D0D0D"/>
          <w:sz w:val="24"/>
          <w:szCs w:val="24"/>
        </w:rPr>
      </w:pPr>
      <w:r>
        <w:rPr>
          <w:rFonts w:hint="eastAsia"/>
          <w:color w:val="0D0D0D"/>
          <w:sz w:val="24"/>
          <w:szCs w:val="24"/>
        </w:rPr>
        <w:t>（1）基金合同终止；</w:t>
      </w:r>
    </w:p>
    <w:p>
      <w:pPr>
        <w:adjustRightInd w:val="0"/>
        <w:snapToGrid w:val="0"/>
        <w:spacing w:line="360" w:lineRule="auto"/>
        <w:ind w:firstLine="480" w:firstLineChars="200"/>
        <w:rPr>
          <w:color w:val="0D0D0D"/>
          <w:sz w:val="24"/>
          <w:szCs w:val="24"/>
        </w:rPr>
      </w:pPr>
      <w:r>
        <w:rPr>
          <w:rFonts w:hint="eastAsia"/>
          <w:color w:val="0D0D0D"/>
          <w:sz w:val="24"/>
          <w:szCs w:val="24"/>
        </w:rPr>
        <w:t>（2）基金托管人解散、依法被撤销、破产或由其他基金托管人接管基金资产；</w:t>
      </w:r>
    </w:p>
    <w:p>
      <w:pPr>
        <w:adjustRightInd w:val="0"/>
        <w:snapToGrid w:val="0"/>
        <w:spacing w:line="360" w:lineRule="auto"/>
        <w:ind w:firstLine="480" w:firstLineChars="200"/>
        <w:rPr>
          <w:color w:val="0D0D0D"/>
          <w:sz w:val="24"/>
          <w:szCs w:val="24"/>
        </w:rPr>
      </w:pPr>
      <w:r>
        <w:rPr>
          <w:rFonts w:hint="eastAsia"/>
          <w:color w:val="0D0D0D"/>
          <w:sz w:val="24"/>
          <w:szCs w:val="24"/>
        </w:rPr>
        <w:t>（3）基金管理人解散、依法被撤销、破产或由其他基金管理人接管基金管理权；</w:t>
      </w:r>
    </w:p>
    <w:p>
      <w:pPr>
        <w:adjustRightInd w:val="0"/>
        <w:snapToGrid w:val="0"/>
        <w:spacing w:line="360" w:lineRule="auto"/>
        <w:ind w:firstLine="480" w:firstLineChars="200"/>
        <w:rPr>
          <w:color w:val="0D0D0D"/>
          <w:sz w:val="24"/>
          <w:szCs w:val="24"/>
        </w:rPr>
      </w:pPr>
      <w:r>
        <w:rPr>
          <w:rFonts w:hint="eastAsia"/>
          <w:color w:val="0D0D0D"/>
          <w:sz w:val="24"/>
          <w:szCs w:val="24"/>
        </w:rPr>
        <w:t>（4）发生法律法规、中国证监会或基金合同规定的其他终止事项。</w:t>
      </w:r>
    </w:p>
    <w:p>
      <w:pPr>
        <w:adjustRightInd w:val="0"/>
        <w:snapToGrid w:val="0"/>
        <w:spacing w:line="360" w:lineRule="auto"/>
        <w:ind w:firstLine="480" w:firstLineChars="200"/>
        <w:rPr>
          <w:color w:val="0D0D0D"/>
          <w:sz w:val="24"/>
          <w:szCs w:val="24"/>
        </w:rPr>
      </w:pPr>
      <w:r>
        <w:rPr>
          <w:rFonts w:hint="eastAsia"/>
          <w:color w:val="0D0D0D"/>
          <w:sz w:val="24"/>
          <w:szCs w:val="24"/>
        </w:rPr>
        <w:t>3、基金财产的清算</w:t>
      </w:r>
    </w:p>
    <w:p>
      <w:pPr>
        <w:adjustRightInd w:val="0"/>
        <w:snapToGrid w:val="0"/>
        <w:spacing w:line="360" w:lineRule="auto"/>
        <w:ind w:firstLine="480" w:firstLineChars="200"/>
        <w:rPr>
          <w:color w:val="0D0D0D"/>
          <w:sz w:val="24"/>
          <w:szCs w:val="24"/>
        </w:rPr>
      </w:pPr>
      <w:r>
        <w:rPr>
          <w:rFonts w:hint="eastAsia"/>
          <w:color w:val="0D0D0D"/>
          <w:sz w:val="24"/>
          <w:szCs w:val="24"/>
        </w:rPr>
        <w:t>（1）基金财产清算小组</w:t>
      </w:r>
    </w:p>
    <w:p>
      <w:pPr>
        <w:adjustRightInd w:val="0"/>
        <w:snapToGrid w:val="0"/>
        <w:spacing w:line="360" w:lineRule="auto"/>
        <w:ind w:firstLine="480" w:firstLineChars="200"/>
        <w:rPr>
          <w:color w:val="0D0D0D"/>
          <w:sz w:val="24"/>
          <w:szCs w:val="24"/>
        </w:rPr>
      </w:pPr>
      <w:r>
        <w:rPr>
          <w:rFonts w:hint="eastAsia"/>
          <w:color w:val="0D0D0D"/>
          <w:sz w:val="24"/>
          <w:szCs w:val="24"/>
        </w:rPr>
        <w:t>1）自出现《基金合同》终止事由之日起30个工作日内成立基金财产清算小组，基金管理人组织基金财产清算小组并在中国证监会的监督下进行基金清算。</w:t>
      </w:r>
    </w:p>
    <w:p>
      <w:pPr>
        <w:adjustRightInd w:val="0"/>
        <w:snapToGrid w:val="0"/>
        <w:spacing w:line="360" w:lineRule="auto"/>
        <w:ind w:firstLine="480" w:firstLineChars="200"/>
        <w:rPr>
          <w:color w:val="0D0D0D"/>
          <w:sz w:val="24"/>
          <w:szCs w:val="24"/>
        </w:rPr>
      </w:pPr>
      <w:r>
        <w:rPr>
          <w:rFonts w:hint="eastAsia"/>
          <w:color w:val="0D0D0D"/>
          <w:sz w:val="24"/>
          <w:szCs w:val="24"/>
        </w:rPr>
        <w:t>2）基金财产清算小组成员由基金管理人、基金托管人、符合《中华人民共和国证券法》规定的注册会计师、律师以及中国证监会指定的人员组成。基金财产清算小组可以聘用必要的工作人员。</w:t>
      </w:r>
    </w:p>
    <w:p>
      <w:pPr>
        <w:adjustRightInd w:val="0"/>
        <w:snapToGrid w:val="0"/>
        <w:spacing w:line="360" w:lineRule="auto"/>
        <w:ind w:firstLine="480" w:firstLineChars="200"/>
        <w:rPr>
          <w:color w:val="0D0D0D"/>
          <w:sz w:val="24"/>
          <w:szCs w:val="24"/>
        </w:rPr>
      </w:pPr>
      <w:r>
        <w:rPr>
          <w:rFonts w:hint="eastAsia"/>
          <w:color w:val="0D0D0D"/>
          <w:sz w:val="24"/>
          <w:szCs w:val="24"/>
        </w:rPr>
        <w:t>3）在基金财产清算过程中，基金管理人和基金托管人应各自履行职责，继续忠实、勤勉、尽责地履行基金合同和本托管协议规定的义务，维护基金份额持有人的合法权益。</w:t>
      </w:r>
    </w:p>
    <w:p>
      <w:pPr>
        <w:adjustRightInd w:val="0"/>
        <w:snapToGrid w:val="0"/>
        <w:spacing w:line="360" w:lineRule="auto"/>
        <w:ind w:firstLine="480" w:firstLineChars="200"/>
        <w:rPr>
          <w:color w:val="0D0D0D"/>
          <w:sz w:val="24"/>
          <w:szCs w:val="24"/>
        </w:rPr>
      </w:pPr>
      <w:r>
        <w:rPr>
          <w:rFonts w:hint="eastAsia"/>
          <w:color w:val="0D0D0D"/>
          <w:sz w:val="24"/>
          <w:szCs w:val="24"/>
        </w:rPr>
        <w:t>4）基金财产清算小组负责基金财产的保管、清理、估价、变现和分配。基金财产清算小组可以依法进行必要的民事活动。</w:t>
      </w:r>
    </w:p>
    <w:p>
      <w:pPr>
        <w:adjustRightInd w:val="0"/>
        <w:snapToGrid w:val="0"/>
        <w:spacing w:line="360" w:lineRule="auto"/>
        <w:ind w:firstLine="480" w:firstLineChars="200"/>
        <w:rPr>
          <w:color w:val="0D0D0D"/>
          <w:sz w:val="24"/>
          <w:szCs w:val="24"/>
        </w:rPr>
      </w:pPr>
      <w:r>
        <w:rPr>
          <w:rFonts w:hint="eastAsia"/>
          <w:color w:val="0D0D0D"/>
          <w:sz w:val="24"/>
          <w:szCs w:val="24"/>
        </w:rPr>
        <w:t>（2）基金财产清算程序</w:t>
      </w:r>
    </w:p>
    <w:p>
      <w:pPr>
        <w:adjustRightInd w:val="0"/>
        <w:snapToGrid w:val="0"/>
        <w:spacing w:line="360" w:lineRule="auto"/>
        <w:ind w:firstLine="480" w:firstLineChars="200"/>
        <w:rPr>
          <w:color w:val="0D0D0D"/>
          <w:sz w:val="24"/>
          <w:szCs w:val="24"/>
        </w:rPr>
      </w:pPr>
      <w:r>
        <w:rPr>
          <w:rFonts w:hint="eastAsia"/>
          <w:color w:val="0D0D0D"/>
          <w:sz w:val="24"/>
          <w:szCs w:val="24"/>
        </w:rPr>
        <w:t>1）基金合同终止情形出现时，由基金财产清算小组统一接管基金财产；</w:t>
      </w:r>
    </w:p>
    <w:p>
      <w:pPr>
        <w:adjustRightInd w:val="0"/>
        <w:snapToGrid w:val="0"/>
        <w:spacing w:line="360" w:lineRule="auto"/>
        <w:ind w:firstLine="480" w:firstLineChars="200"/>
        <w:rPr>
          <w:color w:val="0D0D0D"/>
          <w:sz w:val="24"/>
          <w:szCs w:val="24"/>
        </w:rPr>
      </w:pPr>
      <w:r>
        <w:rPr>
          <w:rFonts w:hint="eastAsia"/>
          <w:color w:val="0D0D0D"/>
          <w:sz w:val="24"/>
          <w:szCs w:val="24"/>
        </w:rPr>
        <w:t>2）对基金财产和债权债务进行清理和确认；</w:t>
      </w:r>
    </w:p>
    <w:p>
      <w:pPr>
        <w:adjustRightInd w:val="0"/>
        <w:snapToGrid w:val="0"/>
        <w:spacing w:line="360" w:lineRule="auto"/>
        <w:ind w:firstLine="480" w:firstLineChars="200"/>
        <w:rPr>
          <w:color w:val="0D0D0D"/>
          <w:sz w:val="24"/>
          <w:szCs w:val="24"/>
        </w:rPr>
      </w:pPr>
      <w:r>
        <w:rPr>
          <w:rFonts w:hint="eastAsia"/>
          <w:color w:val="0D0D0D"/>
          <w:sz w:val="24"/>
          <w:szCs w:val="24"/>
        </w:rPr>
        <w:t>3）对基金财产进行估值和变现；</w:t>
      </w:r>
    </w:p>
    <w:p>
      <w:pPr>
        <w:adjustRightInd w:val="0"/>
        <w:snapToGrid w:val="0"/>
        <w:spacing w:line="360" w:lineRule="auto"/>
        <w:ind w:firstLine="480" w:firstLineChars="200"/>
        <w:rPr>
          <w:color w:val="0D0D0D"/>
          <w:sz w:val="24"/>
          <w:szCs w:val="24"/>
        </w:rPr>
      </w:pPr>
      <w:r>
        <w:rPr>
          <w:rFonts w:hint="eastAsia"/>
          <w:color w:val="0D0D0D"/>
          <w:sz w:val="24"/>
          <w:szCs w:val="24"/>
        </w:rPr>
        <w:t>4）制作清算报告；</w:t>
      </w:r>
    </w:p>
    <w:p>
      <w:pPr>
        <w:adjustRightInd w:val="0"/>
        <w:snapToGrid w:val="0"/>
        <w:spacing w:line="360" w:lineRule="auto"/>
        <w:ind w:firstLine="480" w:firstLineChars="200"/>
        <w:rPr>
          <w:color w:val="0D0D0D"/>
          <w:sz w:val="24"/>
          <w:szCs w:val="24"/>
        </w:rPr>
      </w:pPr>
      <w:r>
        <w:rPr>
          <w:rFonts w:hint="eastAsia"/>
          <w:color w:val="0D0D0D"/>
          <w:sz w:val="24"/>
          <w:szCs w:val="24"/>
        </w:rPr>
        <w:t>5）聘请符合《中华人民共和国证券法》规定的会计师事务所对清算报告进行外部审计；</w:t>
      </w:r>
    </w:p>
    <w:p>
      <w:pPr>
        <w:adjustRightInd w:val="0"/>
        <w:snapToGrid w:val="0"/>
        <w:spacing w:line="360" w:lineRule="auto"/>
        <w:ind w:firstLine="480" w:firstLineChars="200"/>
        <w:rPr>
          <w:color w:val="0D0D0D"/>
          <w:sz w:val="24"/>
          <w:szCs w:val="24"/>
        </w:rPr>
      </w:pPr>
      <w:r>
        <w:rPr>
          <w:rFonts w:hint="eastAsia"/>
          <w:color w:val="0D0D0D"/>
          <w:sz w:val="24"/>
          <w:szCs w:val="24"/>
        </w:rPr>
        <w:t>6）聘请律师事务所对清算报告出具法律意见书；</w:t>
      </w:r>
    </w:p>
    <w:p>
      <w:pPr>
        <w:adjustRightInd w:val="0"/>
        <w:snapToGrid w:val="0"/>
        <w:spacing w:line="360" w:lineRule="auto"/>
        <w:ind w:firstLine="480" w:firstLineChars="200"/>
        <w:rPr>
          <w:color w:val="0D0D0D"/>
          <w:sz w:val="24"/>
          <w:szCs w:val="24"/>
        </w:rPr>
      </w:pPr>
      <w:r>
        <w:rPr>
          <w:rFonts w:hint="eastAsia"/>
          <w:color w:val="0D0D0D"/>
          <w:sz w:val="24"/>
          <w:szCs w:val="24"/>
        </w:rPr>
        <w:t>7）将清算报告报中国证监会备案；</w:t>
      </w:r>
    </w:p>
    <w:p>
      <w:pPr>
        <w:adjustRightInd w:val="0"/>
        <w:snapToGrid w:val="0"/>
        <w:spacing w:line="360" w:lineRule="auto"/>
        <w:ind w:firstLine="480" w:firstLineChars="200"/>
        <w:rPr>
          <w:color w:val="0D0D0D"/>
          <w:sz w:val="24"/>
          <w:szCs w:val="24"/>
        </w:rPr>
      </w:pPr>
      <w:r>
        <w:rPr>
          <w:rFonts w:hint="eastAsia"/>
          <w:color w:val="0D0D0D"/>
          <w:sz w:val="24"/>
          <w:szCs w:val="24"/>
        </w:rPr>
        <w:t>8）公告基金清算报告；</w:t>
      </w:r>
    </w:p>
    <w:p>
      <w:pPr>
        <w:adjustRightInd w:val="0"/>
        <w:snapToGrid w:val="0"/>
        <w:spacing w:line="360" w:lineRule="auto"/>
        <w:ind w:firstLine="480" w:firstLineChars="200"/>
        <w:rPr>
          <w:color w:val="0D0D0D"/>
          <w:sz w:val="24"/>
          <w:szCs w:val="24"/>
        </w:rPr>
      </w:pPr>
      <w:r>
        <w:rPr>
          <w:rFonts w:hint="eastAsia"/>
          <w:color w:val="0D0D0D"/>
          <w:sz w:val="24"/>
          <w:szCs w:val="24"/>
        </w:rPr>
        <w:t>9）对基金剩余财产进行分配。</w:t>
      </w:r>
    </w:p>
    <w:p>
      <w:pPr>
        <w:adjustRightInd w:val="0"/>
        <w:snapToGrid w:val="0"/>
        <w:spacing w:line="360" w:lineRule="auto"/>
        <w:ind w:firstLine="480" w:firstLineChars="200"/>
        <w:rPr>
          <w:color w:val="0D0D0D"/>
          <w:sz w:val="24"/>
          <w:szCs w:val="24"/>
        </w:rPr>
      </w:pPr>
      <w:r>
        <w:rPr>
          <w:rFonts w:hint="eastAsia"/>
          <w:color w:val="0D0D0D"/>
          <w:sz w:val="24"/>
          <w:szCs w:val="24"/>
        </w:rPr>
        <w:t>基金财产清算的期限为6个月，但因本基金所持证券的流动性受到限制而不能及时变现的，清算期限相应顺延。</w:t>
      </w:r>
    </w:p>
    <w:p>
      <w:pPr>
        <w:adjustRightInd w:val="0"/>
        <w:snapToGrid w:val="0"/>
        <w:spacing w:line="360" w:lineRule="auto"/>
        <w:ind w:firstLine="480" w:firstLineChars="200"/>
        <w:rPr>
          <w:color w:val="0D0D0D"/>
          <w:sz w:val="24"/>
          <w:szCs w:val="24"/>
        </w:rPr>
      </w:pPr>
      <w:r>
        <w:rPr>
          <w:rFonts w:hint="eastAsia"/>
          <w:color w:val="0D0D0D"/>
          <w:sz w:val="24"/>
          <w:szCs w:val="24"/>
        </w:rPr>
        <w:t>（3）清算费用</w:t>
      </w:r>
    </w:p>
    <w:p>
      <w:pPr>
        <w:adjustRightInd w:val="0"/>
        <w:snapToGrid w:val="0"/>
        <w:spacing w:line="360" w:lineRule="auto"/>
        <w:ind w:firstLine="480" w:firstLineChars="200"/>
        <w:rPr>
          <w:color w:val="0D0D0D"/>
          <w:sz w:val="24"/>
          <w:szCs w:val="24"/>
        </w:rPr>
      </w:pPr>
      <w:r>
        <w:rPr>
          <w:rFonts w:hint="eastAsia"/>
          <w:color w:val="0D0D0D"/>
          <w:sz w:val="24"/>
          <w:szCs w:val="24"/>
        </w:rPr>
        <w:t>清算费用是指基金财产清算小组在进行基金财产清算过程中发生的所有合理费用，清算费用由基金财产清算小组优先从基金财产中支付。</w:t>
      </w:r>
    </w:p>
    <w:p>
      <w:pPr>
        <w:adjustRightInd w:val="0"/>
        <w:snapToGrid w:val="0"/>
        <w:spacing w:line="360" w:lineRule="auto"/>
        <w:ind w:firstLine="480" w:firstLineChars="200"/>
        <w:rPr>
          <w:color w:val="0D0D0D"/>
          <w:sz w:val="24"/>
          <w:szCs w:val="24"/>
        </w:rPr>
      </w:pPr>
      <w:r>
        <w:rPr>
          <w:rFonts w:hint="eastAsia"/>
          <w:color w:val="0D0D0D"/>
          <w:sz w:val="24"/>
          <w:szCs w:val="24"/>
        </w:rPr>
        <w:t>（4）基金财产按下列顺序清偿：</w:t>
      </w:r>
    </w:p>
    <w:p>
      <w:pPr>
        <w:adjustRightInd w:val="0"/>
        <w:snapToGrid w:val="0"/>
        <w:spacing w:line="360" w:lineRule="auto"/>
        <w:ind w:firstLine="480" w:firstLineChars="200"/>
        <w:rPr>
          <w:color w:val="0D0D0D"/>
          <w:sz w:val="24"/>
          <w:szCs w:val="24"/>
        </w:rPr>
      </w:pPr>
      <w:r>
        <w:rPr>
          <w:rFonts w:hint="eastAsia"/>
          <w:color w:val="0D0D0D"/>
          <w:sz w:val="24"/>
          <w:szCs w:val="24"/>
        </w:rPr>
        <w:t>1）支付清算费用；</w:t>
      </w:r>
    </w:p>
    <w:p>
      <w:pPr>
        <w:adjustRightInd w:val="0"/>
        <w:snapToGrid w:val="0"/>
        <w:spacing w:line="360" w:lineRule="auto"/>
        <w:ind w:firstLine="480" w:firstLineChars="200"/>
        <w:rPr>
          <w:color w:val="0D0D0D"/>
          <w:sz w:val="24"/>
          <w:szCs w:val="24"/>
        </w:rPr>
      </w:pPr>
      <w:r>
        <w:rPr>
          <w:rFonts w:hint="eastAsia"/>
          <w:color w:val="0D0D0D"/>
          <w:sz w:val="24"/>
          <w:szCs w:val="24"/>
        </w:rPr>
        <w:t>2）交纳所欠税款；</w:t>
      </w:r>
    </w:p>
    <w:p>
      <w:pPr>
        <w:adjustRightInd w:val="0"/>
        <w:snapToGrid w:val="0"/>
        <w:spacing w:line="360" w:lineRule="auto"/>
        <w:ind w:firstLine="480" w:firstLineChars="200"/>
        <w:rPr>
          <w:color w:val="0D0D0D"/>
          <w:sz w:val="24"/>
          <w:szCs w:val="24"/>
        </w:rPr>
      </w:pPr>
      <w:r>
        <w:rPr>
          <w:rFonts w:hint="eastAsia"/>
          <w:color w:val="0D0D0D"/>
          <w:sz w:val="24"/>
          <w:szCs w:val="24"/>
        </w:rPr>
        <w:t>3）清偿基金债务；</w:t>
      </w:r>
    </w:p>
    <w:p>
      <w:pPr>
        <w:adjustRightInd w:val="0"/>
        <w:snapToGrid w:val="0"/>
        <w:spacing w:line="360" w:lineRule="auto"/>
        <w:ind w:firstLine="480" w:firstLineChars="200"/>
        <w:rPr>
          <w:color w:val="0D0D0D"/>
          <w:sz w:val="24"/>
          <w:szCs w:val="24"/>
        </w:rPr>
      </w:pPr>
      <w:r>
        <w:rPr>
          <w:rFonts w:hint="eastAsia"/>
          <w:color w:val="0D0D0D"/>
          <w:sz w:val="24"/>
          <w:szCs w:val="24"/>
        </w:rPr>
        <w:t>4）按基金份额持有人持有的各类基金份额比例进行分配。</w:t>
      </w:r>
    </w:p>
    <w:p>
      <w:pPr>
        <w:adjustRightInd w:val="0"/>
        <w:snapToGrid w:val="0"/>
        <w:spacing w:line="360" w:lineRule="auto"/>
        <w:ind w:firstLine="480" w:firstLineChars="200"/>
        <w:rPr>
          <w:color w:val="0D0D0D"/>
          <w:sz w:val="24"/>
          <w:szCs w:val="24"/>
        </w:rPr>
      </w:pPr>
      <w:r>
        <w:rPr>
          <w:rFonts w:hint="eastAsia"/>
          <w:color w:val="0D0D0D"/>
          <w:sz w:val="24"/>
          <w:szCs w:val="24"/>
        </w:rPr>
        <w:t>基金财产未按前款1）－3）项规定清偿前，不分配给基金份额持有人。</w:t>
      </w:r>
    </w:p>
    <w:p>
      <w:pPr>
        <w:adjustRightInd w:val="0"/>
        <w:snapToGrid w:val="0"/>
        <w:spacing w:line="360" w:lineRule="auto"/>
        <w:ind w:firstLine="480" w:firstLineChars="200"/>
        <w:rPr>
          <w:color w:val="0D0D0D"/>
          <w:sz w:val="24"/>
          <w:szCs w:val="24"/>
        </w:rPr>
      </w:pPr>
      <w:r>
        <w:rPr>
          <w:rFonts w:hint="eastAsia"/>
          <w:color w:val="0D0D0D"/>
          <w:sz w:val="24"/>
          <w:szCs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djustRightInd w:val="0"/>
        <w:snapToGrid w:val="0"/>
        <w:spacing w:line="360" w:lineRule="auto"/>
        <w:ind w:firstLine="480" w:firstLineChars="200"/>
        <w:rPr>
          <w:color w:val="0D0D0D"/>
          <w:sz w:val="24"/>
          <w:szCs w:val="24"/>
        </w:rPr>
      </w:pPr>
      <w:r>
        <w:rPr>
          <w:rFonts w:hint="eastAsia"/>
          <w:color w:val="0D0D0D"/>
          <w:sz w:val="24"/>
          <w:szCs w:val="24"/>
        </w:rPr>
        <w:t>（5）基金财产清算的公告</w:t>
      </w:r>
    </w:p>
    <w:p>
      <w:pPr>
        <w:adjustRightInd w:val="0"/>
        <w:snapToGrid w:val="0"/>
        <w:spacing w:line="360" w:lineRule="auto"/>
        <w:ind w:firstLine="480" w:firstLineChars="200"/>
        <w:rPr>
          <w:color w:val="0D0D0D"/>
          <w:sz w:val="24"/>
          <w:szCs w:val="24"/>
        </w:rPr>
      </w:pPr>
      <w:r>
        <w:rPr>
          <w:rFonts w:hint="eastAsia"/>
          <w:color w:val="0D0D0D"/>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djustRightInd w:val="0"/>
        <w:snapToGrid w:val="0"/>
        <w:spacing w:line="360" w:lineRule="auto"/>
        <w:ind w:firstLine="480" w:firstLineChars="200"/>
        <w:rPr>
          <w:color w:val="0D0D0D"/>
          <w:sz w:val="24"/>
          <w:szCs w:val="24"/>
        </w:rPr>
      </w:pPr>
      <w:r>
        <w:rPr>
          <w:rFonts w:hint="eastAsia"/>
          <w:color w:val="0D0D0D"/>
          <w:sz w:val="24"/>
          <w:szCs w:val="24"/>
        </w:rPr>
        <w:t>（6）基金财产清算账册及文件的保存</w:t>
      </w:r>
    </w:p>
    <w:p>
      <w:pPr>
        <w:adjustRightInd w:val="0"/>
        <w:snapToGrid w:val="0"/>
        <w:spacing w:line="360" w:lineRule="auto"/>
        <w:ind w:firstLine="480" w:firstLineChars="200"/>
        <w:rPr>
          <w:rFonts w:ascii="宋体" w:hAnsi="宋体"/>
          <w:sz w:val="24"/>
        </w:rPr>
      </w:pPr>
      <w:r>
        <w:rPr>
          <w:rFonts w:hint="eastAsia"/>
          <w:color w:val="0D0D0D"/>
          <w:sz w:val="24"/>
          <w:szCs w:val="24"/>
        </w:rPr>
        <w:t>基金财产清算账册及有关文件由基金托管人保存不低于法律法规规定的最低期限。</w:t>
      </w:r>
    </w:p>
    <w:p>
      <w:pPr>
        <w:rPr>
          <w:rFonts w:ascii="宋体" w:hAnsi="宋体"/>
          <w:sz w:val="24"/>
        </w:rPr>
      </w:pPr>
      <w:r>
        <w:rPr>
          <w:rFonts w:hint="eastAsia" w:ascii="宋体" w:hAnsi="宋体"/>
          <w:sz w:val="24"/>
        </w:rPr>
        <w:br w:type="page"/>
      </w:r>
    </w:p>
    <w:p>
      <w:pPr>
        <w:widowControl/>
        <w:jc w:val="center"/>
        <w:outlineLvl w:val="0"/>
        <w:rPr>
          <w:b/>
          <w:bCs/>
          <w:sz w:val="30"/>
        </w:rPr>
      </w:pPr>
      <w:bookmarkStart w:id="142" w:name="_Toc20389"/>
      <w:bookmarkStart w:id="143" w:name="_Toc22062"/>
      <w:bookmarkStart w:id="144" w:name="_Toc48122022"/>
      <w:bookmarkStart w:id="145" w:name="_Toc3777"/>
      <w:r>
        <w:rPr>
          <w:b/>
          <w:bCs/>
          <w:sz w:val="30"/>
        </w:rPr>
        <w:t>二十</w:t>
      </w:r>
      <w:r>
        <w:rPr>
          <w:rFonts w:hint="default"/>
          <w:b/>
          <w:bCs/>
          <w:sz w:val="30"/>
          <w:lang w:val="en-US"/>
        </w:rPr>
        <w:t>二</w:t>
      </w:r>
      <w:r>
        <w:rPr>
          <w:b/>
          <w:bCs/>
          <w:sz w:val="30"/>
        </w:rPr>
        <w:t>、对基金份额持有人的服务</w:t>
      </w:r>
      <w:bookmarkEnd w:id="142"/>
      <w:bookmarkEnd w:id="143"/>
      <w:bookmarkEnd w:id="144"/>
      <w:bookmarkEnd w:id="145"/>
    </w:p>
    <w:p>
      <w:pPr>
        <w:widowControl/>
        <w:adjustRightInd w:val="0"/>
        <w:snapToGrid w:val="0"/>
        <w:spacing w:line="360" w:lineRule="auto"/>
        <w:ind w:firstLine="480" w:firstLineChars="200"/>
        <w:rPr>
          <w:rFonts w:hAnsi="宋体"/>
          <w:kern w:val="0"/>
          <w:sz w:val="24"/>
          <w:szCs w:val="24"/>
        </w:rPr>
      </w:pPr>
    </w:p>
    <w:p>
      <w:pPr>
        <w:widowControl/>
        <w:adjustRightInd w:val="0"/>
        <w:snapToGrid w:val="0"/>
        <w:spacing w:line="360" w:lineRule="auto"/>
        <w:ind w:firstLine="480" w:firstLineChars="200"/>
        <w:rPr>
          <w:rFonts w:hAnsi="宋体"/>
          <w:kern w:val="0"/>
          <w:sz w:val="24"/>
        </w:rPr>
      </w:pPr>
      <w:r>
        <w:rPr>
          <w:rFonts w:hAnsi="宋体"/>
          <w:kern w:val="0"/>
          <w:sz w:val="24"/>
          <w:szCs w:val="24"/>
        </w:rPr>
        <w:t>基金管理人承诺为基金份额持有人提供一系列的服务。基金管理人根据基金份额持有人的需要和市场的变化，有权增加或变更服务项目。主要服务内容如下：</w:t>
      </w:r>
    </w:p>
    <w:p>
      <w:pPr>
        <w:widowControl/>
        <w:adjustRightInd w:val="0"/>
        <w:snapToGrid w:val="0"/>
        <w:spacing w:line="360" w:lineRule="auto"/>
        <w:ind w:firstLine="482" w:firstLineChars="200"/>
        <w:rPr>
          <w:rFonts w:hAnsi="宋体"/>
          <w:b/>
          <w:kern w:val="0"/>
          <w:sz w:val="24"/>
        </w:rPr>
      </w:pPr>
      <w:r>
        <w:rPr>
          <w:rFonts w:hAnsi="宋体"/>
          <w:b/>
          <w:kern w:val="0"/>
          <w:sz w:val="24"/>
        </w:rPr>
        <w:t>（一）</w:t>
      </w:r>
      <w:r>
        <w:rPr>
          <w:rFonts w:hint="eastAsia" w:hAnsi="宋体"/>
          <w:b/>
          <w:kern w:val="0"/>
          <w:sz w:val="24"/>
        </w:rPr>
        <w:t>基金募集客户服务相关准备工作</w:t>
      </w:r>
    </w:p>
    <w:p>
      <w:pPr>
        <w:widowControl/>
        <w:adjustRightInd w:val="0"/>
        <w:snapToGrid w:val="0"/>
        <w:spacing w:line="360" w:lineRule="auto"/>
        <w:ind w:firstLine="480" w:firstLineChars="200"/>
        <w:rPr>
          <w:rFonts w:hAnsi="宋体"/>
          <w:kern w:val="0"/>
          <w:sz w:val="24"/>
        </w:rPr>
      </w:pPr>
      <w:r>
        <w:rPr>
          <w:rFonts w:hint="eastAsia" w:hAnsi="宋体"/>
          <w:kern w:val="0"/>
          <w:sz w:val="24"/>
        </w:rPr>
        <w:t>基金管理人将通过客户服务电话、公司网站、手机短信及其他服务形式，向投资者提供关于基金募集的信息咨询服务，并为投资者办理基金募集相关业务提供协助。</w:t>
      </w:r>
    </w:p>
    <w:p>
      <w:pPr>
        <w:widowControl/>
        <w:adjustRightInd w:val="0"/>
        <w:snapToGrid w:val="0"/>
        <w:spacing w:line="360" w:lineRule="auto"/>
        <w:ind w:firstLine="482" w:firstLineChars="200"/>
        <w:rPr>
          <w:rFonts w:hAnsi="宋体"/>
          <w:b/>
          <w:kern w:val="0"/>
          <w:sz w:val="24"/>
        </w:rPr>
      </w:pPr>
      <w:r>
        <w:rPr>
          <w:rFonts w:hAnsi="宋体"/>
          <w:b/>
          <w:kern w:val="0"/>
          <w:sz w:val="24"/>
        </w:rPr>
        <w:t>（二）网上</w:t>
      </w:r>
      <w:r>
        <w:rPr>
          <w:rFonts w:hint="eastAsia" w:hAnsi="宋体"/>
          <w:b/>
          <w:kern w:val="0"/>
          <w:sz w:val="24"/>
        </w:rPr>
        <w:t>直销</w:t>
      </w:r>
      <w:r>
        <w:rPr>
          <w:rFonts w:hAnsi="宋体"/>
          <w:b/>
          <w:kern w:val="0"/>
          <w:sz w:val="24"/>
        </w:rPr>
        <w:t>服务</w:t>
      </w:r>
    </w:p>
    <w:p>
      <w:pPr>
        <w:widowControl/>
        <w:adjustRightInd w:val="0"/>
        <w:snapToGrid w:val="0"/>
        <w:spacing w:line="360" w:lineRule="auto"/>
        <w:ind w:firstLine="480" w:firstLineChars="200"/>
        <w:rPr>
          <w:rFonts w:hAnsi="宋体"/>
          <w:kern w:val="0"/>
          <w:sz w:val="24"/>
        </w:rPr>
      </w:pPr>
      <w:r>
        <w:rPr>
          <w:rFonts w:hAnsi="宋体"/>
          <w:kern w:val="0"/>
          <w:sz w:val="24"/>
        </w:rPr>
        <w:t>本基金管理人已开通基金网上直销</w:t>
      </w:r>
      <w:r>
        <w:rPr>
          <w:rFonts w:hint="eastAsia" w:hAnsi="宋体"/>
          <w:kern w:val="0"/>
          <w:sz w:val="24"/>
        </w:rPr>
        <w:t>服务</w:t>
      </w:r>
      <w:r>
        <w:rPr>
          <w:rFonts w:hAnsi="宋体"/>
          <w:kern w:val="0"/>
          <w:sz w:val="24"/>
        </w:rPr>
        <w:t>，个人投资者可以直接通过本基金管理人的</w:t>
      </w:r>
      <w:r>
        <w:rPr>
          <w:rFonts w:hint="eastAsia" w:hAnsi="宋体"/>
          <w:kern w:val="0"/>
          <w:sz w:val="24"/>
        </w:rPr>
        <w:t>网上直销交易平台</w:t>
      </w:r>
      <w:r>
        <w:rPr>
          <w:rFonts w:hAnsi="宋体"/>
          <w:kern w:val="0"/>
          <w:sz w:val="24"/>
        </w:rPr>
        <w:t>办理开户手续，并在本基金募集期间</w:t>
      </w:r>
      <w:r>
        <w:rPr>
          <w:rFonts w:hint="eastAsia" w:hAnsi="宋体"/>
          <w:kern w:val="0"/>
          <w:sz w:val="24"/>
        </w:rPr>
        <w:t>通过网上直销交易平台</w:t>
      </w:r>
      <w:r>
        <w:rPr>
          <w:rFonts w:hAnsi="宋体"/>
          <w:kern w:val="0"/>
          <w:sz w:val="24"/>
        </w:rPr>
        <w:t>办理</w:t>
      </w:r>
      <w:r>
        <w:rPr>
          <w:rFonts w:hint="eastAsia" w:hAnsi="宋体"/>
          <w:kern w:val="0"/>
          <w:sz w:val="24"/>
        </w:rPr>
        <w:t>本基金的认购业务，在本基金</w:t>
      </w:r>
      <w:r>
        <w:rPr>
          <w:rFonts w:hAnsi="宋体"/>
          <w:kern w:val="0"/>
          <w:sz w:val="24"/>
        </w:rPr>
        <w:t>开放日常申购和赎回等业务后</w:t>
      </w:r>
      <w:r>
        <w:rPr>
          <w:rFonts w:hint="eastAsia" w:hAnsi="宋体"/>
          <w:kern w:val="0"/>
          <w:sz w:val="24"/>
        </w:rPr>
        <w:t>通过网上直销交易平台</w:t>
      </w:r>
      <w:r>
        <w:rPr>
          <w:rFonts w:hAnsi="宋体"/>
          <w:kern w:val="0"/>
          <w:sz w:val="24"/>
        </w:rPr>
        <w:t>办理</w:t>
      </w:r>
      <w:r>
        <w:rPr>
          <w:rFonts w:hint="eastAsia" w:hAnsi="宋体"/>
          <w:kern w:val="0"/>
          <w:sz w:val="24"/>
        </w:rPr>
        <w:t>本基金的申购和赎回等业务</w:t>
      </w:r>
      <w:r>
        <w:rPr>
          <w:rFonts w:hAnsi="宋体"/>
          <w:kern w:val="0"/>
          <w:sz w:val="24"/>
        </w:rPr>
        <w:t>，有关详情可参见相关公告。</w:t>
      </w:r>
    </w:p>
    <w:p>
      <w:pPr>
        <w:widowControl/>
        <w:adjustRightInd w:val="0"/>
        <w:snapToGrid w:val="0"/>
        <w:spacing w:line="360" w:lineRule="auto"/>
        <w:ind w:firstLine="480" w:firstLineChars="200"/>
        <w:rPr>
          <w:rFonts w:hAnsi="宋体"/>
          <w:kern w:val="0"/>
          <w:sz w:val="24"/>
        </w:rPr>
      </w:pPr>
      <w:r>
        <w:rPr>
          <w:rFonts w:hAnsi="宋体"/>
          <w:kern w:val="0"/>
          <w:sz w:val="24"/>
        </w:rPr>
        <w:t>基金网上直销</w:t>
      </w:r>
      <w:r>
        <w:rPr>
          <w:rFonts w:hint="eastAsia" w:hAnsi="宋体"/>
          <w:kern w:val="0"/>
          <w:sz w:val="24"/>
        </w:rPr>
        <w:t>交易平台</w:t>
      </w:r>
      <w:r>
        <w:rPr>
          <w:rFonts w:hAnsi="宋体"/>
          <w:kern w:val="0"/>
          <w:sz w:val="24"/>
        </w:rPr>
        <w:t>已开通的银行卡及各银行卡交易金额限额请参阅本</w:t>
      </w:r>
      <w:r>
        <w:rPr>
          <w:rFonts w:hint="eastAsia" w:hAnsi="宋体"/>
          <w:kern w:val="0"/>
          <w:sz w:val="24"/>
        </w:rPr>
        <w:t>基金管理人</w:t>
      </w:r>
      <w:r>
        <w:rPr>
          <w:rFonts w:hAnsi="宋体"/>
          <w:kern w:val="0"/>
          <w:sz w:val="24"/>
        </w:rPr>
        <w:t>网站。</w:t>
      </w:r>
    </w:p>
    <w:p>
      <w:pPr>
        <w:widowControl/>
        <w:adjustRightInd w:val="0"/>
        <w:snapToGrid w:val="0"/>
        <w:spacing w:line="360" w:lineRule="auto"/>
        <w:ind w:firstLine="480" w:firstLineChars="200"/>
        <w:rPr>
          <w:rFonts w:hAnsi="宋体"/>
          <w:kern w:val="0"/>
          <w:sz w:val="24"/>
        </w:rPr>
      </w:pPr>
      <w:r>
        <w:rPr>
          <w:rFonts w:hAnsi="宋体"/>
          <w:kern w:val="0"/>
          <w:sz w:val="24"/>
        </w:rPr>
        <w:t>在条件成熟的时候，本基金管理人将根据基金网上</w:t>
      </w:r>
      <w:r>
        <w:rPr>
          <w:rFonts w:hint="eastAsia" w:hAnsi="宋体"/>
          <w:kern w:val="0"/>
          <w:sz w:val="24"/>
        </w:rPr>
        <w:t>直销</w:t>
      </w:r>
      <w:r>
        <w:rPr>
          <w:rFonts w:hAnsi="宋体"/>
          <w:kern w:val="0"/>
          <w:sz w:val="24"/>
        </w:rPr>
        <w:t>业务的发展状况，适时</w:t>
      </w:r>
      <w:r>
        <w:rPr>
          <w:rFonts w:hint="eastAsia" w:hAnsi="宋体"/>
          <w:kern w:val="0"/>
          <w:sz w:val="24"/>
        </w:rPr>
        <w:t>调整</w:t>
      </w:r>
      <w:r>
        <w:rPr>
          <w:rFonts w:hAnsi="宋体"/>
          <w:kern w:val="0"/>
          <w:sz w:val="24"/>
        </w:rPr>
        <w:t>可用于</w:t>
      </w:r>
      <w:r>
        <w:rPr>
          <w:rFonts w:hint="eastAsia" w:hAnsi="宋体"/>
          <w:kern w:val="0"/>
          <w:sz w:val="24"/>
        </w:rPr>
        <w:t>网上直销交易平台</w:t>
      </w:r>
      <w:r>
        <w:rPr>
          <w:rFonts w:hAnsi="宋体"/>
          <w:kern w:val="0"/>
          <w:sz w:val="24"/>
        </w:rPr>
        <w:t>的银行卡种类，敬请投资人留意相关公告。</w:t>
      </w:r>
    </w:p>
    <w:p>
      <w:pPr>
        <w:widowControl/>
        <w:adjustRightInd w:val="0"/>
        <w:snapToGrid w:val="0"/>
        <w:spacing w:line="360" w:lineRule="auto"/>
        <w:ind w:firstLine="482" w:firstLineChars="200"/>
        <w:rPr>
          <w:rFonts w:hAnsi="宋体"/>
          <w:b/>
          <w:kern w:val="0"/>
          <w:sz w:val="24"/>
        </w:rPr>
      </w:pPr>
      <w:r>
        <w:rPr>
          <w:rFonts w:hAnsi="宋体"/>
          <w:b/>
          <w:kern w:val="0"/>
          <w:sz w:val="24"/>
        </w:rPr>
        <w:t>（三）信息咨询、查询服务</w:t>
      </w:r>
    </w:p>
    <w:p>
      <w:pPr>
        <w:widowControl/>
        <w:adjustRightInd w:val="0"/>
        <w:snapToGrid w:val="0"/>
        <w:spacing w:line="360" w:lineRule="auto"/>
        <w:ind w:firstLine="480" w:firstLineChars="200"/>
        <w:rPr>
          <w:kern w:val="0"/>
          <w:sz w:val="24"/>
        </w:rPr>
      </w:pPr>
      <w:r>
        <w:rPr>
          <w:rFonts w:hAnsi="宋体"/>
          <w:kern w:val="0"/>
          <w:sz w:val="24"/>
        </w:rPr>
        <w:t>投资人如果想查询基金账户余额、基金产品与服务等信息，请拨打本基金管理人客户服务电话（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t>
      </w:r>
      <w:r>
        <w:rPr>
          <w:rFonts w:hint="eastAsia"/>
          <w:kern w:val="0"/>
          <w:sz w:val="24"/>
        </w:rPr>
        <w:t>www.fund001.com</w:t>
      </w:r>
      <w:r>
        <w:rPr>
          <w:kern w:val="0"/>
          <w:sz w:val="24"/>
        </w:rPr>
        <w:t>）进</w:t>
      </w:r>
      <w:r>
        <w:rPr>
          <w:rFonts w:hAnsi="宋体"/>
          <w:kern w:val="0"/>
          <w:sz w:val="24"/>
        </w:rPr>
        <w:t>行咨询、查询。</w:t>
      </w:r>
    </w:p>
    <w:p>
      <w:pPr>
        <w:widowControl/>
        <w:adjustRightInd w:val="0"/>
        <w:snapToGrid w:val="0"/>
        <w:spacing w:line="360" w:lineRule="auto"/>
        <w:ind w:firstLine="480" w:firstLineChars="20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pPr>
        <w:widowControl/>
        <w:adjustRightInd w:val="0"/>
        <w:snapToGrid w:val="0"/>
        <w:spacing w:line="360" w:lineRule="auto"/>
        <w:ind w:firstLine="480" w:firstLineChars="200"/>
        <w:rPr>
          <w:kern w:val="0"/>
          <w:sz w:val="24"/>
        </w:rPr>
      </w:pPr>
      <w:r>
        <w:rPr>
          <w:kern w:val="0"/>
          <w:sz w:val="24"/>
        </w:rPr>
        <w:t>投资人可以拨打本基金管理人客户服务电话投诉直销机构的人员和服务。</w:t>
      </w:r>
    </w:p>
    <w:p>
      <w:pPr>
        <w:widowControl/>
        <w:adjustRightInd w:val="0"/>
        <w:snapToGrid w:val="0"/>
        <w:spacing w:line="360" w:lineRule="auto"/>
        <w:ind w:firstLine="482" w:firstLineChars="200"/>
        <w:rPr>
          <w:rFonts w:hAnsi="宋体"/>
          <w:b/>
          <w:kern w:val="0"/>
          <w:sz w:val="24"/>
        </w:rPr>
      </w:pPr>
      <w:r>
        <w:rPr>
          <w:rFonts w:hAnsi="宋体"/>
          <w:b/>
          <w:kern w:val="0"/>
          <w:sz w:val="24"/>
        </w:rPr>
        <w:t>（四）基金红利再投资</w:t>
      </w:r>
    </w:p>
    <w:p>
      <w:pPr>
        <w:widowControl/>
        <w:adjustRightInd w:val="0"/>
        <w:snapToGrid w:val="0"/>
        <w:spacing w:line="360" w:lineRule="auto"/>
        <w:ind w:firstLine="480" w:firstLineChars="200"/>
        <w:rPr>
          <w:kern w:val="0"/>
          <w:sz w:val="24"/>
        </w:rPr>
      </w:pPr>
      <w:r>
        <w:rPr>
          <w:kern w:val="0"/>
          <w:sz w:val="24"/>
        </w:rPr>
        <w:t>本基金收益分配时，</w:t>
      </w:r>
      <w:r>
        <w:rPr>
          <w:rFonts w:hint="eastAsia"/>
          <w:kern w:val="0"/>
          <w:sz w:val="24"/>
        </w:rPr>
        <w:t>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w:t>
      </w:r>
    </w:p>
    <w:p>
      <w:pPr>
        <w:widowControl/>
        <w:adjustRightInd w:val="0"/>
        <w:snapToGrid w:val="0"/>
        <w:spacing w:line="360" w:lineRule="auto"/>
        <w:ind w:firstLine="482" w:firstLineChars="200"/>
        <w:rPr>
          <w:rFonts w:hAnsi="宋体"/>
          <w:b/>
          <w:kern w:val="0"/>
          <w:sz w:val="24"/>
        </w:rPr>
      </w:pPr>
      <w:r>
        <w:rPr>
          <w:rFonts w:hAnsi="宋体"/>
          <w:b/>
          <w:kern w:val="0"/>
          <w:sz w:val="24"/>
        </w:rPr>
        <w:t>（五）定期定额投资计划</w:t>
      </w:r>
    </w:p>
    <w:p>
      <w:pPr>
        <w:widowControl/>
        <w:adjustRightInd w:val="0"/>
        <w:snapToGrid w:val="0"/>
        <w:spacing w:line="360" w:lineRule="auto"/>
        <w:ind w:firstLine="480" w:firstLineChars="200"/>
        <w:rPr>
          <w:kern w:val="0"/>
          <w:sz w:val="24"/>
        </w:rPr>
      </w:pPr>
      <w:r>
        <w:rPr>
          <w:kern w:val="0"/>
          <w:sz w:val="24"/>
        </w:rPr>
        <w:t>待技术条件成熟时，基金</w:t>
      </w:r>
      <w:bookmarkStart w:id="146" w:name="OLE_LINK11"/>
      <w:r>
        <w:rPr>
          <w:kern w:val="0"/>
          <w:sz w:val="24"/>
        </w:rPr>
        <w:t>管理人可通过销售机构为投资人提供定期定额投资的服务。通过定期定额</w:t>
      </w:r>
      <w:bookmarkEnd w:id="146"/>
      <w:r>
        <w:rPr>
          <w:kern w:val="0"/>
          <w:sz w:val="24"/>
        </w:rPr>
        <w:t>投资计划，投资人可以定期定额申购基金份额，具体实施方法另行公告。</w:t>
      </w:r>
    </w:p>
    <w:p>
      <w:pPr>
        <w:widowControl/>
        <w:adjustRightInd w:val="0"/>
        <w:snapToGrid w:val="0"/>
        <w:spacing w:line="360" w:lineRule="auto"/>
        <w:ind w:firstLine="480" w:firstLineChars="200"/>
        <w:rPr>
          <w:kern w:val="0"/>
          <w:sz w:val="24"/>
        </w:rPr>
      </w:pPr>
      <w:r>
        <w:rPr>
          <w:rFonts w:hAnsi="宋体"/>
          <w:kern w:val="0"/>
          <w:sz w:val="24"/>
        </w:rPr>
        <w:t>服务联系方式：</w:t>
      </w:r>
    </w:p>
    <w:p>
      <w:pPr>
        <w:widowControl/>
        <w:adjustRightInd w:val="0"/>
        <w:snapToGrid w:val="0"/>
        <w:spacing w:line="360" w:lineRule="auto"/>
        <w:ind w:firstLine="480" w:firstLineChars="200"/>
        <w:rPr>
          <w:kern w:val="0"/>
          <w:sz w:val="24"/>
        </w:rPr>
      </w:pPr>
      <w:r>
        <w:rPr>
          <w:rFonts w:hAnsi="宋体"/>
          <w:kern w:val="0"/>
          <w:sz w:val="24"/>
        </w:rPr>
        <w:t>本基金管理人的互联网地址及电子信箱</w:t>
      </w:r>
    </w:p>
    <w:p>
      <w:pPr>
        <w:widowControl/>
        <w:adjustRightInd w:val="0"/>
        <w:snapToGrid w:val="0"/>
        <w:spacing w:line="360" w:lineRule="auto"/>
        <w:ind w:firstLine="480" w:firstLineChars="200"/>
        <w:rPr>
          <w:kern w:val="0"/>
          <w:sz w:val="24"/>
        </w:rPr>
      </w:pPr>
      <w:r>
        <w:rPr>
          <w:rFonts w:hAnsi="宋体"/>
          <w:kern w:val="0"/>
          <w:sz w:val="24"/>
        </w:rPr>
        <w:t>网址：</w:t>
      </w:r>
      <w:r>
        <w:fldChar w:fldCharType="begin"/>
      </w:r>
      <w:r>
        <w:instrText xml:space="preserve"> HYPERLINK "http://www.jysld.com或www.bocomschroder.com" </w:instrText>
      </w:r>
      <w:r>
        <w:fldChar w:fldCharType="separate"/>
      </w:r>
      <w:r>
        <w:rPr>
          <w:sz w:val="24"/>
        </w:rPr>
        <w:t>www.fund001.com</w:t>
      </w:r>
      <w:r>
        <w:rPr>
          <w:sz w:val="24"/>
        </w:rPr>
        <w:fldChar w:fldCharType="end"/>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电子信箱：</w:t>
      </w:r>
      <w:r>
        <w:rPr>
          <w:sz w:val="24"/>
        </w:rPr>
        <w:t>services@jysld.com</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投资者也可登录本基金管理人网站，直接提出有关本基金的问题和建议。</w:t>
      </w:r>
    </w:p>
    <w:p>
      <w:pPr>
        <w:widowControl/>
        <w:adjustRightInd w:val="0"/>
        <w:snapToGrid w:val="0"/>
        <w:spacing w:line="360" w:lineRule="auto"/>
        <w:ind w:firstLine="482" w:firstLineChars="200"/>
        <w:rPr>
          <w:rFonts w:ascii="宋体" w:hAnsi="宋体"/>
          <w:b/>
          <w:kern w:val="0"/>
          <w:sz w:val="24"/>
        </w:rPr>
      </w:pPr>
      <w:r>
        <w:rPr>
          <w:rFonts w:hint="eastAsia" w:hAnsi="宋体"/>
          <w:b/>
          <w:kern w:val="0"/>
          <w:sz w:val="24"/>
        </w:rPr>
        <w:t>（六）如本招募说明书存在任何您</w:t>
      </w:r>
      <w:r>
        <w:rPr>
          <w:rFonts w:hAnsi="宋体"/>
          <w:b/>
          <w:kern w:val="0"/>
          <w:sz w:val="24"/>
        </w:rPr>
        <w:t>/</w:t>
      </w:r>
      <w:r>
        <w:rPr>
          <w:rFonts w:hint="eastAsia" w:hAnsi="宋体"/>
          <w:b/>
          <w:kern w:val="0"/>
          <w:sz w:val="24"/>
        </w:rPr>
        <w:t>贵机构无法理解的内容，请通过上述方式联系基金管理人。请确保投资前，您</w:t>
      </w:r>
      <w:r>
        <w:rPr>
          <w:rFonts w:hAnsi="宋体"/>
          <w:b/>
          <w:kern w:val="0"/>
          <w:sz w:val="24"/>
        </w:rPr>
        <w:t>/</w:t>
      </w:r>
      <w:r>
        <w:rPr>
          <w:rFonts w:hint="eastAsia" w:hAnsi="宋体"/>
          <w:b/>
          <w:kern w:val="0"/>
          <w:sz w:val="24"/>
        </w:rPr>
        <w:t>贵机构已经全面理解了本招募说明书。</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47" w:name="_Toc4430"/>
      <w:bookmarkStart w:id="148" w:name="_Toc25421"/>
      <w:bookmarkStart w:id="149" w:name="_Toc30486"/>
      <w:bookmarkStart w:id="150" w:name="_Toc48122023"/>
      <w:r>
        <w:rPr>
          <w:rFonts w:hint="eastAsia" w:ascii="宋体" w:hAnsi="宋体"/>
          <w:b/>
          <w:kern w:val="0"/>
          <w:sz w:val="30"/>
        </w:rPr>
        <w:t>二十</w:t>
      </w:r>
      <w:r>
        <w:rPr>
          <w:rFonts w:hint="default" w:ascii="宋体" w:hAnsi="宋体"/>
          <w:b/>
          <w:kern w:val="0"/>
          <w:sz w:val="30"/>
          <w:lang w:val="en-US"/>
        </w:rPr>
        <w:t>三</w:t>
      </w:r>
      <w:r>
        <w:rPr>
          <w:rFonts w:hint="eastAsia" w:ascii="宋体" w:hAnsi="宋体"/>
          <w:b/>
          <w:kern w:val="0"/>
          <w:sz w:val="30"/>
        </w:rPr>
        <w:t>、其他应披露事项</w:t>
      </w:r>
      <w:bookmarkEnd w:id="147"/>
      <w:bookmarkEnd w:id="148"/>
      <w:bookmarkEnd w:id="149"/>
      <w:bookmarkEnd w:id="150"/>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基金合同如有未尽事宜，由基金合同当事人各方按有关法律法规协商解决。</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51" w:name="_Toc10505"/>
      <w:bookmarkStart w:id="152" w:name="_Toc30756"/>
      <w:bookmarkStart w:id="153" w:name="_Toc20349"/>
      <w:bookmarkStart w:id="154" w:name="_Toc48122024"/>
      <w:r>
        <w:rPr>
          <w:rFonts w:hint="eastAsia" w:ascii="宋体" w:hAnsi="宋体"/>
          <w:b/>
          <w:kern w:val="0"/>
          <w:sz w:val="30"/>
        </w:rPr>
        <w:t>二十</w:t>
      </w:r>
      <w:r>
        <w:rPr>
          <w:rFonts w:hint="eastAsia" w:ascii="宋体" w:hAnsi="宋体"/>
          <w:b/>
          <w:kern w:val="0"/>
          <w:sz w:val="30"/>
          <w:lang w:val="en-US" w:eastAsia="zh-CN"/>
        </w:rPr>
        <w:t>四</w:t>
      </w:r>
      <w:r>
        <w:rPr>
          <w:rFonts w:hint="eastAsia" w:ascii="宋体" w:hAnsi="宋体"/>
          <w:b/>
          <w:kern w:val="0"/>
          <w:sz w:val="30"/>
        </w:rPr>
        <w:t>、招募说明书的存放及查阅方式</w:t>
      </w:r>
      <w:bookmarkEnd w:id="151"/>
      <w:bookmarkEnd w:id="152"/>
      <w:bookmarkEnd w:id="153"/>
      <w:bookmarkEnd w:id="154"/>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hint="eastAsia" w:ascii="宋体" w:hAnsi="宋体"/>
          <w:kern w:val="0"/>
          <w:sz w:val="24"/>
        </w:rPr>
        <w:t>办公</w:t>
      </w:r>
      <w:r>
        <w:rPr>
          <w:rFonts w:ascii="宋体" w:hAnsi="宋体"/>
          <w:kern w:val="0"/>
          <w:sz w:val="24"/>
        </w:rPr>
        <w:t>场所，投资人可在办公时间查阅；投资人在支付工本费后，可在合理时</w:t>
      </w:r>
      <w:bookmarkStart w:id="155" w:name="_Toc109537401"/>
      <w:r>
        <w:rPr>
          <w:rFonts w:ascii="宋体" w:hAnsi="宋体"/>
          <w:kern w:val="0"/>
          <w:sz w:val="24"/>
        </w:rPr>
        <w:t>间内取得上述文件复制件</w:t>
      </w:r>
      <w:bookmarkEnd w:id="155"/>
      <w:r>
        <w:rPr>
          <w:rFonts w:ascii="宋体" w:hAnsi="宋体"/>
          <w:kern w:val="0"/>
          <w:sz w:val="24"/>
        </w:rPr>
        <w:t>或复印件。对投资人按此种方式所获得的文件及其复印件，基金管理人和基金托管人</w:t>
      </w:r>
      <w:bookmarkStart w:id="156" w:name="_Toc109537402"/>
      <w:r>
        <w:rPr>
          <w:rFonts w:ascii="宋体" w:hAnsi="宋体"/>
          <w:kern w:val="0"/>
          <w:sz w:val="24"/>
        </w:rPr>
        <w:t>保证文本的内容与所公告的内容完全一</w:t>
      </w:r>
      <w:bookmarkEnd w:id="156"/>
      <w:r>
        <w:rPr>
          <w:rFonts w:ascii="宋体" w:hAnsi="宋体"/>
          <w:kern w:val="0"/>
          <w:sz w:val="24"/>
        </w:rPr>
        <w:t>致。</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投资人还可以直接登录基金管理人的网站（</w:t>
      </w:r>
      <w:r>
        <w:fldChar w:fldCharType="begin"/>
      </w:r>
      <w:r>
        <w:instrText xml:space="preserve"> HYPERLINK "http://www.fund001.com，www.bocomschroder.com" </w:instrText>
      </w:r>
      <w:r>
        <w:fldChar w:fldCharType="separate"/>
      </w:r>
      <w:r>
        <w:rPr>
          <w:rStyle w:val="31"/>
          <w:color w:val="auto"/>
          <w:sz w:val="24"/>
          <w:u w:val="none"/>
        </w:rPr>
        <w:t>www.fund001.com</w:t>
      </w:r>
      <w:r>
        <w:rPr>
          <w:rStyle w:val="31"/>
          <w:color w:val="auto"/>
          <w:sz w:val="24"/>
          <w:u w:val="none"/>
        </w:rPr>
        <w:fldChar w:fldCharType="end"/>
      </w:r>
      <w:r>
        <w:rPr>
          <w:rStyle w:val="31"/>
          <w:color w:val="auto"/>
          <w:u w:val="none"/>
        </w:rPr>
        <w:t>）</w:t>
      </w:r>
      <w:r>
        <w:rPr>
          <w:rFonts w:ascii="宋体" w:hAnsi="宋体"/>
          <w:kern w:val="0"/>
          <w:sz w:val="24"/>
        </w:rPr>
        <w:t>查阅和下载招募说明书。</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57" w:name="_Toc2802"/>
      <w:bookmarkStart w:id="158" w:name="_Toc4965"/>
      <w:bookmarkStart w:id="159" w:name="_Toc48122025"/>
      <w:bookmarkStart w:id="160" w:name="_Toc30538"/>
      <w:r>
        <w:rPr>
          <w:rFonts w:hint="eastAsia" w:ascii="宋体" w:hAnsi="宋体"/>
          <w:b/>
          <w:kern w:val="0"/>
          <w:sz w:val="30"/>
        </w:rPr>
        <w:t>二十</w:t>
      </w:r>
      <w:r>
        <w:rPr>
          <w:rFonts w:hint="eastAsia" w:ascii="宋体" w:hAnsi="宋体"/>
          <w:b/>
          <w:kern w:val="0"/>
          <w:sz w:val="30"/>
          <w:lang w:val="en-US" w:eastAsia="zh-CN"/>
        </w:rPr>
        <w:t>五</w:t>
      </w:r>
      <w:r>
        <w:rPr>
          <w:rFonts w:hint="eastAsia" w:ascii="宋体" w:hAnsi="宋体"/>
          <w:b/>
          <w:kern w:val="0"/>
          <w:sz w:val="30"/>
        </w:rPr>
        <w:t>、备查文件</w:t>
      </w:r>
      <w:bookmarkEnd w:id="157"/>
      <w:bookmarkEnd w:id="158"/>
      <w:bookmarkEnd w:id="159"/>
      <w:bookmarkEnd w:id="160"/>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以下备查文件存放在基金管理人的办公场所，在办公时间可供免费查阅。</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（一）中国证监会</w:t>
      </w:r>
      <w:r>
        <w:rPr>
          <w:rFonts w:hint="eastAsia" w:ascii="宋体" w:hAnsi="宋体"/>
          <w:kern w:val="0"/>
          <w:sz w:val="24"/>
          <w:szCs w:val="24"/>
        </w:rPr>
        <w:t>准予</w:t>
      </w:r>
      <w:r>
        <w:rPr>
          <w:rFonts w:ascii="宋体" w:hAnsi="宋体"/>
          <w:kern w:val="0"/>
          <w:sz w:val="24"/>
        </w:rPr>
        <w:t>交银施罗德</w:t>
      </w:r>
      <w:r>
        <w:rPr>
          <w:rFonts w:hint="eastAsia" w:ascii="宋体" w:hAnsi="宋体"/>
          <w:kern w:val="0"/>
          <w:sz w:val="24"/>
        </w:rPr>
        <w:t>港股消费</w:t>
      </w:r>
      <w:r>
        <w:rPr>
          <w:rFonts w:ascii="宋体" w:hAnsi="宋体"/>
          <w:kern w:val="0"/>
          <w:sz w:val="24"/>
        </w:rPr>
        <w:t>混合型证券投资基金</w:t>
      </w:r>
      <w:r>
        <w:rPr>
          <w:rFonts w:hint="eastAsia" w:ascii="宋体" w:hAnsi="宋体"/>
          <w:kern w:val="0"/>
          <w:sz w:val="24"/>
        </w:rPr>
        <w:t>（QDII）</w:t>
      </w:r>
      <w:r>
        <w:rPr>
          <w:rFonts w:ascii="宋体" w:hAnsi="宋体"/>
          <w:kern w:val="0"/>
          <w:sz w:val="24"/>
        </w:rPr>
        <w:t>募集</w:t>
      </w:r>
      <w:r>
        <w:rPr>
          <w:rFonts w:hint="eastAsia" w:ascii="宋体" w:hAnsi="宋体"/>
          <w:kern w:val="0"/>
          <w:sz w:val="24"/>
          <w:szCs w:val="24"/>
        </w:rPr>
        <w:t>注册</w:t>
      </w:r>
      <w:r>
        <w:rPr>
          <w:rFonts w:ascii="宋体" w:hAnsi="宋体"/>
          <w:kern w:val="0"/>
          <w:sz w:val="24"/>
        </w:rPr>
        <w:t>的文件</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（二）《交银施罗德</w:t>
      </w:r>
      <w:r>
        <w:rPr>
          <w:rFonts w:hint="eastAsia" w:ascii="宋体" w:hAnsi="宋体"/>
          <w:kern w:val="0"/>
          <w:sz w:val="24"/>
        </w:rPr>
        <w:t>港股消费</w:t>
      </w:r>
      <w:r>
        <w:rPr>
          <w:rFonts w:ascii="宋体" w:hAnsi="宋体"/>
          <w:kern w:val="0"/>
          <w:sz w:val="24"/>
        </w:rPr>
        <w:t>混合型证券投资基金</w:t>
      </w:r>
      <w:r>
        <w:rPr>
          <w:rFonts w:hint="eastAsia" w:ascii="宋体" w:hAnsi="宋体"/>
          <w:kern w:val="0"/>
          <w:sz w:val="24"/>
        </w:rPr>
        <w:t>（QDII）</w:t>
      </w:r>
      <w:r>
        <w:rPr>
          <w:rFonts w:ascii="宋体" w:hAnsi="宋体"/>
          <w:kern w:val="0"/>
          <w:sz w:val="24"/>
        </w:rPr>
        <w:t>基金合同》</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三</w:t>
      </w:r>
      <w:r>
        <w:rPr>
          <w:rFonts w:hint="eastAsia" w:ascii="宋体" w:hAnsi="宋体"/>
          <w:kern w:val="0"/>
          <w:sz w:val="24"/>
        </w:rPr>
        <w:t>）</w:t>
      </w:r>
      <w:r>
        <w:rPr>
          <w:rFonts w:ascii="宋体" w:hAnsi="宋体"/>
          <w:kern w:val="0"/>
          <w:sz w:val="24"/>
        </w:rPr>
        <w:t>《交银施罗德</w:t>
      </w:r>
      <w:r>
        <w:rPr>
          <w:rFonts w:hint="eastAsia" w:ascii="宋体" w:hAnsi="宋体"/>
          <w:kern w:val="0"/>
          <w:sz w:val="24"/>
        </w:rPr>
        <w:t>港股消费</w:t>
      </w:r>
      <w:r>
        <w:rPr>
          <w:rFonts w:ascii="宋体" w:hAnsi="宋体"/>
          <w:kern w:val="0"/>
          <w:sz w:val="24"/>
        </w:rPr>
        <w:t>混合型证券投资基金</w:t>
      </w:r>
      <w:r>
        <w:rPr>
          <w:rFonts w:hint="eastAsia" w:ascii="宋体" w:hAnsi="宋体"/>
          <w:kern w:val="0"/>
          <w:sz w:val="24"/>
        </w:rPr>
        <w:t>（QDII）</w:t>
      </w:r>
      <w:r>
        <w:rPr>
          <w:rFonts w:ascii="宋体" w:hAnsi="宋体"/>
          <w:kern w:val="0"/>
          <w:sz w:val="24"/>
        </w:rPr>
        <w:t>托管协议》</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（四）</w:t>
      </w:r>
      <w:r>
        <w:rPr>
          <w:rFonts w:ascii="宋体" w:hAnsi="宋体"/>
          <w:kern w:val="0"/>
          <w:sz w:val="24"/>
        </w:rPr>
        <w:t>基金管理人业务资格批件、营业执照</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）基金托管人业务资格批件、营业执照</w:t>
      </w:r>
    </w:p>
    <w:p>
      <w:pPr>
        <w:widowControl/>
        <w:adjustRightInd w:val="0"/>
        <w:snapToGrid w:val="0"/>
        <w:spacing w:line="360" w:lineRule="auto"/>
        <w:ind w:firstLine="480" w:firstLineChars="200"/>
      </w:pPr>
      <w:r>
        <w:rPr>
          <w:rFonts w:ascii="宋体" w:hAnsi="宋体"/>
          <w:kern w:val="0"/>
          <w:sz w:val="24"/>
        </w:rPr>
        <w:t>（</w:t>
      </w:r>
      <w:r>
        <w:rPr>
          <w:rFonts w:hint="eastAsia" w:ascii="宋体" w:hAnsi="宋体"/>
          <w:kern w:val="0"/>
          <w:sz w:val="24"/>
        </w:rPr>
        <w:t>六</w:t>
      </w:r>
      <w:r>
        <w:rPr>
          <w:rFonts w:ascii="宋体" w:hAnsi="宋体"/>
          <w:kern w:val="0"/>
          <w:sz w:val="24"/>
        </w:rPr>
        <w:t>）关于</w:t>
      </w:r>
      <w:r>
        <w:rPr>
          <w:rFonts w:hint="eastAsia" w:ascii="宋体" w:hAnsi="宋体"/>
          <w:kern w:val="0"/>
          <w:sz w:val="24"/>
        </w:rPr>
        <w:t>申请</w:t>
      </w:r>
      <w:r>
        <w:rPr>
          <w:rFonts w:ascii="宋体" w:hAnsi="宋体"/>
          <w:kern w:val="0"/>
          <w:sz w:val="24"/>
        </w:rPr>
        <w:t>募集</w:t>
      </w:r>
      <w:r>
        <w:rPr>
          <w:rFonts w:hint="eastAsia" w:ascii="宋体" w:hAnsi="宋体"/>
          <w:kern w:val="0"/>
          <w:sz w:val="24"/>
          <w:szCs w:val="24"/>
        </w:rPr>
        <w:t>注册</w:t>
      </w:r>
      <w:r>
        <w:rPr>
          <w:rFonts w:ascii="宋体" w:hAnsi="宋体"/>
          <w:kern w:val="0"/>
          <w:sz w:val="24"/>
        </w:rPr>
        <w:t>交银施罗德</w:t>
      </w:r>
      <w:r>
        <w:rPr>
          <w:rFonts w:hint="eastAsia" w:ascii="宋体" w:hAnsi="宋体"/>
          <w:kern w:val="0"/>
          <w:sz w:val="24"/>
        </w:rPr>
        <w:t>港股消费</w:t>
      </w:r>
      <w:r>
        <w:rPr>
          <w:rFonts w:ascii="宋体" w:hAnsi="宋体"/>
          <w:kern w:val="0"/>
          <w:sz w:val="24"/>
        </w:rPr>
        <w:t>混合型证券投资基金</w:t>
      </w:r>
      <w:r>
        <w:rPr>
          <w:rFonts w:hint="eastAsia" w:ascii="宋体" w:hAnsi="宋体"/>
          <w:kern w:val="0"/>
          <w:sz w:val="24"/>
        </w:rPr>
        <w:t>（QDII）的</w:t>
      </w:r>
      <w:r>
        <w:rPr>
          <w:rFonts w:ascii="宋体" w:hAnsi="宋体"/>
          <w:kern w:val="0"/>
          <w:sz w:val="24"/>
        </w:rPr>
        <w:t>法律意见书</w:t>
      </w:r>
    </w:p>
    <w:sectPr>
      <w:headerReference r:id="rId3" w:type="default"/>
      <w:footerReference r:id="rId4" w:type="default"/>
      <w:pgSz w:w="12240" w:h="15840"/>
      <w:pgMar w:top="1440" w:right="1800" w:bottom="1440" w:left="1800" w:header="720" w:footer="72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00" w:usb3="00000000" w:csb0="003E0000" w:csb1="00000000"/>
  </w:font>
  <w:font w:name="五">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t>113</w: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rPr>
      <w:t>交银施罗德港股消费混合型证券投资基金（QDII）招募说明书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00886"/>
    <w:multiLevelType w:val="multilevel"/>
    <w:tmpl w:val="B9D00886"/>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2D5D"/>
    <w:rsid w:val="000036ED"/>
    <w:rsid w:val="00004BC7"/>
    <w:rsid w:val="00004F21"/>
    <w:rsid w:val="00006546"/>
    <w:rsid w:val="000073BB"/>
    <w:rsid w:val="000077E2"/>
    <w:rsid w:val="00007B19"/>
    <w:rsid w:val="00012036"/>
    <w:rsid w:val="00013380"/>
    <w:rsid w:val="00013CF1"/>
    <w:rsid w:val="00014138"/>
    <w:rsid w:val="000141E9"/>
    <w:rsid w:val="000142D4"/>
    <w:rsid w:val="000142FC"/>
    <w:rsid w:val="00014A8B"/>
    <w:rsid w:val="00015379"/>
    <w:rsid w:val="00015550"/>
    <w:rsid w:val="00015DB8"/>
    <w:rsid w:val="00016BA8"/>
    <w:rsid w:val="00021295"/>
    <w:rsid w:val="0002132B"/>
    <w:rsid w:val="00021950"/>
    <w:rsid w:val="00022409"/>
    <w:rsid w:val="00023E32"/>
    <w:rsid w:val="00023E75"/>
    <w:rsid w:val="000248AB"/>
    <w:rsid w:val="00025D7E"/>
    <w:rsid w:val="00026566"/>
    <w:rsid w:val="0003244B"/>
    <w:rsid w:val="00032B65"/>
    <w:rsid w:val="00032ED5"/>
    <w:rsid w:val="00033D71"/>
    <w:rsid w:val="00034F61"/>
    <w:rsid w:val="0003520D"/>
    <w:rsid w:val="00035769"/>
    <w:rsid w:val="0003639E"/>
    <w:rsid w:val="00037275"/>
    <w:rsid w:val="000376EB"/>
    <w:rsid w:val="00041E92"/>
    <w:rsid w:val="000437B3"/>
    <w:rsid w:val="00043A36"/>
    <w:rsid w:val="00044509"/>
    <w:rsid w:val="0004506F"/>
    <w:rsid w:val="00045328"/>
    <w:rsid w:val="000461B1"/>
    <w:rsid w:val="000467E8"/>
    <w:rsid w:val="000469CF"/>
    <w:rsid w:val="00047E47"/>
    <w:rsid w:val="00050316"/>
    <w:rsid w:val="000507CD"/>
    <w:rsid w:val="00051A7C"/>
    <w:rsid w:val="00051C43"/>
    <w:rsid w:val="0005284A"/>
    <w:rsid w:val="00052F81"/>
    <w:rsid w:val="000531A3"/>
    <w:rsid w:val="00053490"/>
    <w:rsid w:val="00054043"/>
    <w:rsid w:val="00055357"/>
    <w:rsid w:val="000563F7"/>
    <w:rsid w:val="00056533"/>
    <w:rsid w:val="0005668A"/>
    <w:rsid w:val="00057796"/>
    <w:rsid w:val="00061974"/>
    <w:rsid w:val="00061F72"/>
    <w:rsid w:val="00062891"/>
    <w:rsid w:val="000635F3"/>
    <w:rsid w:val="000647FF"/>
    <w:rsid w:val="00065B95"/>
    <w:rsid w:val="000663E4"/>
    <w:rsid w:val="0006649F"/>
    <w:rsid w:val="00066B5D"/>
    <w:rsid w:val="0006727E"/>
    <w:rsid w:val="0006731B"/>
    <w:rsid w:val="00067AC9"/>
    <w:rsid w:val="00070905"/>
    <w:rsid w:val="0007099B"/>
    <w:rsid w:val="00070FCE"/>
    <w:rsid w:val="00071F2F"/>
    <w:rsid w:val="00072162"/>
    <w:rsid w:val="0007227C"/>
    <w:rsid w:val="00072525"/>
    <w:rsid w:val="00073820"/>
    <w:rsid w:val="00073EE0"/>
    <w:rsid w:val="0007459F"/>
    <w:rsid w:val="000746DA"/>
    <w:rsid w:val="00074E2E"/>
    <w:rsid w:val="00075DD9"/>
    <w:rsid w:val="000766E4"/>
    <w:rsid w:val="000770EA"/>
    <w:rsid w:val="00080148"/>
    <w:rsid w:val="0008018D"/>
    <w:rsid w:val="000808ED"/>
    <w:rsid w:val="000816D0"/>
    <w:rsid w:val="00081717"/>
    <w:rsid w:val="00081904"/>
    <w:rsid w:val="000825D3"/>
    <w:rsid w:val="00082AB1"/>
    <w:rsid w:val="00082BA8"/>
    <w:rsid w:val="00084506"/>
    <w:rsid w:val="00084CED"/>
    <w:rsid w:val="0008593A"/>
    <w:rsid w:val="000865B5"/>
    <w:rsid w:val="000866EF"/>
    <w:rsid w:val="00087169"/>
    <w:rsid w:val="000915E8"/>
    <w:rsid w:val="00091D59"/>
    <w:rsid w:val="0009203D"/>
    <w:rsid w:val="000925B0"/>
    <w:rsid w:val="00092E94"/>
    <w:rsid w:val="00092EBF"/>
    <w:rsid w:val="00093020"/>
    <w:rsid w:val="00093761"/>
    <w:rsid w:val="00094D28"/>
    <w:rsid w:val="000951DC"/>
    <w:rsid w:val="000957B2"/>
    <w:rsid w:val="00095A8B"/>
    <w:rsid w:val="00096172"/>
    <w:rsid w:val="00096665"/>
    <w:rsid w:val="000967C1"/>
    <w:rsid w:val="0009775F"/>
    <w:rsid w:val="00097984"/>
    <w:rsid w:val="000A0CF9"/>
    <w:rsid w:val="000A1DC7"/>
    <w:rsid w:val="000A21D3"/>
    <w:rsid w:val="000A2FD3"/>
    <w:rsid w:val="000A3044"/>
    <w:rsid w:val="000A325D"/>
    <w:rsid w:val="000A365C"/>
    <w:rsid w:val="000A36E6"/>
    <w:rsid w:val="000A3CA6"/>
    <w:rsid w:val="000A3FB4"/>
    <w:rsid w:val="000A553E"/>
    <w:rsid w:val="000A775B"/>
    <w:rsid w:val="000B07CA"/>
    <w:rsid w:val="000B086A"/>
    <w:rsid w:val="000B1A18"/>
    <w:rsid w:val="000B26A8"/>
    <w:rsid w:val="000B3D39"/>
    <w:rsid w:val="000B488D"/>
    <w:rsid w:val="000B4C2D"/>
    <w:rsid w:val="000B4FB6"/>
    <w:rsid w:val="000B6967"/>
    <w:rsid w:val="000B6D1B"/>
    <w:rsid w:val="000B78FB"/>
    <w:rsid w:val="000C0148"/>
    <w:rsid w:val="000C1A8D"/>
    <w:rsid w:val="000C2295"/>
    <w:rsid w:val="000C2DD2"/>
    <w:rsid w:val="000C2E07"/>
    <w:rsid w:val="000C4E01"/>
    <w:rsid w:val="000C650A"/>
    <w:rsid w:val="000C7711"/>
    <w:rsid w:val="000C7F7F"/>
    <w:rsid w:val="000D0D52"/>
    <w:rsid w:val="000D0ED3"/>
    <w:rsid w:val="000D1375"/>
    <w:rsid w:val="000D37C6"/>
    <w:rsid w:val="000D3A89"/>
    <w:rsid w:val="000D3D9F"/>
    <w:rsid w:val="000D49D5"/>
    <w:rsid w:val="000D52A6"/>
    <w:rsid w:val="000D5329"/>
    <w:rsid w:val="000D5EB3"/>
    <w:rsid w:val="000D6B73"/>
    <w:rsid w:val="000D76D1"/>
    <w:rsid w:val="000E03C3"/>
    <w:rsid w:val="000E1BE0"/>
    <w:rsid w:val="000E32F8"/>
    <w:rsid w:val="000E3675"/>
    <w:rsid w:val="000E3794"/>
    <w:rsid w:val="000E3A6B"/>
    <w:rsid w:val="000E3F89"/>
    <w:rsid w:val="000E4049"/>
    <w:rsid w:val="000E4073"/>
    <w:rsid w:val="000E410D"/>
    <w:rsid w:val="000E456C"/>
    <w:rsid w:val="000E53EB"/>
    <w:rsid w:val="000E566B"/>
    <w:rsid w:val="000E57A1"/>
    <w:rsid w:val="000F1899"/>
    <w:rsid w:val="000F2783"/>
    <w:rsid w:val="000F5072"/>
    <w:rsid w:val="000F525A"/>
    <w:rsid w:val="000F5363"/>
    <w:rsid w:val="000F603F"/>
    <w:rsid w:val="000F6855"/>
    <w:rsid w:val="000F7635"/>
    <w:rsid w:val="00100052"/>
    <w:rsid w:val="001005E7"/>
    <w:rsid w:val="0010062F"/>
    <w:rsid w:val="00100DB6"/>
    <w:rsid w:val="00100FB6"/>
    <w:rsid w:val="00101BCD"/>
    <w:rsid w:val="00101D6B"/>
    <w:rsid w:val="00101DDD"/>
    <w:rsid w:val="00102F17"/>
    <w:rsid w:val="001032A4"/>
    <w:rsid w:val="0010389E"/>
    <w:rsid w:val="00103B2F"/>
    <w:rsid w:val="00104092"/>
    <w:rsid w:val="00105E2F"/>
    <w:rsid w:val="00106936"/>
    <w:rsid w:val="00106E70"/>
    <w:rsid w:val="00107C20"/>
    <w:rsid w:val="00107D4B"/>
    <w:rsid w:val="00107D54"/>
    <w:rsid w:val="00107EED"/>
    <w:rsid w:val="001110CF"/>
    <w:rsid w:val="00111562"/>
    <w:rsid w:val="00111801"/>
    <w:rsid w:val="0011248F"/>
    <w:rsid w:val="00112984"/>
    <w:rsid w:val="0011591F"/>
    <w:rsid w:val="0011593B"/>
    <w:rsid w:val="00115C4B"/>
    <w:rsid w:val="00115DD2"/>
    <w:rsid w:val="001166C2"/>
    <w:rsid w:val="00116B1B"/>
    <w:rsid w:val="00117D50"/>
    <w:rsid w:val="00120A92"/>
    <w:rsid w:val="001211C6"/>
    <w:rsid w:val="001214B9"/>
    <w:rsid w:val="00122CF1"/>
    <w:rsid w:val="00122E51"/>
    <w:rsid w:val="00122FD4"/>
    <w:rsid w:val="001242AF"/>
    <w:rsid w:val="0012435E"/>
    <w:rsid w:val="00124732"/>
    <w:rsid w:val="0012504C"/>
    <w:rsid w:val="00125194"/>
    <w:rsid w:val="00125F07"/>
    <w:rsid w:val="001266C3"/>
    <w:rsid w:val="0012671A"/>
    <w:rsid w:val="00126BA9"/>
    <w:rsid w:val="00132012"/>
    <w:rsid w:val="001325E6"/>
    <w:rsid w:val="00132970"/>
    <w:rsid w:val="00132E73"/>
    <w:rsid w:val="001336A1"/>
    <w:rsid w:val="00134304"/>
    <w:rsid w:val="001347F3"/>
    <w:rsid w:val="00135C0D"/>
    <w:rsid w:val="00136501"/>
    <w:rsid w:val="00136C37"/>
    <w:rsid w:val="00140449"/>
    <w:rsid w:val="00140C46"/>
    <w:rsid w:val="001411CF"/>
    <w:rsid w:val="00141A31"/>
    <w:rsid w:val="00141A52"/>
    <w:rsid w:val="001448F2"/>
    <w:rsid w:val="00145F60"/>
    <w:rsid w:val="001467EE"/>
    <w:rsid w:val="00146C8F"/>
    <w:rsid w:val="0014735A"/>
    <w:rsid w:val="001473F8"/>
    <w:rsid w:val="001479F5"/>
    <w:rsid w:val="0015001D"/>
    <w:rsid w:val="001504A3"/>
    <w:rsid w:val="0015091E"/>
    <w:rsid w:val="00150999"/>
    <w:rsid w:val="00150B74"/>
    <w:rsid w:val="00151D76"/>
    <w:rsid w:val="00151FEC"/>
    <w:rsid w:val="00153CA3"/>
    <w:rsid w:val="00154147"/>
    <w:rsid w:val="0015477B"/>
    <w:rsid w:val="001551F2"/>
    <w:rsid w:val="00155489"/>
    <w:rsid w:val="0015580D"/>
    <w:rsid w:val="0015580E"/>
    <w:rsid w:val="00155C90"/>
    <w:rsid w:val="00155C9F"/>
    <w:rsid w:val="00156CDE"/>
    <w:rsid w:val="001577C7"/>
    <w:rsid w:val="00157AAF"/>
    <w:rsid w:val="00157B17"/>
    <w:rsid w:val="00160163"/>
    <w:rsid w:val="001623B0"/>
    <w:rsid w:val="001629C9"/>
    <w:rsid w:val="001629DE"/>
    <w:rsid w:val="001648AA"/>
    <w:rsid w:val="001651A4"/>
    <w:rsid w:val="00165F32"/>
    <w:rsid w:val="00166E4B"/>
    <w:rsid w:val="00166E76"/>
    <w:rsid w:val="00167015"/>
    <w:rsid w:val="001670ED"/>
    <w:rsid w:val="0017072D"/>
    <w:rsid w:val="001723A3"/>
    <w:rsid w:val="00172632"/>
    <w:rsid w:val="00172A27"/>
    <w:rsid w:val="00172E25"/>
    <w:rsid w:val="00172E34"/>
    <w:rsid w:val="00172FA0"/>
    <w:rsid w:val="001732A9"/>
    <w:rsid w:val="001735DD"/>
    <w:rsid w:val="00174853"/>
    <w:rsid w:val="00175439"/>
    <w:rsid w:val="00175E1A"/>
    <w:rsid w:val="001760E1"/>
    <w:rsid w:val="00176574"/>
    <w:rsid w:val="00176E7D"/>
    <w:rsid w:val="001773F2"/>
    <w:rsid w:val="0018056C"/>
    <w:rsid w:val="00181528"/>
    <w:rsid w:val="00182281"/>
    <w:rsid w:val="001829F1"/>
    <w:rsid w:val="00184093"/>
    <w:rsid w:val="00184B24"/>
    <w:rsid w:val="00184DB7"/>
    <w:rsid w:val="001854DC"/>
    <w:rsid w:val="00185FFD"/>
    <w:rsid w:val="00186102"/>
    <w:rsid w:val="00186FD4"/>
    <w:rsid w:val="00190429"/>
    <w:rsid w:val="001907EB"/>
    <w:rsid w:val="0019090C"/>
    <w:rsid w:val="00190E90"/>
    <w:rsid w:val="00191CCD"/>
    <w:rsid w:val="0019213F"/>
    <w:rsid w:val="001923D6"/>
    <w:rsid w:val="00193A52"/>
    <w:rsid w:val="001940CA"/>
    <w:rsid w:val="0019505F"/>
    <w:rsid w:val="00195AEF"/>
    <w:rsid w:val="001961EE"/>
    <w:rsid w:val="0019658D"/>
    <w:rsid w:val="0019719A"/>
    <w:rsid w:val="001978C7"/>
    <w:rsid w:val="001A1652"/>
    <w:rsid w:val="001A191E"/>
    <w:rsid w:val="001A2DD1"/>
    <w:rsid w:val="001A3878"/>
    <w:rsid w:val="001A39CE"/>
    <w:rsid w:val="001A401D"/>
    <w:rsid w:val="001A49AE"/>
    <w:rsid w:val="001A57CF"/>
    <w:rsid w:val="001A58FE"/>
    <w:rsid w:val="001A63B8"/>
    <w:rsid w:val="001A6AA7"/>
    <w:rsid w:val="001A7FCD"/>
    <w:rsid w:val="001B0D8E"/>
    <w:rsid w:val="001B2567"/>
    <w:rsid w:val="001B30C8"/>
    <w:rsid w:val="001B33A8"/>
    <w:rsid w:val="001B4357"/>
    <w:rsid w:val="001B468A"/>
    <w:rsid w:val="001B46A1"/>
    <w:rsid w:val="001B480D"/>
    <w:rsid w:val="001B5677"/>
    <w:rsid w:val="001B5948"/>
    <w:rsid w:val="001B63A2"/>
    <w:rsid w:val="001B65BB"/>
    <w:rsid w:val="001B7CA2"/>
    <w:rsid w:val="001C3484"/>
    <w:rsid w:val="001C3695"/>
    <w:rsid w:val="001C3EAB"/>
    <w:rsid w:val="001C5648"/>
    <w:rsid w:val="001C5BF4"/>
    <w:rsid w:val="001C5EC3"/>
    <w:rsid w:val="001C651B"/>
    <w:rsid w:val="001C735A"/>
    <w:rsid w:val="001D06DB"/>
    <w:rsid w:val="001D0792"/>
    <w:rsid w:val="001D0A65"/>
    <w:rsid w:val="001D125E"/>
    <w:rsid w:val="001D187F"/>
    <w:rsid w:val="001D23C8"/>
    <w:rsid w:val="001D3529"/>
    <w:rsid w:val="001D39C0"/>
    <w:rsid w:val="001D498F"/>
    <w:rsid w:val="001D49D6"/>
    <w:rsid w:val="001D55B4"/>
    <w:rsid w:val="001D5F76"/>
    <w:rsid w:val="001D6690"/>
    <w:rsid w:val="001D6A3A"/>
    <w:rsid w:val="001D6A52"/>
    <w:rsid w:val="001D7E20"/>
    <w:rsid w:val="001D7E88"/>
    <w:rsid w:val="001E073C"/>
    <w:rsid w:val="001E1159"/>
    <w:rsid w:val="001E3944"/>
    <w:rsid w:val="001E3FDB"/>
    <w:rsid w:val="001E4091"/>
    <w:rsid w:val="001E4801"/>
    <w:rsid w:val="001F103E"/>
    <w:rsid w:val="001F1BCF"/>
    <w:rsid w:val="001F267C"/>
    <w:rsid w:val="001F2812"/>
    <w:rsid w:val="001F28DB"/>
    <w:rsid w:val="001F3D5E"/>
    <w:rsid w:val="001F4DF7"/>
    <w:rsid w:val="001F4EDB"/>
    <w:rsid w:val="001F52BC"/>
    <w:rsid w:val="001F6638"/>
    <w:rsid w:val="001F6E63"/>
    <w:rsid w:val="00200729"/>
    <w:rsid w:val="0020102F"/>
    <w:rsid w:val="00201A69"/>
    <w:rsid w:val="00201F37"/>
    <w:rsid w:val="002022D7"/>
    <w:rsid w:val="002027A1"/>
    <w:rsid w:val="00202A26"/>
    <w:rsid w:val="0020442C"/>
    <w:rsid w:val="00204B5D"/>
    <w:rsid w:val="002053F4"/>
    <w:rsid w:val="00205728"/>
    <w:rsid w:val="002065B3"/>
    <w:rsid w:val="00206F43"/>
    <w:rsid w:val="00207297"/>
    <w:rsid w:val="00210B24"/>
    <w:rsid w:val="00210B5D"/>
    <w:rsid w:val="002112D0"/>
    <w:rsid w:val="00211327"/>
    <w:rsid w:val="0021175A"/>
    <w:rsid w:val="00211DDD"/>
    <w:rsid w:val="002130F3"/>
    <w:rsid w:val="00213CA7"/>
    <w:rsid w:val="00214573"/>
    <w:rsid w:val="002148CD"/>
    <w:rsid w:val="002159EF"/>
    <w:rsid w:val="002164DD"/>
    <w:rsid w:val="002172D5"/>
    <w:rsid w:val="00217B49"/>
    <w:rsid w:val="00217E1A"/>
    <w:rsid w:val="0022028D"/>
    <w:rsid w:val="00220FBF"/>
    <w:rsid w:val="00221127"/>
    <w:rsid w:val="002213BF"/>
    <w:rsid w:val="00221F92"/>
    <w:rsid w:val="002224EC"/>
    <w:rsid w:val="002229B0"/>
    <w:rsid w:val="00222DC0"/>
    <w:rsid w:val="002233A2"/>
    <w:rsid w:val="00223DD8"/>
    <w:rsid w:val="0022464C"/>
    <w:rsid w:val="00225114"/>
    <w:rsid w:val="0022586B"/>
    <w:rsid w:val="00226E99"/>
    <w:rsid w:val="00227112"/>
    <w:rsid w:val="0022796A"/>
    <w:rsid w:val="002339A6"/>
    <w:rsid w:val="002344C9"/>
    <w:rsid w:val="00234677"/>
    <w:rsid w:val="0023502A"/>
    <w:rsid w:val="00236DFE"/>
    <w:rsid w:val="0023706F"/>
    <w:rsid w:val="0023763D"/>
    <w:rsid w:val="00237DF6"/>
    <w:rsid w:val="00240E2A"/>
    <w:rsid w:val="002413EE"/>
    <w:rsid w:val="00243B84"/>
    <w:rsid w:val="002445B0"/>
    <w:rsid w:val="0024511C"/>
    <w:rsid w:val="002466BD"/>
    <w:rsid w:val="00246BFC"/>
    <w:rsid w:val="00246DC0"/>
    <w:rsid w:val="00246F1D"/>
    <w:rsid w:val="00246FAA"/>
    <w:rsid w:val="00247917"/>
    <w:rsid w:val="00247E3B"/>
    <w:rsid w:val="00250E84"/>
    <w:rsid w:val="00251677"/>
    <w:rsid w:val="002519BA"/>
    <w:rsid w:val="0025234F"/>
    <w:rsid w:val="00253250"/>
    <w:rsid w:val="0025340B"/>
    <w:rsid w:val="002535F7"/>
    <w:rsid w:val="00253CD8"/>
    <w:rsid w:val="002553F3"/>
    <w:rsid w:val="00256021"/>
    <w:rsid w:val="002564B8"/>
    <w:rsid w:val="00256ACE"/>
    <w:rsid w:val="0025795A"/>
    <w:rsid w:val="00261278"/>
    <w:rsid w:val="0026254E"/>
    <w:rsid w:val="002635EC"/>
    <w:rsid w:val="00264191"/>
    <w:rsid w:val="00264AD1"/>
    <w:rsid w:val="00265A1F"/>
    <w:rsid w:val="00265FD2"/>
    <w:rsid w:val="002661A3"/>
    <w:rsid w:val="00266ACE"/>
    <w:rsid w:val="00266B21"/>
    <w:rsid w:val="00272220"/>
    <w:rsid w:val="002724C0"/>
    <w:rsid w:val="00272795"/>
    <w:rsid w:val="00273181"/>
    <w:rsid w:val="00274DB0"/>
    <w:rsid w:val="002802E4"/>
    <w:rsid w:val="002806FD"/>
    <w:rsid w:val="00281F8E"/>
    <w:rsid w:val="00282F4D"/>
    <w:rsid w:val="00283237"/>
    <w:rsid w:val="002860B5"/>
    <w:rsid w:val="002869FF"/>
    <w:rsid w:val="00287E74"/>
    <w:rsid w:val="00290B48"/>
    <w:rsid w:val="002920F3"/>
    <w:rsid w:val="00292156"/>
    <w:rsid w:val="0029355B"/>
    <w:rsid w:val="00293BC8"/>
    <w:rsid w:val="00296193"/>
    <w:rsid w:val="0029691D"/>
    <w:rsid w:val="002979EB"/>
    <w:rsid w:val="002A1944"/>
    <w:rsid w:val="002A25B1"/>
    <w:rsid w:val="002A2657"/>
    <w:rsid w:val="002A30AC"/>
    <w:rsid w:val="002A4A10"/>
    <w:rsid w:val="002A4E3E"/>
    <w:rsid w:val="002A5387"/>
    <w:rsid w:val="002A6364"/>
    <w:rsid w:val="002A6B5C"/>
    <w:rsid w:val="002B02A1"/>
    <w:rsid w:val="002B0DD7"/>
    <w:rsid w:val="002B0F37"/>
    <w:rsid w:val="002B180D"/>
    <w:rsid w:val="002B2AC2"/>
    <w:rsid w:val="002B2F63"/>
    <w:rsid w:val="002B37CD"/>
    <w:rsid w:val="002B537B"/>
    <w:rsid w:val="002B7181"/>
    <w:rsid w:val="002B74A2"/>
    <w:rsid w:val="002B78F9"/>
    <w:rsid w:val="002C01CE"/>
    <w:rsid w:val="002C08AA"/>
    <w:rsid w:val="002C0BB9"/>
    <w:rsid w:val="002C269B"/>
    <w:rsid w:val="002C4278"/>
    <w:rsid w:val="002C6411"/>
    <w:rsid w:val="002C77BA"/>
    <w:rsid w:val="002C7A89"/>
    <w:rsid w:val="002D0773"/>
    <w:rsid w:val="002D17E5"/>
    <w:rsid w:val="002D193A"/>
    <w:rsid w:val="002D19CB"/>
    <w:rsid w:val="002D1D28"/>
    <w:rsid w:val="002D2527"/>
    <w:rsid w:val="002D355B"/>
    <w:rsid w:val="002D4CAA"/>
    <w:rsid w:val="002D53B5"/>
    <w:rsid w:val="002D541C"/>
    <w:rsid w:val="002D55B3"/>
    <w:rsid w:val="002D5E5D"/>
    <w:rsid w:val="002D781E"/>
    <w:rsid w:val="002E0AE6"/>
    <w:rsid w:val="002E1513"/>
    <w:rsid w:val="002E1AC9"/>
    <w:rsid w:val="002E2738"/>
    <w:rsid w:val="002E4942"/>
    <w:rsid w:val="002E4A43"/>
    <w:rsid w:val="002E50C1"/>
    <w:rsid w:val="002E609E"/>
    <w:rsid w:val="002E72C3"/>
    <w:rsid w:val="002E7F7C"/>
    <w:rsid w:val="002F0BA6"/>
    <w:rsid w:val="002F12C9"/>
    <w:rsid w:val="002F3CDD"/>
    <w:rsid w:val="002F3D6F"/>
    <w:rsid w:val="002F3DC0"/>
    <w:rsid w:val="002F5679"/>
    <w:rsid w:val="002F579F"/>
    <w:rsid w:val="002F5CD3"/>
    <w:rsid w:val="002F60EF"/>
    <w:rsid w:val="0030037A"/>
    <w:rsid w:val="00301328"/>
    <w:rsid w:val="00302ABF"/>
    <w:rsid w:val="00302D39"/>
    <w:rsid w:val="00302EB3"/>
    <w:rsid w:val="00304168"/>
    <w:rsid w:val="00304456"/>
    <w:rsid w:val="00306876"/>
    <w:rsid w:val="00310001"/>
    <w:rsid w:val="00310863"/>
    <w:rsid w:val="00310C7F"/>
    <w:rsid w:val="003117F5"/>
    <w:rsid w:val="003122E8"/>
    <w:rsid w:val="003122FA"/>
    <w:rsid w:val="00312A59"/>
    <w:rsid w:val="00312D62"/>
    <w:rsid w:val="003143D5"/>
    <w:rsid w:val="0031526E"/>
    <w:rsid w:val="00316510"/>
    <w:rsid w:val="003166AE"/>
    <w:rsid w:val="00316DA0"/>
    <w:rsid w:val="00316FC1"/>
    <w:rsid w:val="003175AB"/>
    <w:rsid w:val="00320B50"/>
    <w:rsid w:val="003210C9"/>
    <w:rsid w:val="003221C1"/>
    <w:rsid w:val="003225E0"/>
    <w:rsid w:val="00322B67"/>
    <w:rsid w:val="00322DA4"/>
    <w:rsid w:val="00323072"/>
    <w:rsid w:val="00323779"/>
    <w:rsid w:val="00327520"/>
    <w:rsid w:val="0033022C"/>
    <w:rsid w:val="00330610"/>
    <w:rsid w:val="0033142F"/>
    <w:rsid w:val="003315C6"/>
    <w:rsid w:val="00332FA9"/>
    <w:rsid w:val="0033329C"/>
    <w:rsid w:val="00333470"/>
    <w:rsid w:val="0033396F"/>
    <w:rsid w:val="0033398B"/>
    <w:rsid w:val="00333C94"/>
    <w:rsid w:val="003343B7"/>
    <w:rsid w:val="00334DC0"/>
    <w:rsid w:val="00335497"/>
    <w:rsid w:val="003365C0"/>
    <w:rsid w:val="003403CE"/>
    <w:rsid w:val="00340B73"/>
    <w:rsid w:val="00341663"/>
    <w:rsid w:val="00341688"/>
    <w:rsid w:val="00342792"/>
    <w:rsid w:val="00343650"/>
    <w:rsid w:val="003447A5"/>
    <w:rsid w:val="00344829"/>
    <w:rsid w:val="00344A3B"/>
    <w:rsid w:val="00345DE5"/>
    <w:rsid w:val="00345EBD"/>
    <w:rsid w:val="00347CC6"/>
    <w:rsid w:val="003500D3"/>
    <w:rsid w:val="003517A0"/>
    <w:rsid w:val="00352C90"/>
    <w:rsid w:val="00354040"/>
    <w:rsid w:val="003540D3"/>
    <w:rsid w:val="00354142"/>
    <w:rsid w:val="00354164"/>
    <w:rsid w:val="00354B5F"/>
    <w:rsid w:val="003550FC"/>
    <w:rsid w:val="0035527F"/>
    <w:rsid w:val="00355424"/>
    <w:rsid w:val="00355952"/>
    <w:rsid w:val="00355C70"/>
    <w:rsid w:val="00355F44"/>
    <w:rsid w:val="003560DC"/>
    <w:rsid w:val="003575F1"/>
    <w:rsid w:val="00357DC4"/>
    <w:rsid w:val="00357EBD"/>
    <w:rsid w:val="00360AFF"/>
    <w:rsid w:val="003612DB"/>
    <w:rsid w:val="003613ED"/>
    <w:rsid w:val="00362C07"/>
    <w:rsid w:val="00362F93"/>
    <w:rsid w:val="003634CE"/>
    <w:rsid w:val="00363BA1"/>
    <w:rsid w:val="00364553"/>
    <w:rsid w:val="00365D8B"/>
    <w:rsid w:val="00366575"/>
    <w:rsid w:val="003665B0"/>
    <w:rsid w:val="0036688E"/>
    <w:rsid w:val="00367342"/>
    <w:rsid w:val="003709B2"/>
    <w:rsid w:val="00371594"/>
    <w:rsid w:val="003722A1"/>
    <w:rsid w:val="00372916"/>
    <w:rsid w:val="00372DAB"/>
    <w:rsid w:val="00372E5D"/>
    <w:rsid w:val="00372E9D"/>
    <w:rsid w:val="0037356F"/>
    <w:rsid w:val="003745A7"/>
    <w:rsid w:val="00374ABC"/>
    <w:rsid w:val="003750FA"/>
    <w:rsid w:val="00375104"/>
    <w:rsid w:val="00375A29"/>
    <w:rsid w:val="00375DCF"/>
    <w:rsid w:val="00375ECD"/>
    <w:rsid w:val="0037714B"/>
    <w:rsid w:val="003775BF"/>
    <w:rsid w:val="003803EF"/>
    <w:rsid w:val="003805DF"/>
    <w:rsid w:val="00380AF9"/>
    <w:rsid w:val="00380F4B"/>
    <w:rsid w:val="00381452"/>
    <w:rsid w:val="0038287E"/>
    <w:rsid w:val="00383134"/>
    <w:rsid w:val="00384AEF"/>
    <w:rsid w:val="00384D22"/>
    <w:rsid w:val="00385221"/>
    <w:rsid w:val="003859DF"/>
    <w:rsid w:val="00385C62"/>
    <w:rsid w:val="00385CDC"/>
    <w:rsid w:val="003874B9"/>
    <w:rsid w:val="00387671"/>
    <w:rsid w:val="00387ABE"/>
    <w:rsid w:val="003909E2"/>
    <w:rsid w:val="00391677"/>
    <w:rsid w:val="003921C4"/>
    <w:rsid w:val="00392C8E"/>
    <w:rsid w:val="003931C6"/>
    <w:rsid w:val="00393344"/>
    <w:rsid w:val="003946F2"/>
    <w:rsid w:val="003950D0"/>
    <w:rsid w:val="003956C4"/>
    <w:rsid w:val="003957F2"/>
    <w:rsid w:val="00395800"/>
    <w:rsid w:val="00395B30"/>
    <w:rsid w:val="00395CB2"/>
    <w:rsid w:val="00396121"/>
    <w:rsid w:val="00396296"/>
    <w:rsid w:val="00397050"/>
    <w:rsid w:val="00397941"/>
    <w:rsid w:val="003A13EF"/>
    <w:rsid w:val="003A167C"/>
    <w:rsid w:val="003A189F"/>
    <w:rsid w:val="003A1CC0"/>
    <w:rsid w:val="003A1D49"/>
    <w:rsid w:val="003A2026"/>
    <w:rsid w:val="003A2233"/>
    <w:rsid w:val="003A2955"/>
    <w:rsid w:val="003A2B26"/>
    <w:rsid w:val="003A2B4A"/>
    <w:rsid w:val="003A333A"/>
    <w:rsid w:val="003A36DB"/>
    <w:rsid w:val="003A5CAC"/>
    <w:rsid w:val="003A63FD"/>
    <w:rsid w:val="003A74EE"/>
    <w:rsid w:val="003B0B0C"/>
    <w:rsid w:val="003B28BE"/>
    <w:rsid w:val="003B2C40"/>
    <w:rsid w:val="003B37E7"/>
    <w:rsid w:val="003B4153"/>
    <w:rsid w:val="003B64DF"/>
    <w:rsid w:val="003B66E3"/>
    <w:rsid w:val="003B7286"/>
    <w:rsid w:val="003C048E"/>
    <w:rsid w:val="003C0901"/>
    <w:rsid w:val="003C0ED9"/>
    <w:rsid w:val="003C0F87"/>
    <w:rsid w:val="003C2778"/>
    <w:rsid w:val="003C2AE0"/>
    <w:rsid w:val="003C2DAE"/>
    <w:rsid w:val="003C2E24"/>
    <w:rsid w:val="003C354F"/>
    <w:rsid w:val="003C4D79"/>
    <w:rsid w:val="003C6226"/>
    <w:rsid w:val="003C7623"/>
    <w:rsid w:val="003D0009"/>
    <w:rsid w:val="003D08F8"/>
    <w:rsid w:val="003D0EF7"/>
    <w:rsid w:val="003D1A34"/>
    <w:rsid w:val="003D1D93"/>
    <w:rsid w:val="003D5261"/>
    <w:rsid w:val="003D5457"/>
    <w:rsid w:val="003D54ED"/>
    <w:rsid w:val="003D5728"/>
    <w:rsid w:val="003D5A80"/>
    <w:rsid w:val="003D7221"/>
    <w:rsid w:val="003E03BB"/>
    <w:rsid w:val="003E1676"/>
    <w:rsid w:val="003E1CAC"/>
    <w:rsid w:val="003E2863"/>
    <w:rsid w:val="003E33E0"/>
    <w:rsid w:val="003E44F3"/>
    <w:rsid w:val="003E47F7"/>
    <w:rsid w:val="003E5507"/>
    <w:rsid w:val="003E5FEA"/>
    <w:rsid w:val="003E63B2"/>
    <w:rsid w:val="003E6434"/>
    <w:rsid w:val="003E6C43"/>
    <w:rsid w:val="003F0623"/>
    <w:rsid w:val="003F0BB2"/>
    <w:rsid w:val="003F0BCA"/>
    <w:rsid w:val="003F0EB4"/>
    <w:rsid w:val="003F14E9"/>
    <w:rsid w:val="003F4168"/>
    <w:rsid w:val="003F416E"/>
    <w:rsid w:val="003F5225"/>
    <w:rsid w:val="003F54A3"/>
    <w:rsid w:val="003F6A96"/>
    <w:rsid w:val="003F6DDA"/>
    <w:rsid w:val="003F6DDC"/>
    <w:rsid w:val="003F71DE"/>
    <w:rsid w:val="003F7771"/>
    <w:rsid w:val="003F7C6A"/>
    <w:rsid w:val="0040058D"/>
    <w:rsid w:val="004007B8"/>
    <w:rsid w:val="0040380B"/>
    <w:rsid w:val="004058F5"/>
    <w:rsid w:val="00406408"/>
    <w:rsid w:val="00407006"/>
    <w:rsid w:val="00407976"/>
    <w:rsid w:val="00407A35"/>
    <w:rsid w:val="004104FD"/>
    <w:rsid w:val="004106AA"/>
    <w:rsid w:val="004106FE"/>
    <w:rsid w:val="004112DB"/>
    <w:rsid w:val="00412865"/>
    <w:rsid w:val="00413E5F"/>
    <w:rsid w:val="0041460D"/>
    <w:rsid w:val="004151D7"/>
    <w:rsid w:val="00415E62"/>
    <w:rsid w:val="0041611F"/>
    <w:rsid w:val="00420BF4"/>
    <w:rsid w:val="00420E03"/>
    <w:rsid w:val="00423237"/>
    <w:rsid w:val="00423DC6"/>
    <w:rsid w:val="00424BE4"/>
    <w:rsid w:val="00424ED2"/>
    <w:rsid w:val="004250A5"/>
    <w:rsid w:val="0042524B"/>
    <w:rsid w:val="00425EA8"/>
    <w:rsid w:val="004260C7"/>
    <w:rsid w:val="00426254"/>
    <w:rsid w:val="004276F1"/>
    <w:rsid w:val="00427CBF"/>
    <w:rsid w:val="0043062F"/>
    <w:rsid w:val="00430A2C"/>
    <w:rsid w:val="00431A31"/>
    <w:rsid w:val="00431D0B"/>
    <w:rsid w:val="00431FE5"/>
    <w:rsid w:val="0043218B"/>
    <w:rsid w:val="004326E3"/>
    <w:rsid w:val="00432883"/>
    <w:rsid w:val="00434113"/>
    <w:rsid w:val="00437030"/>
    <w:rsid w:val="004370A4"/>
    <w:rsid w:val="00437AD4"/>
    <w:rsid w:val="004403D5"/>
    <w:rsid w:val="0044052F"/>
    <w:rsid w:val="00440BB2"/>
    <w:rsid w:val="00440F8C"/>
    <w:rsid w:val="004414C4"/>
    <w:rsid w:val="0044187C"/>
    <w:rsid w:val="004419AE"/>
    <w:rsid w:val="0044390E"/>
    <w:rsid w:val="00443C68"/>
    <w:rsid w:val="0044415F"/>
    <w:rsid w:val="004457B1"/>
    <w:rsid w:val="00445D20"/>
    <w:rsid w:val="004461DC"/>
    <w:rsid w:val="004465B3"/>
    <w:rsid w:val="00447B3F"/>
    <w:rsid w:val="004509A7"/>
    <w:rsid w:val="004517A6"/>
    <w:rsid w:val="0045195C"/>
    <w:rsid w:val="0045254B"/>
    <w:rsid w:val="0045443A"/>
    <w:rsid w:val="00454AED"/>
    <w:rsid w:val="00454D7C"/>
    <w:rsid w:val="00456E6D"/>
    <w:rsid w:val="00456FD9"/>
    <w:rsid w:val="00457F1F"/>
    <w:rsid w:val="004603A2"/>
    <w:rsid w:val="0046105A"/>
    <w:rsid w:val="00461527"/>
    <w:rsid w:val="00463671"/>
    <w:rsid w:val="00463C82"/>
    <w:rsid w:val="00463CC8"/>
    <w:rsid w:val="004645F7"/>
    <w:rsid w:val="004647A4"/>
    <w:rsid w:val="00464A24"/>
    <w:rsid w:val="00464FF1"/>
    <w:rsid w:val="00465A95"/>
    <w:rsid w:val="00465F6F"/>
    <w:rsid w:val="00466384"/>
    <w:rsid w:val="00467282"/>
    <w:rsid w:val="00467BE2"/>
    <w:rsid w:val="00470D6C"/>
    <w:rsid w:val="0047104C"/>
    <w:rsid w:val="004711A4"/>
    <w:rsid w:val="00471F0A"/>
    <w:rsid w:val="0047277B"/>
    <w:rsid w:val="00472839"/>
    <w:rsid w:val="00473C4C"/>
    <w:rsid w:val="00473F40"/>
    <w:rsid w:val="004742B0"/>
    <w:rsid w:val="00476370"/>
    <w:rsid w:val="00482082"/>
    <w:rsid w:val="00485CB4"/>
    <w:rsid w:val="00485EBF"/>
    <w:rsid w:val="0048650E"/>
    <w:rsid w:val="00486983"/>
    <w:rsid w:val="00486AEC"/>
    <w:rsid w:val="00487F1C"/>
    <w:rsid w:val="00490994"/>
    <w:rsid w:val="00490A0E"/>
    <w:rsid w:val="004915F3"/>
    <w:rsid w:val="00491993"/>
    <w:rsid w:val="004955C1"/>
    <w:rsid w:val="00495EAB"/>
    <w:rsid w:val="0049664E"/>
    <w:rsid w:val="0049680E"/>
    <w:rsid w:val="00496815"/>
    <w:rsid w:val="00496FF0"/>
    <w:rsid w:val="0049701D"/>
    <w:rsid w:val="004971B4"/>
    <w:rsid w:val="004974EB"/>
    <w:rsid w:val="004978F0"/>
    <w:rsid w:val="004979B6"/>
    <w:rsid w:val="004A07F8"/>
    <w:rsid w:val="004A1D8A"/>
    <w:rsid w:val="004A1DE3"/>
    <w:rsid w:val="004A32C4"/>
    <w:rsid w:val="004A3306"/>
    <w:rsid w:val="004A4450"/>
    <w:rsid w:val="004A4FD3"/>
    <w:rsid w:val="004A5896"/>
    <w:rsid w:val="004A5A4F"/>
    <w:rsid w:val="004A6F6A"/>
    <w:rsid w:val="004A6FB2"/>
    <w:rsid w:val="004A70BC"/>
    <w:rsid w:val="004B0A0B"/>
    <w:rsid w:val="004B10BE"/>
    <w:rsid w:val="004B1225"/>
    <w:rsid w:val="004B1B07"/>
    <w:rsid w:val="004B2829"/>
    <w:rsid w:val="004B2CD5"/>
    <w:rsid w:val="004B35FB"/>
    <w:rsid w:val="004B3EF9"/>
    <w:rsid w:val="004B4A08"/>
    <w:rsid w:val="004B550D"/>
    <w:rsid w:val="004B7AAA"/>
    <w:rsid w:val="004B7D31"/>
    <w:rsid w:val="004B7DC4"/>
    <w:rsid w:val="004C1D50"/>
    <w:rsid w:val="004C36B3"/>
    <w:rsid w:val="004C36BB"/>
    <w:rsid w:val="004C3A7E"/>
    <w:rsid w:val="004C3BF1"/>
    <w:rsid w:val="004C3D0A"/>
    <w:rsid w:val="004C5241"/>
    <w:rsid w:val="004C5F6D"/>
    <w:rsid w:val="004C7F8A"/>
    <w:rsid w:val="004D340D"/>
    <w:rsid w:val="004D34F3"/>
    <w:rsid w:val="004D4851"/>
    <w:rsid w:val="004D5C36"/>
    <w:rsid w:val="004D5DE3"/>
    <w:rsid w:val="004D711C"/>
    <w:rsid w:val="004E192B"/>
    <w:rsid w:val="004E29FD"/>
    <w:rsid w:val="004E30A8"/>
    <w:rsid w:val="004E365D"/>
    <w:rsid w:val="004E47B0"/>
    <w:rsid w:val="004E5302"/>
    <w:rsid w:val="004E592A"/>
    <w:rsid w:val="004E66D9"/>
    <w:rsid w:val="004E6CFB"/>
    <w:rsid w:val="004E708A"/>
    <w:rsid w:val="004E7380"/>
    <w:rsid w:val="004E758C"/>
    <w:rsid w:val="004E7A10"/>
    <w:rsid w:val="004E7FB4"/>
    <w:rsid w:val="004F0BCF"/>
    <w:rsid w:val="004F0D4B"/>
    <w:rsid w:val="004F2C9E"/>
    <w:rsid w:val="004F30F2"/>
    <w:rsid w:val="004F3CB8"/>
    <w:rsid w:val="004F495B"/>
    <w:rsid w:val="004F4D77"/>
    <w:rsid w:val="004F5D44"/>
    <w:rsid w:val="004F72EB"/>
    <w:rsid w:val="004F7BFD"/>
    <w:rsid w:val="004F7F45"/>
    <w:rsid w:val="00500E18"/>
    <w:rsid w:val="005019DC"/>
    <w:rsid w:val="00501C88"/>
    <w:rsid w:val="00502B26"/>
    <w:rsid w:val="00502BFA"/>
    <w:rsid w:val="00503097"/>
    <w:rsid w:val="005036C2"/>
    <w:rsid w:val="00504B2D"/>
    <w:rsid w:val="00504BDF"/>
    <w:rsid w:val="00505A18"/>
    <w:rsid w:val="00505AE1"/>
    <w:rsid w:val="00505F1A"/>
    <w:rsid w:val="00506027"/>
    <w:rsid w:val="0050666F"/>
    <w:rsid w:val="00506A30"/>
    <w:rsid w:val="00506A86"/>
    <w:rsid w:val="005119F7"/>
    <w:rsid w:val="005120D4"/>
    <w:rsid w:val="005135AA"/>
    <w:rsid w:val="005145B4"/>
    <w:rsid w:val="00514A77"/>
    <w:rsid w:val="00514DD4"/>
    <w:rsid w:val="005158B6"/>
    <w:rsid w:val="00515D02"/>
    <w:rsid w:val="005176CA"/>
    <w:rsid w:val="00517AF3"/>
    <w:rsid w:val="005204D3"/>
    <w:rsid w:val="0052156C"/>
    <w:rsid w:val="00522E7B"/>
    <w:rsid w:val="0052347F"/>
    <w:rsid w:val="005243A5"/>
    <w:rsid w:val="00526D70"/>
    <w:rsid w:val="00530A28"/>
    <w:rsid w:val="00531600"/>
    <w:rsid w:val="00531CA1"/>
    <w:rsid w:val="0053310F"/>
    <w:rsid w:val="00533A67"/>
    <w:rsid w:val="00533B6B"/>
    <w:rsid w:val="00534271"/>
    <w:rsid w:val="00534733"/>
    <w:rsid w:val="005355A0"/>
    <w:rsid w:val="005358B3"/>
    <w:rsid w:val="00536575"/>
    <w:rsid w:val="005368C2"/>
    <w:rsid w:val="00540141"/>
    <w:rsid w:val="00540761"/>
    <w:rsid w:val="0054149C"/>
    <w:rsid w:val="00541B25"/>
    <w:rsid w:val="005435A1"/>
    <w:rsid w:val="00543A59"/>
    <w:rsid w:val="00543CBF"/>
    <w:rsid w:val="00544A92"/>
    <w:rsid w:val="00544B58"/>
    <w:rsid w:val="00544B5A"/>
    <w:rsid w:val="00544D2E"/>
    <w:rsid w:val="00544E5D"/>
    <w:rsid w:val="0054537D"/>
    <w:rsid w:val="00547CBE"/>
    <w:rsid w:val="00550306"/>
    <w:rsid w:val="0055062D"/>
    <w:rsid w:val="00550AE3"/>
    <w:rsid w:val="00550BC2"/>
    <w:rsid w:val="00551290"/>
    <w:rsid w:val="00551870"/>
    <w:rsid w:val="00552A56"/>
    <w:rsid w:val="00552FC3"/>
    <w:rsid w:val="00552FD0"/>
    <w:rsid w:val="00553F17"/>
    <w:rsid w:val="00554639"/>
    <w:rsid w:val="00554C85"/>
    <w:rsid w:val="005550E5"/>
    <w:rsid w:val="0055516B"/>
    <w:rsid w:val="005552C2"/>
    <w:rsid w:val="00555764"/>
    <w:rsid w:val="00555F2C"/>
    <w:rsid w:val="005565C9"/>
    <w:rsid w:val="00556890"/>
    <w:rsid w:val="00556A03"/>
    <w:rsid w:val="00557087"/>
    <w:rsid w:val="00557E93"/>
    <w:rsid w:val="00560B59"/>
    <w:rsid w:val="00560C9F"/>
    <w:rsid w:val="005616E3"/>
    <w:rsid w:val="00561BD1"/>
    <w:rsid w:val="005621CB"/>
    <w:rsid w:val="005643A7"/>
    <w:rsid w:val="0056490B"/>
    <w:rsid w:val="00565375"/>
    <w:rsid w:val="00566FCD"/>
    <w:rsid w:val="0056784C"/>
    <w:rsid w:val="00567B83"/>
    <w:rsid w:val="00570788"/>
    <w:rsid w:val="00571009"/>
    <w:rsid w:val="00571556"/>
    <w:rsid w:val="00571B4E"/>
    <w:rsid w:val="005723FD"/>
    <w:rsid w:val="00572BF8"/>
    <w:rsid w:val="00572EF5"/>
    <w:rsid w:val="00573236"/>
    <w:rsid w:val="005732A2"/>
    <w:rsid w:val="0057377B"/>
    <w:rsid w:val="00574190"/>
    <w:rsid w:val="00574893"/>
    <w:rsid w:val="00575FD9"/>
    <w:rsid w:val="005778A7"/>
    <w:rsid w:val="0058033F"/>
    <w:rsid w:val="00582518"/>
    <w:rsid w:val="005829DC"/>
    <w:rsid w:val="00583F3A"/>
    <w:rsid w:val="005853CD"/>
    <w:rsid w:val="00585772"/>
    <w:rsid w:val="005857B3"/>
    <w:rsid w:val="0058672E"/>
    <w:rsid w:val="0058765F"/>
    <w:rsid w:val="0059002B"/>
    <w:rsid w:val="005906B2"/>
    <w:rsid w:val="005907BE"/>
    <w:rsid w:val="0059094D"/>
    <w:rsid w:val="00590956"/>
    <w:rsid w:val="005914C2"/>
    <w:rsid w:val="00592EA6"/>
    <w:rsid w:val="005939BB"/>
    <w:rsid w:val="00594537"/>
    <w:rsid w:val="00594CF0"/>
    <w:rsid w:val="0059512B"/>
    <w:rsid w:val="005955CB"/>
    <w:rsid w:val="0059588C"/>
    <w:rsid w:val="0059618D"/>
    <w:rsid w:val="0059638A"/>
    <w:rsid w:val="00597184"/>
    <w:rsid w:val="00597F66"/>
    <w:rsid w:val="005A030B"/>
    <w:rsid w:val="005A1727"/>
    <w:rsid w:val="005A19FA"/>
    <w:rsid w:val="005A1C30"/>
    <w:rsid w:val="005A27A0"/>
    <w:rsid w:val="005A2945"/>
    <w:rsid w:val="005A3655"/>
    <w:rsid w:val="005A392B"/>
    <w:rsid w:val="005A3F7F"/>
    <w:rsid w:val="005A5571"/>
    <w:rsid w:val="005A647E"/>
    <w:rsid w:val="005B045A"/>
    <w:rsid w:val="005B1595"/>
    <w:rsid w:val="005B1E60"/>
    <w:rsid w:val="005B20B8"/>
    <w:rsid w:val="005B2470"/>
    <w:rsid w:val="005B31F6"/>
    <w:rsid w:val="005B5BA9"/>
    <w:rsid w:val="005B65AC"/>
    <w:rsid w:val="005B7856"/>
    <w:rsid w:val="005C1554"/>
    <w:rsid w:val="005C1EA1"/>
    <w:rsid w:val="005C1FF8"/>
    <w:rsid w:val="005C3188"/>
    <w:rsid w:val="005C3296"/>
    <w:rsid w:val="005C59EB"/>
    <w:rsid w:val="005C68CC"/>
    <w:rsid w:val="005C69D8"/>
    <w:rsid w:val="005C6C99"/>
    <w:rsid w:val="005C6EB8"/>
    <w:rsid w:val="005C79D9"/>
    <w:rsid w:val="005C7BED"/>
    <w:rsid w:val="005D0045"/>
    <w:rsid w:val="005D03FE"/>
    <w:rsid w:val="005D04D6"/>
    <w:rsid w:val="005D0A1C"/>
    <w:rsid w:val="005D0FAA"/>
    <w:rsid w:val="005D1849"/>
    <w:rsid w:val="005D1922"/>
    <w:rsid w:val="005D1FA3"/>
    <w:rsid w:val="005D244A"/>
    <w:rsid w:val="005D3E58"/>
    <w:rsid w:val="005D50DE"/>
    <w:rsid w:val="005D5A7A"/>
    <w:rsid w:val="005D5D38"/>
    <w:rsid w:val="005D7F7E"/>
    <w:rsid w:val="005E114F"/>
    <w:rsid w:val="005E23A3"/>
    <w:rsid w:val="005E23C6"/>
    <w:rsid w:val="005E4189"/>
    <w:rsid w:val="005E4237"/>
    <w:rsid w:val="005E4D0A"/>
    <w:rsid w:val="005E5BAA"/>
    <w:rsid w:val="005E672A"/>
    <w:rsid w:val="005E6C6B"/>
    <w:rsid w:val="005F0530"/>
    <w:rsid w:val="005F1A0A"/>
    <w:rsid w:val="005F2CE0"/>
    <w:rsid w:val="005F3A68"/>
    <w:rsid w:val="005F3BD1"/>
    <w:rsid w:val="005F4D9E"/>
    <w:rsid w:val="005F505B"/>
    <w:rsid w:val="005F7265"/>
    <w:rsid w:val="0060212D"/>
    <w:rsid w:val="006022FE"/>
    <w:rsid w:val="00602DB2"/>
    <w:rsid w:val="00602EFA"/>
    <w:rsid w:val="006044F6"/>
    <w:rsid w:val="0060471C"/>
    <w:rsid w:val="00605792"/>
    <w:rsid w:val="00606059"/>
    <w:rsid w:val="00607BFE"/>
    <w:rsid w:val="0061036D"/>
    <w:rsid w:val="006104C3"/>
    <w:rsid w:val="00611F66"/>
    <w:rsid w:val="00613A1C"/>
    <w:rsid w:val="00614214"/>
    <w:rsid w:val="00614256"/>
    <w:rsid w:val="006147DD"/>
    <w:rsid w:val="00614933"/>
    <w:rsid w:val="00614FB2"/>
    <w:rsid w:val="00615406"/>
    <w:rsid w:val="006175E7"/>
    <w:rsid w:val="00620F08"/>
    <w:rsid w:val="00621D49"/>
    <w:rsid w:val="0062244C"/>
    <w:rsid w:val="00623C44"/>
    <w:rsid w:val="0062463B"/>
    <w:rsid w:val="00624A86"/>
    <w:rsid w:val="00626415"/>
    <w:rsid w:val="00626C74"/>
    <w:rsid w:val="00626E14"/>
    <w:rsid w:val="00627D7E"/>
    <w:rsid w:val="00630233"/>
    <w:rsid w:val="00630B14"/>
    <w:rsid w:val="00632217"/>
    <w:rsid w:val="006336B5"/>
    <w:rsid w:val="006342EB"/>
    <w:rsid w:val="0063466A"/>
    <w:rsid w:val="00634A6B"/>
    <w:rsid w:val="0063532E"/>
    <w:rsid w:val="0063638D"/>
    <w:rsid w:val="00636B31"/>
    <w:rsid w:val="00637712"/>
    <w:rsid w:val="0064002B"/>
    <w:rsid w:val="0064179F"/>
    <w:rsid w:val="00641CE3"/>
    <w:rsid w:val="006423D5"/>
    <w:rsid w:val="00643AD4"/>
    <w:rsid w:val="00643F16"/>
    <w:rsid w:val="00645542"/>
    <w:rsid w:val="006456EC"/>
    <w:rsid w:val="00645D5F"/>
    <w:rsid w:val="0065008F"/>
    <w:rsid w:val="00650D60"/>
    <w:rsid w:val="00650E37"/>
    <w:rsid w:val="00652829"/>
    <w:rsid w:val="006529B8"/>
    <w:rsid w:val="00652EE1"/>
    <w:rsid w:val="00653919"/>
    <w:rsid w:val="00653AE2"/>
    <w:rsid w:val="00654F6A"/>
    <w:rsid w:val="00654FC7"/>
    <w:rsid w:val="006554D6"/>
    <w:rsid w:val="00655AEC"/>
    <w:rsid w:val="00655BE9"/>
    <w:rsid w:val="00655FDD"/>
    <w:rsid w:val="00657EB0"/>
    <w:rsid w:val="00660F7D"/>
    <w:rsid w:val="0066106E"/>
    <w:rsid w:val="006615DA"/>
    <w:rsid w:val="006618D8"/>
    <w:rsid w:val="006621AB"/>
    <w:rsid w:val="00663EA5"/>
    <w:rsid w:val="00663FAA"/>
    <w:rsid w:val="0066474C"/>
    <w:rsid w:val="00665BB1"/>
    <w:rsid w:val="00665BEB"/>
    <w:rsid w:val="00666A5B"/>
    <w:rsid w:val="00666AB3"/>
    <w:rsid w:val="006674A2"/>
    <w:rsid w:val="00667F13"/>
    <w:rsid w:val="0067087C"/>
    <w:rsid w:val="00670F48"/>
    <w:rsid w:val="00671603"/>
    <w:rsid w:val="0067415B"/>
    <w:rsid w:val="006744F8"/>
    <w:rsid w:val="00675DC1"/>
    <w:rsid w:val="00680D1C"/>
    <w:rsid w:val="006811F4"/>
    <w:rsid w:val="00681610"/>
    <w:rsid w:val="00681FB1"/>
    <w:rsid w:val="00682FDA"/>
    <w:rsid w:val="00683582"/>
    <w:rsid w:val="006837D9"/>
    <w:rsid w:val="0068511A"/>
    <w:rsid w:val="0068614B"/>
    <w:rsid w:val="006861DF"/>
    <w:rsid w:val="00687099"/>
    <w:rsid w:val="00687317"/>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172"/>
    <w:rsid w:val="006972ED"/>
    <w:rsid w:val="0069768D"/>
    <w:rsid w:val="00697E15"/>
    <w:rsid w:val="006A009A"/>
    <w:rsid w:val="006A2AFC"/>
    <w:rsid w:val="006A3192"/>
    <w:rsid w:val="006A3CDB"/>
    <w:rsid w:val="006A5AC9"/>
    <w:rsid w:val="006A5B90"/>
    <w:rsid w:val="006A6157"/>
    <w:rsid w:val="006B11B3"/>
    <w:rsid w:val="006B162C"/>
    <w:rsid w:val="006B1DEF"/>
    <w:rsid w:val="006B2B50"/>
    <w:rsid w:val="006B357C"/>
    <w:rsid w:val="006B3BF6"/>
    <w:rsid w:val="006B4139"/>
    <w:rsid w:val="006B4FA1"/>
    <w:rsid w:val="006B5339"/>
    <w:rsid w:val="006B6EDB"/>
    <w:rsid w:val="006B7D88"/>
    <w:rsid w:val="006C0116"/>
    <w:rsid w:val="006C0D67"/>
    <w:rsid w:val="006C0F9E"/>
    <w:rsid w:val="006C45F9"/>
    <w:rsid w:val="006D1496"/>
    <w:rsid w:val="006D167E"/>
    <w:rsid w:val="006D18E5"/>
    <w:rsid w:val="006D2436"/>
    <w:rsid w:val="006D30C2"/>
    <w:rsid w:val="006D362F"/>
    <w:rsid w:val="006D39E6"/>
    <w:rsid w:val="006D3C17"/>
    <w:rsid w:val="006D3EA1"/>
    <w:rsid w:val="006D5E6E"/>
    <w:rsid w:val="006D79B7"/>
    <w:rsid w:val="006E13E3"/>
    <w:rsid w:val="006E196F"/>
    <w:rsid w:val="006E1DD9"/>
    <w:rsid w:val="006E1EBA"/>
    <w:rsid w:val="006E23CD"/>
    <w:rsid w:val="006E24E1"/>
    <w:rsid w:val="006E3951"/>
    <w:rsid w:val="006E3C75"/>
    <w:rsid w:val="006E4796"/>
    <w:rsid w:val="006E4820"/>
    <w:rsid w:val="006E65C1"/>
    <w:rsid w:val="006E6CE2"/>
    <w:rsid w:val="006E6E62"/>
    <w:rsid w:val="006E7A6C"/>
    <w:rsid w:val="006E7E55"/>
    <w:rsid w:val="006F2D10"/>
    <w:rsid w:val="006F2E3F"/>
    <w:rsid w:val="006F3EB0"/>
    <w:rsid w:val="006F4975"/>
    <w:rsid w:val="006F4E34"/>
    <w:rsid w:val="006F538A"/>
    <w:rsid w:val="006F576D"/>
    <w:rsid w:val="006F5ED8"/>
    <w:rsid w:val="006F6440"/>
    <w:rsid w:val="0070029F"/>
    <w:rsid w:val="00700FE8"/>
    <w:rsid w:val="007012B3"/>
    <w:rsid w:val="007023A3"/>
    <w:rsid w:val="00702BB7"/>
    <w:rsid w:val="00703C5F"/>
    <w:rsid w:val="007051FF"/>
    <w:rsid w:val="00705F08"/>
    <w:rsid w:val="00706531"/>
    <w:rsid w:val="0070663B"/>
    <w:rsid w:val="00706AA1"/>
    <w:rsid w:val="00706E7C"/>
    <w:rsid w:val="0070769C"/>
    <w:rsid w:val="00707BDA"/>
    <w:rsid w:val="0071075F"/>
    <w:rsid w:val="0071188A"/>
    <w:rsid w:val="00712341"/>
    <w:rsid w:val="00712521"/>
    <w:rsid w:val="0071254D"/>
    <w:rsid w:val="00713D37"/>
    <w:rsid w:val="00713E7D"/>
    <w:rsid w:val="00714750"/>
    <w:rsid w:val="007153D6"/>
    <w:rsid w:val="00716394"/>
    <w:rsid w:val="00717AA3"/>
    <w:rsid w:val="007206F2"/>
    <w:rsid w:val="007216BB"/>
    <w:rsid w:val="007222F5"/>
    <w:rsid w:val="007222F9"/>
    <w:rsid w:val="007224C2"/>
    <w:rsid w:val="0072299B"/>
    <w:rsid w:val="0072353D"/>
    <w:rsid w:val="00723A1D"/>
    <w:rsid w:val="007240FE"/>
    <w:rsid w:val="00724315"/>
    <w:rsid w:val="007248A7"/>
    <w:rsid w:val="007254A0"/>
    <w:rsid w:val="00726653"/>
    <w:rsid w:val="00726CD6"/>
    <w:rsid w:val="00727095"/>
    <w:rsid w:val="0073053D"/>
    <w:rsid w:val="00731BC8"/>
    <w:rsid w:val="00731BD2"/>
    <w:rsid w:val="007337DC"/>
    <w:rsid w:val="007347DE"/>
    <w:rsid w:val="00735259"/>
    <w:rsid w:val="00735D1E"/>
    <w:rsid w:val="00736156"/>
    <w:rsid w:val="00736301"/>
    <w:rsid w:val="0073641B"/>
    <w:rsid w:val="00736743"/>
    <w:rsid w:val="00736F61"/>
    <w:rsid w:val="00740491"/>
    <w:rsid w:val="007405DF"/>
    <w:rsid w:val="00741040"/>
    <w:rsid w:val="00741F61"/>
    <w:rsid w:val="00742EA7"/>
    <w:rsid w:val="00743B8C"/>
    <w:rsid w:val="007441F1"/>
    <w:rsid w:val="007449B8"/>
    <w:rsid w:val="00744C7A"/>
    <w:rsid w:val="0074594A"/>
    <w:rsid w:val="007465A0"/>
    <w:rsid w:val="00746952"/>
    <w:rsid w:val="0074704E"/>
    <w:rsid w:val="00747056"/>
    <w:rsid w:val="00747151"/>
    <w:rsid w:val="00750309"/>
    <w:rsid w:val="0075164F"/>
    <w:rsid w:val="00751A15"/>
    <w:rsid w:val="007522E0"/>
    <w:rsid w:val="007527FC"/>
    <w:rsid w:val="007530F0"/>
    <w:rsid w:val="007538AE"/>
    <w:rsid w:val="00753CCB"/>
    <w:rsid w:val="00753F0A"/>
    <w:rsid w:val="00754872"/>
    <w:rsid w:val="0075555E"/>
    <w:rsid w:val="00755DB0"/>
    <w:rsid w:val="007561D8"/>
    <w:rsid w:val="00757019"/>
    <w:rsid w:val="007572CC"/>
    <w:rsid w:val="00757CF4"/>
    <w:rsid w:val="00757E1A"/>
    <w:rsid w:val="0076002B"/>
    <w:rsid w:val="00760815"/>
    <w:rsid w:val="00762287"/>
    <w:rsid w:val="00763B7C"/>
    <w:rsid w:val="00763E9F"/>
    <w:rsid w:val="0076403F"/>
    <w:rsid w:val="007643FD"/>
    <w:rsid w:val="00764CC6"/>
    <w:rsid w:val="0076584E"/>
    <w:rsid w:val="00765AF8"/>
    <w:rsid w:val="00766468"/>
    <w:rsid w:val="00766E93"/>
    <w:rsid w:val="007677D7"/>
    <w:rsid w:val="0077031C"/>
    <w:rsid w:val="00770A7A"/>
    <w:rsid w:val="00771068"/>
    <w:rsid w:val="0077192E"/>
    <w:rsid w:val="00771D8C"/>
    <w:rsid w:val="00772D3A"/>
    <w:rsid w:val="0077427F"/>
    <w:rsid w:val="007745F5"/>
    <w:rsid w:val="00775D35"/>
    <w:rsid w:val="007766F4"/>
    <w:rsid w:val="00777A67"/>
    <w:rsid w:val="0078022D"/>
    <w:rsid w:val="00782355"/>
    <w:rsid w:val="007826AD"/>
    <w:rsid w:val="00783313"/>
    <w:rsid w:val="00783C52"/>
    <w:rsid w:val="00785158"/>
    <w:rsid w:val="007867E8"/>
    <w:rsid w:val="007868EC"/>
    <w:rsid w:val="00786C14"/>
    <w:rsid w:val="00786E0E"/>
    <w:rsid w:val="007875DD"/>
    <w:rsid w:val="00790DE4"/>
    <w:rsid w:val="00790E3F"/>
    <w:rsid w:val="00790EF1"/>
    <w:rsid w:val="00791EA5"/>
    <w:rsid w:val="00792185"/>
    <w:rsid w:val="007929A8"/>
    <w:rsid w:val="00792D39"/>
    <w:rsid w:val="00793126"/>
    <w:rsid w:val="00793F2F"/>
    <w:rsid w:val="007945B3"/>
    <w:rsid w:val="00795E0C"/>
    <w:rsid w:val="00795EB8"/>
    <w:rsid w:val="007960FA"/>
    <w:rsid w:val="007967CF"/>
    <w:rsid w:val="007A1A8E"/>
    <w:rsid w:val="007A3220"/>
    <w:rsid w:val="007A32D9"/>
    <w:rsid w:val="007A3D6D"/>
    <w:rsid w:val="007A3F9D"/>
    <w:rsid w:val="007A446D"/>
    <w:rsid w:val="007A4519"/>
    <w:rsid w:val="007A54EE"/>
    <w:rsid w:val="007A583D"/>
    <w:rsid w:val="007A6203"/>
    <w:rsid w:val="007A6400"/>
    <w:rsid w:val="007A6585"/>
    <w:rsid w:val="007A6D9C"/>
    <w:rsid w:val="007A73AC"/>
    <w:rsid w:val="007A752D"/>
    <w:rsid w:val="007A75A4"/>
    <w:rsid w:val="007A7819"/>
    <w:rsid w:val="007B040E"/>
    <w:rsid w:val="007B0E13"/>
    <w:rsid w:val="007B1EB1"/>
    <w:rsid w:val="007B23B6"/>
    <w:rsid w:val="007B2608"/>
    <w:rsid w:val="007B45A6"/>
    <w:rsid w:val="007B4935"/>
    <w:rsid w:val="007B519C"/>
    <w:rsid w:val="007B586C"/>
    <w:rsid w:val="007B709A"/>
    <w:rsid w:val="007B7594"/>
    <w:rsid w:val="007C19C3"/>
    <w:rsid w:val="007C21CF"/>
    <w:rsid w:val="007C31F5"/>
    <w:rsid w:val="007C345B"/>
    <w:rsid w:val="007C38C9"/>
    <w:rsid w:val="007C39DF"/>
    <w:rsid w:val="007C3C47"/>
    <w:rsid w:val="007C3D3A"/>
    <w:rsid w:val="007C5B7B"/>
    <w:rsid w:val="007C5EC1"/>
    <w:rsid w:val="007C67B3"/>
    <w:rsid w:val="007C68BD"/>
    <w:rsid w:val="007D07A0"/>
    <w:rsid w:val="007D124E"/>
    <w:rsid w:val="007D12B8"/>
    <w:rsid w:val="007D2965"/>
    <w:rsid w:val="007D34CA"/>
    <w:rsid w:val="007D4016"/>
    <w:rsid w:val="007D4397"/>
    <w:rsid w:val="007D44A5"/>
    <w:rsid w:val="007D4786"/>
    <w:rsid w:val="007D63A9"/>
    <w:rsid w:val="007D679D"/>
    <w:rsid w:val="007D6863"/>
    <w:rsid w:val="007D78E3"/>
    <w:rsid w:val="007E004E"/>
    <w:rsid w:val="007E053E"/>
    <w:rsid w:val="007E0C0D"/>
    <w:rsid w:val="007E0EC6"/>
    <w:rsid w:val="007E0ED1"/>
    <w:rsid w:val="007E1C5A"/>
    <w:rsid w:val="007E20B7"/>
    <w:rsid w:val="007E28A0"/>
    <w:rsid w:val="007E3F4C"/>
    <w:rsid w:val="007E453F"/>
    <w:rsid w:val="007E4883"/>
    <w:rsid w:val="007E5806"/>
    <w:rsid w:val="007E6824"/>
    <w:rsid w:val="007E6D33"/>
    <w:rsid w:val="007E74CF"/>
    <w:rsid w:val="007E7DA7"/>
    <w:rsid w:val="007F142D"/>
    <w:rsid w:val="007F2154"/>
    <w:rsid w:val="007F2457"/>
    <w:rsid w:val="007F30AB"/>
    <w:rsid w:val="007F491D"/>
    <w:rsid w:val="007F6178"/>
    <w:rsid w:val="007F72D0"/>
    <w:rsid w:val="007F7A67"/>
    <w:rsid w:val="00800FB7"/>
    <w:rsid w:val="00800FEF"/>
    <w:rsid w:val="00801694"/>
    <w:rsid w:val="00801FF2"/>
    <w:rsid w:val="00802335"/>
    <w:rsid w:val="0080244C"/>
    <w:rsid w:val="00802616"/>
    <w:rsid w:val="00802901"/>
    <w:rsid w:val="00802B1A"/>
    <w:rsid w:val="00803291"/>
    <w:rsid w:val="008034A0"/>
    <w:rsid w:val="00804079"/>
    <w:rsid w:val="0080472B"/>
    <w:rsid w:val="00806A8D"/>
    <w:rsid w:val="00810770"/>
    <w:rsid w:val="00810C57"/>
    <w:rsid w:val="00812530"/>
    <w:rsid w:val="00813E21"/>
    <w:rsid w:val="00814089"/>
    <w:rsid w:val="008144C5"/>
    <w:rsid w:val="00814E15"/>
    <w:rsid w:val="00815D36"/>
    <w:rsid w:val="00816291"/>
    <w:rsid w:val="00817689"/>
    <w:rsid w:val="008178D3"/>
    <w:rsid w:val="00821779"/>
    <w:rsid w:val="0082285D"/>
    <w:rsid w:val="00822FB3"/>
    <w:rsid w:val="0082331F"/>
    <w:rsid w:val="00823DAC"/>
    <w:rsid w:val="008245F5"/>
    <w:rsid w:val="0082493F"/>
    <w:rsid w:val="00824C78"/>
    <w:rsid w:val="008264FD"/>
    <w:rsid w:val="00826C9B"/>
    <w:rsid w:val="00827184"/>
    <w:rsid w:val="0082751E"/>
    <w:rsid w:val="00827B78"/>
    <w:rsid w:val="00827DAA"/>
    <w:rsid w:val="008302D0"/>
    <w:rsid w:val="00831027"/>
    <w:rsid w:val="00832551"/>
    <w:rsid w:val="00833A06"/>
    <w:rsid w:val="00833D89"/>
    <w:rsid w:val="00834F62"/>
    <w:rsid w:val="00835298"/>
    <w:rsid w:val="008359F4"/>
    <w:rsid w:val="00836205"/>
    <w:rsid w:val="00836272"/>
    <w:rsid w:val="008363F4"/>
    <w:rsid w:val="00836C67"/>
    <w:rsid w:val="00840261"/>
    <w:rsid w:val="00840A02"/>
    <w:rsid w:val="00840CBE"/>
    <w:rsid w:val="00840FFD"/>
    <w:rsid w:val="00841356"/>
    <w:rsid w:val="0084140C"/>
    <w:rsid w:val="00842CAD"/>
    <w:rsid w:val="00842E10"/>
    <w:rsid w:val="00842F1A"/>
    <w:rsid w:val="00843252"/>
    <w:rsid w:val="0084333E"/>
    <w:rsid w:val="008433DA"/>
    <w:rsid w:val="00844263"/>
    <w:rsid w:val="008445DA"/>
    <w:rsid w:val="00844886"/>
    <w:rsid w:val="00844FE8"/>
    <w:rsid w:val="00845910"/>
    <w:rsid w:val="0084592E"/>
    <w:rsid w:val="00845BAE"/>
    <w:rsid w:val="00846FED"/>
    <w:rsid w:val="008475AC"/>
    <w:rsid w:val="00847B3F"/>
    <w:rsid w:val="00850D31"/>
    <w:rsid w:val="0085161C"/>
    <w:rsid w:val="00851999"/>
    <w:rsid w:val="00851A7D"/>
    <w:rsid w:val="00851F67"/>
    <w:rsid w:val="00851FF5"/>
    <w:rsid w:val="00853D16"/>
    <w:rsid w:val="00854185"/>
    <w:rsid w:val="008543A1"/>
    <w:rsid w:val="00854F1C"/>
    <w:rsid w:val="008565CB"/>
    <w:rsid w:val="00856C51"/>
    <w:rsid w:val="00856DCD"/>
    <w:rsid w:val="00857A8E"/>
    <w:rsid w:val="00857D2C"/>
    <w:rsid w:val="00860534"/>
    <w:rsid w:val="0086069E"/>
    <w:rsid w:val="00861213"/>
    <w:rsid w:val="00861580"/>
    <w:rsid w:val="00861F57"/>
    <w:rsid w:val="00862C3D"/>
    <w:rsid w:val="0086454A"/>
    <w:rsid w:val="00864858"/>
    <w:rsid w:val="008653A5"/>
    <w:rsid w:val="00865690"/>
    <w:rsid w:val="00870343"/>
    <w:rsid w:val="00870BF4"/>
    <w:rsid w:val="00872066"/>
    <w:rsid w:val="00872620"/>
    <w:rsid w:val="00873F21"/>
    <w:rsid w:val="00876A5E"/>
    <w:rsid w:val="00877EF5"/>
    <w:rsid w:val="0088033A"/>
    <w:rsid w:val="00880954"/>
    <w:rsid w:val="0088178D"/>
    <w:rsid w:val="00881894"/>
    <w:rsid w:val="00881B12"/>
    <w:rsid w:val="00881EEB"/>
    <w:rsid w:val="00881F31"/>
    <w:rsid w:val="008827EB"/>
    <w:rsid w:val="00882B18"/>
    <w:rsid w:val="008837D8"/>
    <w:rsid w:val="008844BC"/>
    <w:rsid w:val="00884821"/>
    <w:rsid w:val="008854F2"/>
    <w:rsid w:val="00885AC5"/>
    <w:rsid w:val="008864F9"/>
    <w:rsid w:val="008865D6"/>
    <w:rsid w:val="008874E8"/>
    <w:rsid w:val="00890820"/>
    <w:rsid w:val="008917A2"/>
    <w:rsid w:val="00891EA3"/>
    <w:rsid w:val="00892ADA"/>
    <w:rsid w:val="00892E65"/>
    <w:rsid w:val="00893094"/>
    <w:rsid w:val="008945FB"/>
    <w:rsid w:val="008948E9"/>
    <w:rsid w:val="00894962"/>
    <w:rsid w:val="00895608"/>
    <w:rsid w:val="0089579F"/>
    <w:rsid w:val="00896629"/>
    <w:rsid w:val="0089666C"/>
    <w:rsid w:val="00897661"/>
    <w:rsid w:val="008A061B"/>
    <w:rsid w:val="008A2915"/>
    <w:rsid w:val="008A2B9F"/>
    <w:rsid w:val="008A302A"/>
    <w:rsid w:val="008A3387"/>
    <w:rsid w:val="008A3D1E"/>
    <w:rsid w:val="008A5275"/>
    <w:rsid w:val="008A6943"/>
    <w:rsid w:val="008B0B9D"/>
    <w:rsid w:val="008B4EF3"/>
    <w:rsid w:val="008B5E6E"/>
    <w:rsid w:val="008B6E82"/>
    <w:rsid w:val="008B7A5D"/>
    <w:rsid w:val="008B7EBB"/>
    <w:rsid w:val="008C08C9"/>
    <w:rsid w:val="008C14F3"/>
    <w:rsid w:val="008C3274"/>
    <w:rsid w:val="008C32A7"/>
    <w:rsid w:val="008C3356"/>
    <w:rsid w:val="008C35AD"/>
    <w:rsid w:val="008C41CA"/>
    <w:rsid w:val="008C430B"/>
    <w:rsid w:val="008C44A1"/>
    <w:rsid w:val="008C47AB"/>
    <w:rsid w:val="008C4BE2"/>
    <w:rsid w:val="008C4DFF"/>
    <w:rsid w:val="008C55B3"/>
    <w:rsid w:val="008C56D8"/>
    <w:rsid w:val="008C780B"/>
    <w:rsid w:val="008C7D49"/>
    <w:rsid w:val="008D02E0"/>
    <w:rsid w:val="008D0349"/>
    <w:rsid w:val="008D0B42"/>
    <w:rsid w:val="008D0F82"/>
    <w:rsid w:val="008D2C09"/>
    <w:rsid w:val="008D319B"/>
    <w:rsid w:val="008D35A3"/>
    <w:rsid w:val="008D3A2B"/>
    <w:rsid w:val="008D3BDC"/>
    <w:rsid w:val="008D4293"/>
    <w:rsid w:val="008D484D"/>
    <w:rsid w:val="008D59D5"/>
    <w:rsid w:val="008D5FB4"/>
    <w:rsid w:val="008D6167"/>
    <w:rsid w:val="008E0605"/>
    <w:rsid w:val="008E1A59"/>
    <w:rsid w:val="008E4285"/>
    <w:rsid w:val="008E57BE"/>
    <w:rsid w:val="008E5973"/>
    <w:rsid w:val="008E5AD7"/>
    <w:rsid w:val="008E5C7F"/>
    <w:rsid w:val="008E5CFF"/>
    <w:rsid w:val="008E6EB2"/>
    <w:rsid w:val="008E7213"/>
    <w:rsid w:val="008E7649"/>
    <w:rsid w:val="008F0327"/>
    <w:rsid w:val="008F11E1"/>
    <w:rsid w:val="008F1CC2"/>
    <w:rsid w:val="008F216B"/>
    <w:rsid w:val="008F2CA9"/>
    <w:rsid w:val="008F3866"/>
    <w:rsid w:val="008F41B8"/>
    <w:rsid w:val="008F494C"/>
    <w:rsid w:val="008F4DE2"/>
    <w:rsid w:val="008F55C2"/>
    <w:rsid w:val="008F5642"/>
    <w:rsid w:val="008F5CC1"/>
    <w:rsid w:val="008F66A7"/>
    <w:rsid w:val="008F66F7"/>
    <w:rsid w:val="008F766D"/>
    <w:rsid w:val="00900079"/>
    <w:rsid w:val="00900654"/>
    <w:rsid w:val="00900E5D"/>
    <w:rsid w:val="009018CF"/>
    <w:rsid w:val="00902AA8"/>
    <w:rsid w:val="009035A7"/>
    <w:rsid w:val="00903876"/>
    <w:rsid w:val="00903B73"/>
    <w:rsid w:val="009041CC"/>
    <w:rsid w:val="009050E8"/>
    <w:rsid w:val="00905DDB"/>
    <w:rsid w:val="0090615F"/>
    <w:rsid w:val="00907F7D"/>
    <w:rsid w:val="00912550"/>
    <w:rsid w:val="00912F7B"/>
    <w:rsid w:val="00913A29"/>
    <w:rsid w:val="009145E2"/>
    <w:rsid w:val="00914FFD"/>
    <w:rsid w:val="009166E5"/>
    <w:rsid w:val="00917019"/>
    <w:rsid w:val="00917398"/>
    <w:rsid w:val="0091747B"/>
    <w:rsid w:val="00917AF0"/>
    <w:rsid w:val="00921510"/>
    <w:rsid w:val="00921F1B"/>
    <w:rsid w:val="0092212C"/>
    <w:rsid w:val="00922324"/>
    <w:rsid w:val="009227B3"/>
    <w:rsid w:val="00923433"/>
    <w:rsid w:val="00923AE5"/>
    <w:rsid w:val="00925609"/>
    <w:rsid w:val="00925BCC"/>
    <w:rsid w:val="009267E3"/>
    <w:rsid w:val="00926E3E"/>
    <w:rsid w:val="00927BE1"/>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21C"/>
    <w:rsid w:val="00937392"/>
    <w:rsid w:val="0093773C"/>
    <w:rsid w:val="00941251"/>
    <w:rsid w:val="009417A9"/>
    <w:rsid w:val="00942248"/>
    <w:rsid w:val="0094265C"/>
    <w:rsid w:val="00943260"/>
    <w:rsid w:val="00944C73"/>
    <w:rsid w:val="00946148"/>
    <w:rsid w:val="009464E1"/>
    <w:rsid w:val="00947216"/>
    <w:rsid w:val="00951235"/>
    <w:rsid w:val="00951F20"/>
    <w:rsid w:val="009522EB"/>
    <w:rsid w:val="0095275C"/>
    <w:rsid w:val="00954085"/>
    <w:rsid w:val="0095444F"/>
    <w:rsid w:val="00954BCC"/>
    <w:rsid w:val="0095506D"/>
    <w:rsid w:val="00956AB6"/>
    <w:rsid w:val="009570F1"/>
    <w:rsid w:val="009571A5"/>
    <w:rsid w:val="00957E9F"/>
    <w:rsid w:val="009606FC"/>
    <w:rsid w:val="00960781"/>
    <w:rsid w:val="00960B05"/>
    <w:rsid w:val="0096290E"/>
    <w:rsid w:val="00962AEA"/>
    <w:rsid w:val="00962C78"/>
    <w:rsid w:val="0096417E"/>
    <w:rsid w:val="0096420F"/>
    <w:rsid w:val="00964438"/>
    <w:rsid w:val="00965FEE"/>
    <w:rsid w:val="0096662A"/>
    <w:rsid w:val="009666A9"/>
    <w:rsid w:val="0096689D"/>
    <w:rsid w:val="009669CE"/>
    <w:rsid w:val="009674E8"/>
    <w:rsid w:val="0096764F"/>
    <w:rsid w:val="00970694"/>
    <w:rsid w:val="00971F19"/>
    <w:rsid w:val="00972B2E"/>
    <w:rsid w:val="00972C56"/>
    <w:rsid w:val="00972C9A"/>
    <w:rsid w:val="009732C0"/>
    <w:rsid w:val="009732D5"/>
    <w:rsid w:val="00973DE3"/>
    <w:rsid w:val="00974289"/>
    <w:rsid w:val="00974680"/>
    <w:rsid w:val="00974A38"/>
    <w:rsid w:val="00975F26"/>
    <w:rsid w:val="009769B8"/>
    <w:rsid w:val="00977365"/>
    <w:rsid w:val="0097778C"/>
    <w:rsid w:val="00977CCB"/>
    <w:rsid w:val="0098193A"/>
    <w:rsid w:val="0098299E"/>
    <w:rsid w:val="00983575"/>
    <w:rsid w:val="00984906"/>
    <w:rsid w:val="00985ADA"/>
    <w:rsid w:val="009863A5"/>
    <w:rsid w:val="009866D2"/>
    <w:rsid w:val="00986E16"/>
    <w:rsid w:val="00987842"/>
    <w:rsid w:val="0099090C"/>
    <w:rsid w:val="00991A13"/>
    <w:rsid w:val="00992C1D"/>
    <w:rsid w:val="0099382D"/>
    <w:rsid w:val="009956EE"/>
    <w:rsid w:val="00995F4A"/>
    <w:rsid w:val="00996727"/>
    <w:rsid w:val="009968F4"/>
    <w:rsid w:val="009969D8"/>
    <w:rsid w:val="00997DAE"/>
    <w:rsid w:val="009A06AF"/>
    <w:rsid w:val="009A10BE"/>
    <w:rsid w:val="009A1660"/>
    <w:rsid w:val="009A264F"/>
    <w:rsid w:val="009A286B"/>
    <w:rsid w:val="009A2AB7"/>
    <w:rsid w:val="009A31BD"/>
    <w:rsid w:val="009A3DAB"/>
    <w:rsid w:val="009A4FE5"/>
    <w:rsid w:val="009A5886"/>
    <w:rsid w:val="009A58B1"/>
    <w:rsid w:val="009A6A83"/>
    <w:rsid w:val="009A6DBB"/>
    <w:rsid w:val="009A6E55"/>
    <w:rsid w:val="009A7A2F"/>
    <w:rsid w:val="009A7D78"/>
    <w:rsid w:val="009A7F7D"/>
    <w:rsid w:val="009B0279"/>
    <w:rsid w:val="009B14CE"/>
    <w:rsid w:val="009B256E"/>
    <w:rsid w:val="009B3DC8"/>
    <w:rsid w:val="009B52EC"/>
    <w:rsid w:val="009B5743"/>
    <w:rsid w:val="009B69BB"/>
    <w:rsid w:val="009B7FCE"/>
    <w:rsid w:val="009C0CFD"/>
    <w:rsid w:val="009C1939"/>
    <w:rsid w:val="009C1C4F"/>
    <w:rsid w:val="009C1D6F"/>
    <w:rsid w:val="009C27C2"/>
    <w:rsid w:val="009C3318"/>
    <w:rsid w:val="009C3468"/>
    <w:rsid w:val="009C364D"/>
    <w:rsid w:val="009C43A7"/>
    <w:rsid w:val="009C4A09"/>
    <w:rsid w:val="009C505E"/>
    <w:rsid w:val="009C5587"/>
    <w:rsid w:val="009C66A3"/>
    <w:rsid w:val="009D0289"/>
    <w:rsid w:val="009D1F6D"/>
    <w:rsid w:val="009D25A2"/>
    <w:rsid w:val="009D2718"/>
    <w:rsid w:val="009D3728"/>
    <w:rsid w:val="009D4988"/>
    <w:rsid w:val="009D5B81"/>
    <w:rsid w:val="009D5D26"/>
    <w:rsid w:val="009D68C2"/>
    <w:rsid w:val="009D72F4"/>
    <w:rsid w:val="009E0C8B"/>
    <w:rsid w:val="009E282B"/>
    <w:rsid w:val="009E3A70"/>
    <w:rsid w:val="009E4180"/>
    <w:rsid w:val="009E4F2B"/>
    <w:rsid w:val="009E7A88"/>
    <w:rsid w:val="009F057F"/>
    <w:rsid w:val="009F14E8"/>
    <w:rsid w:val="009F1F21"/>
    <w:rsid w:val="009F2DE9"/>
    <w:rsid w:val="009F2E3E"/>
    <w:rsid w:val="009F2E6E"/>
    <w:rsid w:val="009F2F79"/>
    <w:rsid w:val="009F3094"/>
    <w:rsid w:val="009F384E"/>
    <w:rsid w:val="009F40F3"/>
    <w:rsid w:val="009F494E"/>
    <w:rsid w:val="009F5613"/>
    <w:rsid w:val="009F5982"/>
    <w:rsid w:val="009F60B9"/>
    <w:rsid w:val="009F6DF8"/>
    <w:rsid w:val="009F7417"/>
    <w:rsid w:val="009F78F8"/>
    <w:rsid w:val="00A0085F"/>
    <w:rsid w:val="00A02074"/>
    <w:rsid w:val="00A027E6"/>
    <w:rsid w:val="00A02D54"/>
    <w:rsid w:val="00A03254"/>
    <w:rsid w:val="00A034BA"/>
    <w:rsid w:val="00A04962"/>
    <w:rsid w:val="00A05DCC"/>
    <w:rsid w:val="00A0619B"/>
    <w:rsid w:val="00A06743"/>
    <w:rsid w:val="00A06FA7"/>
    <w:rsid w:val="00A07BC4"/>
    <w:rsid w:val="00A07D16"/>
    <w:rsid w:val="00A105E9"/>
    <w:rsid w:val="00A109AD"/>
    <w:rsid w:val="00A10A7A"/>
    <w:rsid w:val="00A10BC1"/>
    <w:rsid w:val="00A120B2"/>
    <w:rsid w:val="00A12146"/>
    <w:rsid w:val="00A12A96"/>
    <w:rsid w:val="00A14E37"/>
    <w:rsid w:val="00A1557C"/>
    <w:rsid w:val="00A155FA"/>
    <w:rsid w:val="00A15C8B"/>
    <w:rsid w:val="00A16886"/>
    <w:rsid w:val="00A202D0"/>
    <w:rsid w:val="00A20831"/>
    <w:rsid w:val="00A21E48"/>
    <w:rsid w:val="00A2304C"/>
    <w:rsid w:val="00A23836"/>
    <w:rsid w:val="00A23E52"/>
    <w:rsid w:val="00A23F8D"/>
    <w:rsid w:val="00A25767"/>
    <w:rsid w:val="00A25A37"/>
    <w:rsid w:val="00A266F4"/>
    <w:rsid w:val="00A26CD4"/>
    <w:rsid w:val="00A27360"/>
    <w:rsid w:val="00A30308"/>
    <w:rsid w:val="00A30CE1"/>
    <w:rsid w:val="00A31184"/>
    <w:rsid w:val="00A31A5A"/>
    <w:rsid w:val="00A31FEB"/>
    <w:rsid w:val="00A32067"/>
    <w:rsid w:val="00A32D93"/>
    <w:rsid w:val="00A333B7"/>
    <w:rsid w:val="00A3346B"/>
    <w:rsid w:val="00A33AFD"/>
    <w:rsid w:val="00A33FEC"/>
    <w:rsid w:val="00A34D66"/>
    <w:rsid w:val="00A35636"/>
    <w:rsid w:val="00A372ED"/>
    <w:rsid w:val="00A379AC"/>
    <w:rsid w:val="00A37EFD"/>
    <w:rsid w:val="00A4012E"/>
    <w:rsid w:val="00A40665"/>
    <w:rsid w:val="00A40BA6"/>
    <w:rsid w:val="00A43CB0"/>
    <w:rsid w:val="00A44A3C"/>
    <w:rsid w:val="00A44DE5"/>
    <w:rsid w:val="00A450C8"/>
    <w:rsid w:val="00A457AE"/>
    <w:rsid w:val="00A45D3B"/>
    <w:rsid w:val="00A46AE1"/>
    <w:rsid w:val="00A47447"/>
    <w:rsid w:val="00A47CCA"/>
    <w:rsid w:val="00A50977"/>
    <w:rsid w:val="00A50FA4"/>
    <w:rsid w:val="00A5152F"/>
    <w:rsid w:val="00A51D39"/>
    <w:rsid w:val="00A522B5"/>
    <w:rsid w:val="00A524DA"/>
    <w:rsid w:val="00A52CA1"/>
    <w:rsid w:val="00A5341D"/>
    <w:rsid w:val="00A53987"/>
    <w:rsid w:val="00A53ED4"/>
    <w:rsid w:val="00A543DA"/>
    <w:rsid w:val="00A54664"/>
    <w:rsid w:val="00A54FDF"/>
    <w:rsid w:val="00A5611C"/>
    <w:rsid w:val="00A568AB"/>
    <w:rsid w:val="00A578C7"/>
    <w:rsid w:val="00A600DF"/>
    <w:rsid w:val="00A60149"/>
    <w:rsid w:val="00A6071A"/>
    <w:rsid w:val="00A60AF2"/>
    <w:rsid w:val="00A60F46"/>
    <w:rsid w:val="00A60F8D"/>
    <w:rsid w:val="00A610D0"/>
    <w:rsid w:val="00A616D5"/>
    <w:rsid w:val="00A6252A"/>
    <w:rsid w:val="00A6254C"/>
    <w:rsid w:val="00A62782"/>
    <w:rsid w:val="00A62A1C"/>
    <w:rsid w:val="00A632CC"/>
    <w:rsid w:val="00A63A48"/>
    <w:rsid w:val="00A65065"/>
    <w:rsid w:val="00A65278"/>
    <w:rsid w:val="00A6533B"/>
    <w:rsid w:val="00A65D79"/>
    <w:rsid w:val="00A660F0"/>
    <w:rsid w:val="00A66338"/>
    <w:rsid w:val="00A6697E"/>
    <w:rsid w:val="00A67595"/>
    <w:rsid w:val="00A677E6"/>
    <w:rsid w:val="00A67FC8"/>
    <w:rsid w:val="00A7010E"/>
    <w:rsid w:val="00A70179"/>
    <w:rsid w:val="00A725EC"/>
    <w:rsid w:val="00A726A0"/>
    <w:rsid w:val="00A72B47"/>
    <w:rsid w:val="00A73D44"/>
    <w:rsid w:val="00A7451C"/>
    <w:rsid w:val="00A74910"/>
    <w:rsid w:val="00A759A6"/>
    <w:rsid w:val="00A76054"/>
    <w:rsid w:val="00A768E3"/>
    <w:rsid w:val="00A76CC4"/>
    <w:rsid w:val="00A773A8"/>
    <w:rsid w:val="00A77974"/>
    <w:rsid w:val="00A77BCF"/>
    <w:rsid w:val="00A80573"/>
    <w:rsid w:val="00A81C7A"/>
    <w:rsid w:val="00A821D1"/>
    <w:rsid w:val="00A822FA"/>
    <w:rsid w:val="00A83273"/>
    <w:rsid w:val="00A832CE"/>
    <w:rsid w:val="00A83F38"/>
    <w:rsid w:val="00A84008"/>
    <w:rsid w:val="00A84363"/>
    <w:rsid w:val="00A851CD"/>
    <w:rsid w:val="00A851E7"/>
    <w:rsid w:val="00A860E4"/>
    <w:rsid w:val="00A8651E"/>
    <w:rsid w:val="00A8673B"/>
    <w:rsid w:val="00A870E4"/>
    <w:rsid w:val="00A872BA"/>
    <w:rsid w:val="00A878EB"/>
    <w:rsid w:val="00A904D5"/>
    <w:rsid w:val="00A91AB3"/>
    <w:rsid w:val="00A9242D"/>
    <w:rsid w:val="00A927B4"/>
    <w:rsid w:val="00A954D4"/>
    <w:rsid w:val="00A95A2D"/>
    <w:rsid w:val="00A968B3"/>
    <w:rsid w:val="00A96FA3"/>
    <w:rsid w:val="00AA0571"/>
    <w:rsid w:val="00AA077C"/>
    <w:rsid w:val="00AA08FD"/>
    <w:rsid w:val="00AA0C8B"/>
    <w:rsid w:val="00AA0F51"/>
    <w:rsid w:val="00AA1C1F"/>
    <w:rsid w:val="00AA25B7"/>
    <w:rsid w:val="00AA7076"/>
    <w:rsid w:val="00AA783A"/>
    <w:rsid w:val="00AA7C3C"/>
    <w:rsid w:val="00AA7FA1"/>
    <w:rsid w:val="00AB1C08"/>
    <w:rsid w:val="00AB1C41"/>
    <w:rsid w:val="00AB21D7"/>
    <w:rsid w:val="00AB246F"/>
    <w:rsid w:val="00AB2D12"/>
    <w:rsid w:val="00AB4CEF"/>
    <w:rsid w:val="00AB4D3A"/>
    <w:rsid w:val="00AB4E46"/>
    <w:rsid w:val="00AB5210"/>
    <w:rsid w:val="00AB5262"/>
    <w:rsid w:val="00AB5375"/>
    <w:rsid w:val="00AB6CF0"/>
    <w:rsid w:val="00AB6E44"/>
    <w:rsid w:val="00AB7168"/>
    <w:rsid w:val="00AC12A2"/>
    <w:rsid w:val="00AC1440"/>
    <w:rsid w:val="00AC15C3"/>
    <w:rsid w:val="00AC26EA"/>
    <w:rsid w:val="00AC2D76"/>
    <w:rsid w:val="00AC3B8E"/>
    <w:rsid w:val="00AC3E40"/>
    <w:rsid w:val="00AC4232"/>
    <w:rsid w:val="00AC4D64"/>
    <w:rsid w:val="00AC4FC4"/>
    <w:rsid w:val="00AC5000"/>
    <w:rsid w:val="00AC6E43"/>
    <w:rsid w:val="00AC7D3F"/>
    <w:rsid w:val="00AD00CA"/>
    <w:rsid w:val="00AD0AE7"/>
    <w:rsid w:val="00AD105A"/>
    <w:rsid w:val="00AD1621"/>
    <w:rsid w:val="00AD2FC6"/>
    <w:rsid w:val="00AD3181"/>
    <w:rsid w:val="00AD4EA7"/>
    <w:rsid w:val="00AD5C9E"/>
    <w:rsid w:val="00AD6856"/>
    <w:rsid w:val="00AE06AA"/>
    <w:rsid w:val="00AE16FA"/>
    <w:rsid w:val="00AE1CC8"/>
    <w:rsid w:val="00AE2794"/>
    <w:rsid w:val="00AE2CB9"/>
    <w:rsid w:val="00AE2E58"/>
    <w:rsid w:val="00AE3ED2"/>
    <w:rsid w:val="00AE408C"/>
    <w:rsid w:val="00AE4378"/>
    <w:rsid w:val="00AE499C"/>
    <w:rsid w:val="00AE5C22"/>
    <w:rsid w:val="00AE66BF"/>
    <w:rsid w:val="00AE675E"/>
    <w:rsid w:val="00AE6D55"/>
    <w:rsid w:val="00AE7B92"/>
    <w:rsid w:val="00AF1B7B"/>
    <w:rsid w:val="00AF30A5"/>
    <w:rsid w:val="00AF35E7"/>
    <w:rsid w:val="00AF4996"/>
    <w:rsid w:val="00AF6A69"/>
    <w:rsid w:val="00AF6BAA"/>
    <w:rsid w:val="00AF6E8E"/>
    <w:rsid w:val="00AF78D8"/>
    <w:rsid w:val="00B01D05"/>
    <w:rsid w:val="00B02A41"/>
    <w:rsid w:val="00B0460F"/>
    <w:rsid w:val="00B0494F"/>
    <w:rsid w:val="00B0504C"/>
    <w:rsid w:val="00B053EF"/>
    <w:rsid w:val="00B054DF"/>
    <w:rsid w:val="00B0551E"/>
    <w:rsid w:val="00B055FA"/>
    <w:rsid w:val="00B059A9"/>
    <w:rsid w:val="00B06260"/>
    <w:rsid w:val="00B06A38"/>
    <w:rsid w:val="00B07069"/>
    <w:rsid w:val="00B073D5"/>
    <w:rsid w:val="00B128E2"/>
    <w:rsid w:val="00B1303D"/>
    <w:rsid w:val="00B15CA2"/>
    <w:rsid w:val="00B16080"/>
    <w:rsid w:val="00B16313"/>
    <w:rsid w:val="00B16C63"/>
    <w:rsid w:val="00B204AE"/>
    <w:rsid w:val="00B20E02"/>
    <w:rsid w:val="00B21A7B"/>
    <w:rsid w:val="00B21BAC"/>
    <w:rsid w:val="00B21DE1"/>
    <w:rsid w:val="00B2294C"/>
    <w:rsid w:val="00B22951"/>
    <w:rsid w:val="00B22E33"/>
    <w:rsid w:val="00B2384B"/>
    <w:rsid w:val="00B248AC"/>
    <w:rsid w:val="00B2630A"/>
    <w:rsid w:val="00B26448"/>
    <w:rsid w:val="00B27223"/>
    <w:rsid w:val="00B27A66"/>
    <w:rsid w:val="00B322DF"/>
    <w:rsid w:val="00B325D4"/>
    <w:rsid w:val="00B34591"/>
    <w:rsid w:val="00B3463E"/>
    <w:rsid w:val="00B352D1"/>
    <w:rsid w:val="00B36727"/>
    <w:rsid w:val="00B36EF1"/>
    <w:rsid w:val="00B3700E"/>
    <w:rsid w:val="00B370EF"/>
    <w:rsid w:val="00B4085C"/>
    <w:rsid w:val="00B411A7"/>
    <w:rsid w:val="00B41977"/>
    <w:rsid w:val="00B41F96"/>
    <w:rsid w:val="00B430E7"/>
    <w:rsid w:val="00B43360"/>
    <w:rsid w:val="00B43459"/>
    <w:rsid w:val="00B44032"/>
    <w:rsid w:val="00B44DEE"/>
    <w:rsid w:val="00B45190"/>
    <w:rsid w:val="00B45283"/>
    <w:rsid w:val="00B45981"/>
    <w:rsid w:val="00B465BD"/>
    <w:rsid w:val="00B47E88"/>
    <w:rsid w:val="00B503E6"/>
    <w:rsid w:val="00B52F38"/>
    <w:rsid w:val="00B55077"/>
    <w:rsid w:val="00B553C3"/>
    <w:rsid w:val="00B55824"/>
    <w:rsid w:val="00B56A7E"/>
    <w:rsid w:val="00B57DCF"/>
    <w:rsid w:val="00B57DDC"/>
    <w:rsid w:val="00B636B6"/>
    <w:rsid w:val="00B63AC7"/>
    <w:rsid w:val="00B64865"/>
    <w:rsid w:val="00B65E77"/>
    <w:rsid w:val="00B674E1"/>
    <w:rsid w:val="00B67BE8"/>
    <w:rsid w:val="00B67DAF"/>
    <w:rsid w:val="00B67EF2"/>
    <w:rsid w:val="00B70622"/>
    <w:rsid w:val="00B70FCC"/>
    <w:rsid w:val="00B7113B"/>
    <w:rsid w:val="00B71C8B"/>
    <w:rsid w:val="00B72629"/>
    <w:rsid w:val="00B726EB"/>
    <w:rsid w:val="00B736A3"/>
    <w:rsid w:val="00B7397A"/>
    <w:rsid w:val="00B73E12"/>
    <w:rsid w:val="00B748FC"/>
    <w:rsid w:val="00B74F98"/>
    <w:rsid w:val="00B75485"/>
    <w:rsid w:val="00B76542"/>
    <w:rsid w:val="00B76F56"/>
    <w:rsid w:val="00B772DC"/>
    <w:rsid w:val="00B77495"/>
    <w:rsid w:val="00B77584"/>
    <w:rsid w:val="00B809ED"/>
    <w:rsid w:val="00B80D70"/>
    <w:rsid w:val="00B81433"/>
    <w:rsid w:val="00B81793"/>
    <w:rsid w:val="00B8196F"/>
    <w:rsid w:val="00B8225E"/>
    <w:rsid w:val="00B82710"/>
    <w:rsid w:val="00B82766"/>
    <w:rsid w:val="00B82D23"/>
    <w:rsid w:val="00B84E21"/>
    <w:rsid w:val="00B8669F"/>
    <w:rsid w:val="00B866CD"/>
    <w:rsid w:val="00B87008"/>
    <w:rsid w:val="00B8725B"/>
    <w:rsid w:val="00B876B5"/>
    <w:rsid w:val="00B876B6"/>
    <w:rsid w:val="00B877AC"/>
    <w:rsid w:val="00B877F7"/>
    <w:rsid w:val="00B91625"/>
    <w:rsid w:val="00B919E6"/>
    <w:rsid w:val="00B92CDA"/>
    <w:rsid w:val="00B93021"/>
    <w:rsid w:val="00B9445E"/>
    <w:rsid w:val="00B945E4"/>
    <w:rsid w:val="00B951C7"/>
    <w:rsid w:val="00B9566F"/>
    <w:rsid w:val="00B966E8"/>
    <w:rsid w:val="00B970AD"/>
    <w:rsid w:val="00B97956"/>
    <w:rsid w:val="00BA09B9"/>
    <w:rsid w:val="00BA0B4C"/>
    <w:rsid w:val="00BA1B67"/>
    <w:rsid w:val="00BA250C"/>
    <w:rsid w:val="00BA2B07"/>
    <w:rsid w:val="00BA2F6C"/>
    <w:rsid w:val="00BA2F9E"/>
    <w:rsid w:val="00BA31CC"/>
    <w:rsid w:val="00BA3FFE"/>
    <w:rsid w:val="00BA414E"/>
    <w:rsid w:val="00BA4DAC"/>
    <w:rsid w:val="00BA67A5"/>
    <w:rsid w:val="00BA7EF2"/>
    <w:rsid w:val="00BB0619"/>
    <w:rsid w:val="00BB09F8"/>
    <w:rsid w:val="00BB0B91"/>
    <w:rsid w:val="00BB23E5"/>
    <w:rsid w:val="00BB2D18"/>
    <w:rsid w:val="00BB3B73"/>
    <w:rsid w:val="00BB4AE7"/>
    <w:rsid w:val="00BB4F39"/>
    <w:rsid w:val="00BB4FB7"/>
    <w:rsid w:val="00BB5179"/>
    <w:rsid w:val="00BB544F"/>
    <w:rsid w:val="00BB71FF"/>
    <w:rsid w:val="00BC095E"/>
    <w:rsid w:val="00BC10BF"/>
    <w:rsid w:val="00BC4DBC"/>
    <w:rsid w:val="00BC59BD"/>
    <w:rsid w:val="00BC7181"/>
    <w:rsid w:val="00BC7ECA"/>
    <w:rsid w:val="00BD00B8"/>
    <w:rsid w:val="00BD05EF"/>
    <w:rsid w:val="00BD07B0"/>
    <w:rsid w:val="00BD0B3B"/>
    <w:rsid w:val="00BD0D9C"/>
    <w:rsid w:val="00BD0FC2"/>
    <w:rsid w:val="00BD3F02"/>
    <w:rsid w:val="00BD4638"/>
    <w:rsid w:val="00BD486A"/>
    <w:rsid w:val="00BD4DE7"/>
    <w:rsid w:val="00BD5A9C"/>
    <w:rsid w:val="00BD772E"/>
    <w:rsid w:val="00BE0AF5"/>
    <w:rsid w:val="00BE2601"/>
    <w:rsid w:val="00BE304E"/>
    <w:rsid w:val="00BE36CD"/>
    <w:rsid w:val="00BE3C37"/>
    <w:rsid w:val="00BE3C45"/>
    <w:rsid w:val="00BE3C5B"/>
    <w:rsid w:val="00BE41F4"/>
    <w:rsid w:val="00BE47E9"/>
    <w:rsid w:val="00BE5578"/>
    <w:rsid w:val="00BE71CB"/>
    <w:rsid w:val="00BE7375"/>
    <w:rsid w:val="00BE7C20"/>
    <w:rsid w:val="00BE7FBE"/>
    <w:rsid w:val="00BF03A0"/>
    <w:rsid w:val="00BF088A"/>
    <w:rsid w:val="00BF0F73"/>
    <w:rsid w:val="00BF14FB"/>
    <w:rsid w:val="00BF2028"/>
    <w:rsid w:val="00BF2D81"/>
    <w:rsid w:val="00BF30E8"/>
    <w:rsid w:val="00BF49E1"/>
    <w:rsid w:val="00BF4A7B"/>
    <w:rsid w:val="00BF4B10"/>
    <w:rsid w:val="00BF515F"/>
    <w:rsid w:val="00BF5C04"/>
    <w:rsid w:val="00BF7176"/>
    <w:rsid w:val="00BF74E5"/>
    <w:rsid w:val="00BF751D"/>
    <w:rsid w:val="00BF7BF3"/>
    <w:rsid w:val="00C00C23"/>
    <w:rsid w:val="00C02B30"/>
    <w:rsid w:val="00C032E3"/>
    <w:rsid w:val="00C04C75"/>
    <w:rsid w:val="00C04F9E"/>
    <w:rsid w:val="00C06468"/>
    <w:rsid w:val="00C067BD"/>
    <w:rsid w:val="00C076ED"/>
    <w:rsid w:val="00C10758"/>
    <w:rsid w:val="00C109B2"/>
    <w:rsid w:val="00C11963"/>
    <w:rsid w:val="00C1263B"/>
    <w:rsid w:val="00C1329C"/>
    <w:rsid w:val="00C13671"/>
    <w:rsid w:val="00C139D5"/>
    <w:rsid w:val="00C13C02"/>
    <w:rsid w:val="00C13C48"/>
    <w:rsid w:val="00C1553E"/>
    <w:rsid w:val="00C16291"/>
    <w:rsid w:val="00C16C2D"/>
    <w:rsid w:val="00C171B2"/>
    <w:rsid w:val="00C1765E"/>
    <w:rsid w:val="00C176E9"/>
    <w:rsid w:val="00C177F5"/>
    <w:rsid w:val="00C20625"/>
    <w:rsid w:val="00C20931"/>
    <w:rsid w:val="00C2097C"/>
    <w:rsid w:val="00C21A8A"/>
    <w:rsid w:val="00C21BAF"/>
    <w:rsid w:val="00C22B1A"/>
    <w:rsid w:val="00C22E02"/>
    <w:rsid w:val="00C23DEB"/>
    <w:rsid w:val="00C24137"/>
    <w:rsid w:val="00C244B1"/>
    <w:rsid w:val="00C244C8"/>
    <w:rsid w:val="00C25CCC"/>
    <w:rsid w:val="00C260B4"/>
    <w:rsid w:val="00C2682D"/>
    <w:rsid w:val="00C309F3"/>
    <w:rsid w:val="00C31011"/>
    <w:rsid w:val="00C33DD7"/>
    <w:rsid w:val="00C33FEA"/>
    <w:rsid w:val="00C3459A"/>
    <w:rsid w:val="00C3588D"/>
    <w:rsid w:val="00C36293"/>
    <w:rsid w:val="00C372DC"/>
    <w:rsid w:val="00C37CB0"/>
    <w:rsid w:val="00C37CE7"/>
    <w:rsid w:val="00C4081D"/>
    <w:rsid w:val="00C414B5"/>
    <w:rsid w:val="00C423FE"/>
    <w:rsid w:val="00C43FD1"/>
    <w:rsid w:val="00C450B8"/>
    <w:rsid w:val="00C455EB"/>
    <w:rsid w:val="00C46539"/>
    <w:rsid w:val="00C46685"/>
    <w:rsid w:val="00C46D9E"/>
    <w:rsid w:val="00C507DD"/>
    <w:rsid w:val="00C50C84"/>
    <w:rsid w:val="00C51BC3"/>
    <w:rsid w:val="00C5200A"/>
    <w:rsid w:val="00C52B09"/>
    <w:rsid w:val="00C52BA4"/>
    <w:rsid w:val="00C53244"/>
    <w:rsid w:val="00C53A0A"/>
    <w:rsid w:val="00C5476B"/>
    <w:rsid w:val="00C54819"/>
    <w:rsid w:val="00C548E5"/>
    <w:rsid w:val="00C54F96"/>
    <w:rsid w:val="00C564BB"/>
    <w:rsid w:val="00C57261"/>
    <w:rsid w:val="00C5796F"/>
    <w:rsid w:val="00C579A8"/>
    <w:rsid w:val="00C57E4F"/>
    <w:rsid w:val="00C600C9"/>
    <w:rsid w:val="00C60503"/>
    <w:rsid w:val="00C60715"/>
    <w:rsid w:val="00C6079B"/>
    <w:rsid w:val="00C60C8C"/>
    <w:rsid w:val="00C61E34"/>
    <w:rsid w:val="00C621FA"/>
    <w:rsid w:val="00C636AF"/>
    <w:rsid w:val="00C6413A"/>
    <w:rsid w:val="00C643E7"/>
    <w:rsid w:val="00C64C16"/>
    <w:rsid w:val="00C65558"/>
    <w:rsid w:val="00C65D0B"/>
    <w:rsid w:val="00C66A76"/>
    <w:rsid w:val="00C67508"/>
    <w:rsid w:val="00C70E50"/>
    <w:rsid w:val="00C729E5"/>
    <w:rsid w:val="00C73A63"/>
    <w:rsid w:val="00C73C4C"/>
    <w:rsid w:val="00C7411E"/>
    <w:rsid w:val="00C7451C"/>
    <w:rsid w:val="00C748D5"/>
    <w:rsid w:val="00C75204"/>
    <w:rsid w:val="00C75381"/>
    <w:rsid w:val="00C765DA"/>
    <w:rsid w:val="00C773CC"/>
    <w:rsid w:val="00C80AF3"/>
    <w:rsid w:val="00C8105A"/>
    <w:rsid w:val="00C82979"/>
    <w:rsid w:val="00C82DAF"/>
    <w:rsid w:val="00C83EB0"/>
    <w:rsid w:val="00C8431F"/>
    <w:rsid w:val="00C84995"/>
    <w:rsid w:val="00C84EF4"/>
    <w:rsid w:val="00C8570D"/>
    <w:rsid w:val="00C86F83"/>
    <w:rsid w:val="00C8718C"/>
    <w:rsid w:val="00C87C3C"/>
    <w:rsid w:val="00C90067"/>
    <w:rsid w:val="00C90BEB"/>
    <w:rsid w:val="00C90C07"/>
    <w:rsid w:val="00C90DEF"/>
    <w:rsid w:val="00C91529"/>
    <w:rsid w:val="00C920FE"/>
    <w:rsid w:val="00C92A46"/>
    <w:rsid w:val="00C92FC0"/>
    <w:rsid w:val="00C93E00"/>
    <w:rsid w:val="00C94836"/>
    <w:rsid w:val="00C9543D"/>
    <w:rsid w:val="00C957B2"/>
    <w:rsid w:val="00C9609D"/>
    <w:rsid w:val="00C9637C"/>
    <w:rsid w:val="00C96692"/>
    <w:rsid w:val="00C976AA"/>
    <w:rsid w:val="00C97BE9"/>
    <w:rsid w:val="00C97BED"/>
    <w:rsid w:val="00CA0EB3"/>
    <w:rsid w:val="00CA2A0D"/>
    <w:rsid w:val="00CA3FE2"/>
    <w:rsid w:val="00CA4C6D"/>
    <w:rsid w:val="00CA5EED"/>
    <w:rsid w:val="00CA630C"/>
    <w:rsid w:val="00CA6660"/>
    <w:rsid w:val="00CA6EBA"/>
    <w:rsid w:val="00CA77CA"/>
    <w:rsid w:val="00CB0669"/>
    <w:rsid w:val="00CB0978"/>
    <w:rsid w:val="00CB1DBD"/>
    <w:rsid w:val="00CB2742"/>
    <w:rsid w:val="00CB3DB8"/>
    <w:rsid w:val="00CB44D3"/>
    <w:rsid w:val="00CB5DB2"/>
    <w:rsid w:val="00CB61FE"/>
    <w:rsid w:val="00CB6411"/>
    <w:rsid w:val="00CB6BA4"/>
    <w:rsid w:val="00CB6E24"/>
    <w:rsid w:val="00CB7433"/>
    <w:rsid w:val="00CB7459"/>
    <w:rsid w:val="00CB78EE"/>
    <w:rsid w:val="00CB7A3D"/>
    <w:rsid w:val="00CC0C35"/>
    <w:rsid w:val="00CC0F22"/>
    <w:rsid w:val="00CC1820"/>
    <w:rsid w:val="00CC2431"/>
    <w:rsid w:val="00CC26A9"/>
    <w:rsid w:val="00CC2C4E"/>
    <w:rsid w:val="00CC3602"/>
    <w:rsid w:val="00CC3F1F"/>
    <w:rsid w:val="00CC3F34"/>
    <w:rsid w:val="00CC426E"/>
    <w:rsid w:val="00CC5DA3"/>
    <w:rsid w:val="00CC6206"/>
    <w:rsid w:val="00CC6B9F"/>
    <w:rsid w:val="00CC6BE9"/>
    <w:rsid w:val="00CC7753"/>
    <w:rsid w:val="00CD1201"/>
    <w:rsid w:val="00CD16D1"/>
    <w:rsid w:val="00CD19E2"/>
    <w:rsid w:val="00CD1E5A"/>
    <w:rsid w:val="00CD23CE"/>
    <w:rsid w:val="00CD3215"/>
    <w:rsid w:val="00CD3561"/>
    <w:rsid w:val="00CD3FF3"/>
    <w:rsid w:val="00CD4FE0"/>
    <w:rsid w:val="00CD5ACE"/>
    <w:rsid w:val="00CD6316"/>
    <w:rsid w:val="00CD63A1"/>
    <w:rsid w:val="00CD6A81"/>
    <w:rsid w:val="00CD75E6"/>
    <w:rsid w:val="00CD77B5"/>
    <w:rsid w:val="00CD7EAF"/>
    <w:rsid w:val="00CE2152"/>
    <w:rsid w:val="00CE2189"/>
    <w:rsid w:val="00CE2315"/>
    <w:rsid w:val="00CE24FC"/>
    <w:rsid w:val="00CE2C57"/>
    <w:rsid w:val="00CE33A0"/>
    <w:rsid w:val="00CE3484"/>
    <w:rsid w:val="00CE42D0"/>
    <w:rsid w:val="00CE6A0A"/>
    <w:rsid w:val="00CF0594"/>
    <w:rsid w:val="00CF1C61"/>
    <w:rsid w:val="00CF1E73"/>
    <w:rsid w:val="00CF269F"/>
    <w:rsid w:val="00CF2735"/>
    <w:rsid w:val="00CF28B5"/>
    <w:rsid w:val="00CF3309"/>
    <w:rsid w:val="00CF3784"/>
    <w:rsid w:val="00CF5041"/>
    <w:rsid w:val="00CF6B92"/>
    <w:rsid w:val="00CF7667"/>
    <w:rsid w:val="00D00B45"/>
    <w:rsid w:val="00D01726"/>
    <w:rsid w:val="00D02C8B"/>
    <w:rsid w:val="00D02E65"/>
    <w:rsid w:val="00D0355B"/>
    <w:rsid w:val="00D04279"/>
    <w:rsid w:val="00D042E4"/>
    <w:rsid w:val="00D04693"/>
    <w:rsid w:val="00D046F9"/>
    <w:rsid w:val="00D04B59"/>
    <w:rsid w:val="00D0515E"/>
    <w:rsid w:val="00D05419"/>
    <w:rsid w:val="00D05889"/>
    <w:rsid w:val="00D071CA"/>
    <w:rsid w:val="00D07F30"/>
    <w:rsid w:val="00D10F9C"/>
    <w:rsid w:val="00D1170B"/>
    <w:rsid w:val="00D13089"/>
    <w:rsid w:val="00D142B7"/>
    <w:rsid w:val="00D14393"/>
    <w:rsid w:val="00D14E23"/>
    <w:rsid w:val="00D15497"/>
    <w:rsid w:val="00D154BF"/>
    <w:rsid w:val="00D15A96"/>
    <w:rsid w:val="00D15B43"/>
    <w:rsid w:val="00D16449"/>
    <w:rsid w:val="00D20FF2"/>
    <w:rsid w:val="00D2155A"/>
    <w:rsid w:val="00D22043"/>
    <w:rsid w:val="00D23C32"/>
    <w:rsid w:val="00D23D35"/>
    <w:rsid w:val="00D2435A"/>
    <w:rsid w:val="00D24A5E"/>
    <w:rsid w:val="00D24C6A"/>
    <w:rsid w:val="00D2594A"/>
    <w:rsid w:val="00D27021"/>
    <w:rsid w:val="00D273F2"/>
    <w:rsid w:val="00D27B33"/>
    <w:rsid w:val="00D30B76"/>
    <w:rsid w:val="00D31076"/>
    <w:rsid w:val="00D31412"/>
    <w:rsid w:val="00D31414"/>
    <w:rsid w:val="00D3199E"/>
    <w:rsid w:val="00D32A2D"/>
    <w:rsid w:val="00D33790"/>
    <w:rsid w:val="00D33B4C"/>
    <w:rsid w:val="00D33CFE"/>
    <w:rsid w:val="00D35E8B"/>
    <w:rsid w:val="00D3601A"/>
    <w:rsid w:val="00D3608D"/>
    <w:rsid w:val="00D36C25"/>
    <w:rsid w:val="00D3771F"/>
    <w:rsid w:val="00D379EF"/>
    <w:rsid w:val="00D37FAB"/>
    <w:rsid w:val="00D40709"/>
    <w:rsid w:val="00D41FCE"/>
    <w:rsid w:val="00D422C4"/>
    <w:rsid w:val="00D4283C"/>
    <w:rsid w:val="00D431EA"/>
    <w:rsid w:val="00D46FC3"/>
    <w:rsid w:val="00D47749"/>
    <w:rsid w:val="00D47AFA"/>
    <w:rsid w:val="00D51887"/>
    <w:rsid w:val="00D5262B"/>
    <w:rsid w:val="00D532EA"/>
    <w:rsid w:val="00D53368"/>
    <w:rsid w:val="00D535B9"/>
    <w:rsid w:val="00D53D55"/>
    <w:rsid w:val="00D546AF"/>
    <w:rsid w:val="00D551BB"/>
    <w:rsid w:val="00D55B36"/>
    <w:rsid w:val="00D566F5"/>
    <w:rsid w:val="00D5698C"/>
    <w:rsid w:val="00D611E2"/>
    <w:rsid w:val="00D6121A"/>
    <w:rsid w:val="00D635EB"/>
    <w:rsid w:val="00D64358"/>
    <w:rsid w:val="00D6489B"/>
    <w:rsid w:val="00D65582"/>
    <w:rsid w:val="00D65737"/>
    <w:rsid w:val="00D658C0"/>
    <w:rsid w:val="00D65CE3"/>
    <w:rsid w:val="00D65EC3"/>
    <w:rsid w:val="00D66349"/>
    <w:rsid w:val="00D66466"/>
    <w:rsid w:val="00D67922"/>
    <w:rsid w:val="00D7177C"/>
    <w:rsid w:val="00D717A8"/>
    <w:rsid w:val="00D71D79"/>
    <w:rsid w:val="00D734A7"/>
    <w:rsid w:val="00D75552"/>
    <w:rsid w:val="00D75FAC"/>
    <w:rsid w:val="00D76DF0"/>
    <w:rsid w:val="00D76F31"/>
    <w:rsid w:val="00D77345"/>
    <w:rsid w:val="00D77782"/>
    <w:rsid w:val="00D802B6"/>
    <w:rsid w:val="00D80D2D"/>
    <w:rsid w:val="00D81C4E"/>
    <w:rsid w:val="00D82888"/>
    <w:rsid w:val="00D82EC0"/>
    <w:rsid w:val="00D8338C"/>
    <w:rsid w:val="00D83BC9"/>
    <w:rsid w:val="00D84459"/>
    <w:rsid w:val="00D84C0F"/>
    <w:rsid w:val="00D855D9"/>
    <w:rsid w:val="00D8603E"/>
    <w:rsid w:val="00D87C4B"/>
    <w:rsid w:val="00D90F8C"/>
    <w:rsid w:val="00D910C9"/>
    <w:rsid w:val="00D92DEB"/>
    <w:rsid w:val="00D92E04"/>
    <w:rsid w:val="00D956FB"/>
    <w:rsid w:val="00D96050"/>
    <w:rsid w:val="00D963A1"/>
    <w:rsid w:val="00D965DD"/>
    <w:rsid w:val="00D968FC"/>
    <w:rsid w:val="00D97234"/>
    <w:rsid w:val="00D97B43"/>
    <w:rsid w:val="00DA01B3"/>
    <w:rsid w:val="00DA0E28"/>
    <w:rsid w:val="00DA16B2"/>
    <w:rsid w:val="00DA18DC"/>
    <w:rsid w:val="00DA1E29"/>
    <w:rsid w:val="00DA2F32"/>
    <w:rsid w:val="00DA325E"/>
    <w:rsid w:val="00DA3DAC"/>
    <w:rsid w:val="00DA57FC"/>
    <w:rsid w:val="00DA59CC"/>
    <w:rsid w:val="00DA5F4A"/>
    <w:rsid w:val="00DA5F54"/>
    <w:rsid w:val="00DA71D0"/>
    <w:rsid w:val="00DA7EA2"/>
    <w:rsid w:val="00DB0999"/>
    <w:rsid w:val="00DB0FA2"/>
    <w:rsid w:val="00DB1511"/>
    <w:rsid w:val="00DB1D80"/>
    <w:rsid w:val="00DB1F56"/>
    <w:rsid w:val="00DB2204"/>
    <w:rsid w:val="00DB22EE"/>
    <w:rsid w:val="00DB272A"/>
    <w:rsid w:val="00DB3F2E"/>
    <w:rsid w:val="00DB429A"/>
    <w:rsid w:val="00DB5713"/>
    <w:rsid w:val="00DC0905"/>
    <w:rsid w:val="00DC122F"/>
    <w:rsid w:val="00DC2BAE"/>
    <w:rsid w:val="00DC2D80"/>
    <w:rsid w:val="00DC2E5F"/>
    <w:rsid w:val="00DC3323"/>
    <w:rsid w:val="00DC34F0"/>
    <w:rsid w:val="00DC516A"/>
    <w:rsid w:val="00DC5A19"/>
    <w:rsid w:val="00DC6263"/>
    <w:rsid w:val="00DC7C4C"/>
    <w:rsid w:val="00DD04EC"/>
    <w:rsid w:val="00DD0508"/>
    <w:rsid w:val="00DD099C"/>
    <w:rsid w:val="00DD1444"/>
    <w:rsid w:val="00DD2240"/>
    <w:rsid w:val="00DD31ED"/>
    <w:rsid w:val="00DD3AAC"/>
    <w:rsid w:val="00DD446A"/>
    <w:rsid w:val="00DD45C1"/>
    <w:rsid w:val="00DD4734"/>
    <w:rsid w:val="00DD48A7"/>
    <w:rsid w:val="00DD4C5F"/>
    <w:rsid w:val="00DD6F66"/>
    <w:rsid w:val="00DE0279"/>
    <w:rsid w:val="00DE13D3"/>
    <w:rsid w:val="00DE2175"/>
    <w:rsid w:val="00DE3979"/>
    <w:rsid w:val="00DE4720"/>
    <w:rsid w:val="00DE4E18"/>
    <w:rsid w:val="00DE5090"/>
    <w:rsid w:val="00DE57B7"/>
    <w:rsid w:val="00DE5A6D"/>
    <w:rsid w:val="00DE628B"/>
    <w:rsid w:val="00DE6322"/>
    <w:rsid w:val="00DE63AE"/>
    <w:rsid w:val="00DE7250"/>
    <w:rsid w:val="00DE745A"/>
    <w:rsid w:val="00DE7FBB"/>
    <w:rsid w:val="00DF013D"/>
    <w:rsid w:val="00DF0356"/>
    <w:rsid w:val="00DF1093"/>
    <w:rsid w:val="00DF1252"/>
    <w:rsid w:val="00DF1C55"/>
    <w:rsid w:val="00DF3540"/>
    <w:rsid w:val="00DF3A1D"/>
    <w:rsid w:val="00DF5570"/>
    <w:rsid w:val="00DF580A"/>
    <w:rsid w:val="00DF59BE"/>
    <w:rsid w:val="00DF5E16"/>
    <w:rsid w:val="00DF5E88"/>
    <w:rsid w:val="00DF63B6"/>
    <w:rsid w:val="00DF6733"/>
    <w:rsid w:val="00E00466"/>
    <w:rsid w:val="00E00770"/>
    <w:rsid w:val="00E00DB6"/>
    <w:rsid w:val="00E00E9B"/>
    <w:rsid w:val="00E03677"/>
    <w:rsid w:val="00E03A2F"/>
    <w:rsid w:val="00E03F2E"/>
    <w:rsid w:val="00E0470C"/>
    <w:rsid w:val="00E04C10"/>
    <w:rsid w:val="00E0621C"/>
    <w:rsid w:val="00E07AA6"/>
    <w:rsid w:val="00E10B82"/>
    <w:rsid w:val="00E11B56"/>
    <w:rsid w:val="00E123CE"/>
    <w:rsid w:val="00E1341D"/>
    <w:rsid w:val="00E13C75"/>
    <w:rsid w:val="00E14C9F"/>
    <w:rsid w:val="00E15940"/>
    <w:rsid w:val="00E15D46"/>
    <w:rsid w:val="00E17246"/>
    <w:rsid w:val="00E17BC0"/>
    <w:rsid w:val="00E20112"/>
    <w:rsid w:val="00E2030D"/>
    <w:rsid w:val="00E20C4D"/>
    <w:rsid w:val="00E20FEE"/>
    <w:rsid w:val="00E21692"/>
    <w:rsid w:val="00E22450"/>
    <w:rsid w:val="00E23493"/>
    <w:rsid w:val="00E2356B"/>
    <w:rsid w:val="00E23843"/>
    <w:rsid w:val="00E239FF"/>
    <w:rsid w:val="00E23B66"/>
    <w:rsid w:val="00E23B69"/>
    <w:rsid w:val="00E243DC"/>
    <w:rsid w:val="00E24A75"/>
    <w:rsid w:val="00E24C21"/>
    <w:rsid w:val="00E24FAE"/>
    <w:rsid w:val="00E25241"/>
    <w:rsid w:val="00E25DE4"/>
    <w:rsid w:val="00E265A3"/>
    <w:rsid w:val="00E30B03"/>
    <w:rsid w:val="00E312C1"/>
    <w:rsid w:val="00E3153C"/>
    <w:rsid w:val="00E315D4"/>
    <w:rsid w:val="00E31DC1"/>
    <w:rsid w:val="00E322C5"/>
    <w:rsid w:val="00E33381"/>
    <w:rsid w:val="00E33A82"/>
    <w:rsid w:val="00E33EBC"/>
    <w:rsid w:val="00E33ECD"/>
    <w:rsid w:val="00E34760"/>
    <w:rsid w:val="00E34B39"/>
    <w:rsid w:val="00E358E9"/>
    <w:rsid w:val="00E3727D"/>
    <w:rsid w:val="00E40213"/>
    <w:rsid w:val="00E4185B"/>
    <w:rsid w:val="00E41934"/>
    <w:rsid w:val="00E423AA"/>
    <w:rsid w:val="00E4266D"/>
    <w:rsid w:val="00E42755"/>
    <w:rsid w:val="00E42F8D"/>
    <w:rsid w:val="00E43424"/>
    <w:rsid w:val="00E43CF8"/>
    <w:rsid w:val="00E43EED"/>
    <w:rsid w:val="00E442AA"/>
    <w:rsid w:val="00E45BBE"/>
    <w:rsid w:val="00E46472"/>
    <w:rsid w:val="00E466A2"/>
    <w:rsid w:val="00E47853"/>
    <w:rsid w:val="00E47EA0"/>
    <w:rsid w:val="00E501D3"/>
    <w:rsid w:val="00E516A1"/>
    <w:rsid w:val="00E51AB2"/>
    <w:rsid w:val="00E53724"/>
    <w:rsid w:val="00E53C8F"/>
    <w:rsid w:val="00E5438D"/>
    <w:rsid w:val="00E54BD8"/>
    <w:rsid w:val="00E56110"/>
    <w:rsid w:val="00E568B5"/>
    <w:rsid w:val="00E56D1B"/>
    <w:rsid w:val="00E5779D"/>
    <w:rsid w:val="00E6010F"/>
    <w:rsid w:val="00E60795"/>
    <w:rsid w:val="00E60A51"/>
    <w:rsid w:val="00E61E1A"/>
    <w:rsid w:val="00E621A3"/>
    <w:rsid w:val="00E6375E"/>
    <w:rsid w:val="00E6377B"/>
    <w:rsid w:val="00E64FBC"/>
    <w:rsid w:val="00E654C0"/>
    <w:rsid w:val="00E66087"/>
    <w:rsid w:val="00E67F75"/>
    <w:rsid w:val="00E7010D"/>
    <w:rsid w:val="00E7041A"/>
    <w:rsid w:val="00E70691"/>
    <w:rsid w:val="00E7078C"/>
    <w:rsid w:val="00E70A78"/>
    <w:rsid w:val="00E718AC"/>
    <w:rsid w:val="00E71A64"/>
    <w:rsid w:val="00E71EE2"/>
    <w:rsid w:val="00E72992"/>
    <w:rsid w:val="00E72EF2"/>
    <w:rsid w:val="00E73428"/>
    <w:rsid w:val="00E735AC"/>
    <w:rsid w:val="00E737CA"/>
    <w:rsid w:val="00E74967"/>
    <w:rsid w:val="00E74A06"/>
    <w:rsid w:val="00E74ACA"/>
    <w:rsid w:val="00E7619B"/>
    <w:rsid w:val="00E765D0"/>
    <w:rsid w:val="00E7674A"/>
    <w:rsid w:val="00E77AA8"/>
    <w:rsid w:val="00E8065F"/>
    <w:rsid w:val="00E81A9C"/>
    <w:rsid w:val="00E82420"/>
    <w:rsid w:val="00E829DF"/>
    <w:rsid w:val="00E82B12"/>
    <w:rsid w:val="00E8302D"/>
    <w:rsid w:val="00E83620"/>
    <w:rsid w:val="00E83ED5"/>
    <w:rsid w:val="00E843FD"/>
    <w:rsid w:val="00E84ACE"/>
    <w:rsid w:val="00E85277"/>
    <w:rsid w:val="00E86632"/>
    <w:rsid w:val="00E8691A"/>
    <w:rsid w:val="00E86AD9"/>
    <w:rsid w:val="00E87D9E"/>
    <w:rsid w:val="00E901D5"/>
    <w:rsid w:val="00E918D1"/>
    <w:rsid w:val="00E921AB"/>
    <w:rsid w:val="00E92447"/>
    <w:rsid w:val="00E9395F"/>
    <w:rsid w:val="00E93F0B"/>
    <w:rsid w:val="00E94E84"/>
    <w:rsid w:val="00E9502F"/>
    <w:rsid w:val="00E95439"/>
    <w:rsid w:val="00E96582"/>
    <w:rsid w:val="00EA0374"/>
    <w:rsid w:val="00EA10C3"/>
    <w:rsid w:val="00EA1F33"/>
    <w:rsid w:val="00EA2470"/>
    <w:rsid w:val="00EA3AF3"/>
    <w:rsid w:val="00EA3CE8"/>
    <w:rsid w:val="00EA4118"/>
    <w:rsid w:val="00EA479E"/>
    <w:rsid w:val="00EA71C2"/>
    <w:rsid w:val="00EA7517"/>
    <w:rsid w:val="00EA7B92"/>
    <w:rsid w:val="00EB0137"/>
    <w:rsid w:val="00EB130D"/>
    <w:rsid w:val="00EB15F3"/>
    <w:rsid w:val="00EB1FDF"/>
    <w:rsid w:val="00EB2DEC"/>
    <w:rsid w:val="00EB37A7"/>
    <w:rsid w:val="00EB3900"/>
    <w:rsid w:val="00EB3CB7"/>
    <w:rsid w:val="00EB4C37"/>
    <w:rsid w:val="00EB4D22"/>
    <w:rsid w:val="00EB5A67"/>
    <w:rsid w:val="00EB6B22"/>
    <w:rsid w:val="00EB744A"/>
    <w:rsid w:val="00EB78E0"/>
    <w:rsid w:val="00EB7D34"/>
    <w:rsid w:val="00EC17C9"/>
    <w:rsid w:val="00EC1F35"/>
    <w:rsid w:val="00EC3F68"/>
    <w:rsid w:val="00EC447E"/>
    <w:rsid w:val="00EC52CA"/>
    <w:rsid w:val="00EC5CDC"/>
    <w:rsid w:val="00EC5E09"/>
    <w:rsid w:val="00EC70FF"/>
    <w:rsid w:val="00EC7B59"/>
    <w:rsid w:val="00ED0181"/>
    <w:rsid w:val="00ED099E"/>
    <w:rsid w:val="00ED0A7C"/>
    <w:rsid w:val="00ED2F51"/>
    <w:rsid w:val="00ED2FA8"/>
    <w:rsid w:val="00ED3825"/>
    <w:rsid w:val="00ED3B38"/>
    <w:rsid w:val="00ED4537"/>
    <w:rsid w:val="00ED528B"/>
    <w:rsid w:val="00ED5322"/>
    <w:rsid w:val="00ED5679"/>
    <w:rsid w:val="00ED5998"/>
    <w:rsid w:val="00ED5F98"/>
    <w:rsid w:val="00ED62BD"/>
    <w:rsid w:val="00ED7B82"/>
    <w:rsid w:val="00ED7C85"/>
    <w:rsid w:val="00EE2057"/>
    <w:rsid w:val="00EE2804"/>
    <w:rsid w:val="00EE2D3F"/>
    <w:rsid w:val="00EE2EEA"/>
    <w:rsid w:val="00EE37C0"/>
    <w:rsid w:val="00EE3835"/>
    <w:rsid w:val="00EE3958"/>
    <w:rsid w:val="00EE40DF"/>
    <w:rsid w:val="00EE4676"/>
    <w:rsid w:val="00EE51BC"/>
    <w:rsid w:val="00EE51DF"/>
    <w:rsid w:val="00EE57FA"/>
    <w:rsid w:val="00EE61D5"/>
    <w:rsid w:val="00EE6366"/>
    <w:rsid w:val="00EE6CA8"/>
    <w:rsid w:val="00EE7251"/>
    <w:rsid w:val="00EE77E8"/>
    <w:rsid w:val="00EE790C"/>
    <w:rsid w:val="00EF0042"/>
    <w:rsid w:val="00EF04CD"/>
    <w:rsid w:val="00EF0A71"/>
    <w:rsid w:val="00EF1570"/>
    <w:rsid w:val="00EF26F8"/>
    <w:rsid w:val="00EF2A6B"/>
    <w:rsid w:val="00EF34AA"/>
    <w:rsid w:val="00EF3FB5"/>
    <w:rsid w:val="00EF5A20"/>
    <w:rsid w:val="00EF5FD9"/>
    <w:rsid w:val="00EF656E"/>
    <w:rsid w:val="00EF6B4D"/>
    <w:rsid w:val="00EF797C"/>
    <w:rsid w:val="00F00549"/>
    <w:rsid w:val="00F0103C"/>
    <w:rsid w:val="00F013AE"/>
    <w:rsid w:val="00F01A02"/>
    <w:rsid w:val="00F01FAA"/>
    <w:rsid w:val="00F021E3"/>
    <w:rsid w:val="00F0245B"/>
    <w:rsid w:val="00F03026"/>
    <w:rsid w:val="00F04591"/>
    <w:rsid w:val="00F053DA"/>
    <w:rsid w:val="00F056A1"/>
    <w:rsid w:val="00F05AB1"/>
    <w:rsid w:val="00F06388"/>
    <w:rsid w:val="00F0674A"/>
    <w:rsid w:val="00F0680F"/>
    <w:rsid w:val="00F075A2"/>
    <w:rsid w:val="00F10872"/>
    <w:rsid w:val="00F11162"/>
    <w:rsid w:val="00F11244"/>
    <w:rsid w:val="00F11E2C"/>
    <w:rsid w:val="00F12245"/>
    <w:rsid w:val="00F125A7"/>
    <w:rsid w:val="00F127FB"/>
    <w:rsid w:val="00F129D2"/>
    <w:rsid w:val="00F129E8"/>
    <w:rsid w:val="00F12A2F"/>
    <w:rsid w:val="00F12EF3"/>
    <w:rsid w:val="00F13B2B"/>
    <w:rsid w:val="00F13CEA"/>
    <w:rsid w:val="00F142C5"/>
    <w:rsid w:val="00F1448B"/>
    <w:rsid w:val="00F1590C"/>
    <w:rsid w:val="00F15FF9"/>
    <w:rsid w:val="00F165E3"/>
    <w:rsid w:val="00F17D61"/>
    <w:rsid w:val="00F212AD"/>
    <w:rsid w:val="00F21712"/>
    <w:rsid w:val="00F2184C"/>
    <w:rsid w:val="00F2389D"/>
    <w:rsid w:val="00F23BE7"/>
    <w:rsid w:val="00F23F5C"/>
    <w:rsid w:val="00F259B1"/>
    <w:rsid w:val="00F318CF"/>
    <w:rsid w:val="00F31D01"/>
    <w:rsid w:val="00F3212D"/>
    <w:rsid w:val="00F32C3F"/>
    <w:rsid w:val="00F32D89"/>
    <w:rsid w:val="00F32EE9"/>
    <w:rsid w:val="00F33DDC"/>
    <w:rsid w:val="00F34FEF"/>
    <w:rsid w:val="00F3561D"/>
    <w:rsid w:val="00F356CC"/>
    <w:rsid w:val="00F36763"/>
    <w:rsid w:val="00F36D68"/>
    <w:rsid w:val="00F370F5"/>
    <w:rsid w:val="00F37A2E"/>
    <w:rsid w:val="00F400C8"/>
    <w:rsid w:val="00F405F5"/>
    <w:rsid w:val="00F40744"/>
    <w:rsid w:val="00F4154F"/>
    <w:rsid w:val="00F41935"/>
    <w:rsid w:val="00F4315F"/>
    <w:rsid w:val="00F45029"/>
    <w:rsid w:val="00F4531F"/>
    <w:rsid w:val="00F46411"/>
    <w:rsid w:val="00F46D01"/>
    <w:rsid w:val="00F46EC7"/>
    <w:rsid w:val="00F47331"/>
    <w:rsid w:val="00F4770C"/>
    <w:rsid w:val="00F47BB4"/>
    <w:rsid w:val="00F47E16"/>
    <w:rsid w:val="00F51877"/>
    <w:rsid w:val="00F51D4A"/>
    <w:rsid w:val="00F51EBD"/>
    <w:rsid w:val="00F525E3"/>
    <w:rsid w:val="00F527DF"/>
    <w:rsid w:val="00F541B7"/>
    <w:rsid w:val="00F54582"/>
    <w:rsid w:val="00F5686D"/>
    <w:rsid w:val="00F56F2E"/>
    <w:rsid w:val="00F57AD3"/>
    <w:rsid w:val="00F61699"/>
    <w:rsid w:val="00F61CD0"/>
    <w:rsid w:val="00F62810"/>
    <w:rsid w:val="00F6353C"/>
    <w:rsid w:val="00F63591"/>
    <w:rsid w:val="00F63EEB"/>
    <w:rsid w:val="00F64C0C"/>
    <w:rsid w:val="00F65362"/>
    <w:rsid w:val="00F66A6C"/>
    <w:rsid w:val="00F66C02"/>
    <w:rsid w:val="00F6708C"/>
    <w:rsid w:val="00F67B7E"/>
    <w:rsid w:val="00F7049A"/>
    <w:rsid w:val="00F706BE"/>
    <w:rsid w:val="00F7097A"/>
    <w:rsid w:val="00F71409"/>
    <w:rsid w:val="00F71451"/>
    <w:rsid w:val="00F71526"/>
    <w:rsid w:val="00F71817"/>
    <w:rsid w:val="00F72477"/>
    <w:rsid w:val="00F73403"/>
    <w:rsid w:val="00F75937"/>
    <w:rsid w:val="00F761F5"/>
    <w:rsid w:val="00F773B5"/>
    <w:rsid w:val="00F77AF8"/>
    <w:rsid w:val="00F77B02"/>
    <w:rsid w:val="00F77B96"/>
    <w:rsid w:val="00F77E47"/>
    <w:rsid w:val="00F77E9D"/>
    <w:rsid w:val="00F806D0"/>
    <w:rsid w:val="00F80DEF"/>
    <w:rsid w:val="00F81713"/>
    <w:rsid w:val="00F81B74"/>
    <w:rsid w:val="00F82600"/>
    <w:rsid w:val="00F82613"/>
    <w:rsid w:val="00F831B2"/>
    <w:rsid w:val="00F83F1F"/>
    <w:rsid w:val="00F84B69"/>
    <w:rsid w:val="00F84EF1"/>
    <w:rsid w:val="00F8591E"/>
    <w:rsid w:val="00F86646"/>
    <w:rsid w:val="00F86FBB"/>
    <w:rsid w:val="00F87930"/>
    <w:rsid w:val="00F9038C"/>
    <w:rsid w:val="00F903B0"/>
    <w:rsid w:val="00F9087F"/>
    <w:rsid w:val="00F91184"/>
    <w:rsid w:val="00F9139B"/>
    <w:rsid w:val="00F916DB"/>
    <w:rsid w:val="00F91843"/>
    <w:rsid w:val="00F91B79"/>
    <w:rsid w:val="00F91DAC"/>
    <w:rsid w:val="00F92B5B"/>
    <w:rsid w:val="00F92D84"/>
    <w:rsid w:val="00F9417B"/>
    <w:rsid w:val="00F942D1"/>
    <w:rsid w:val="00F94A47"/>
    <w:rsid w:val="00F94D75"/>
    <w:rsid w:val="00F953C6"/>
    <w:rsid w:val="00F9644C"/>
    <w:rsid w:val="00F96638"/>
    <w:rsid w:val="00FA02B5"/>
    <w:rsid w:val="00FA0A5B"/>
    <w:rsid w:val="00FA0CEB"/>
    <w:rsid w:val="00FA1253"/>
    <w:rsid w:val="00FA12BE"/>
    <w:rsid w:val="00FA174A"/>
    <w:rsid w:val="00FA181D"/>
    <w:rsid w:val="00FA18B1"/>
    <w:rsid w:val="00FA19E5"/>
    <w:rsid w:val="00FA2C7C"/>
    <w:rsid w:val="00FA2D8D"/>
    <w:rsid w:val="00FA4AD5"/>
    <w:rsid w:val="00FA5C30"/>
    <w:rsid w:val="00FA6485"/>
    <w:rsid w:val="00FA6A90"/>
    <w:rsid w:val="00FA7945"/>
    <w:rsid w:val="00FB01F3"/>
    <w:rsid w:val="00FB179C"/>
    <w:rsid w:val="00FB2640"/>
    <w:rsid w:val="00FB3D8D"/>
    <w:rsid w:val="00FB5898"/>
    <w:rsid w:val="00FB5A2E"/>
    <w:rsid w:val="00FB5C28"/>
    <w:rsid w:val="00FB6CD6"/>
    <w:rsid w:val="00FB702A"/>
    <w:rsid w:val="00FB732E"/>
    <w:rsid w:val="00FB7412"/>
    <w:rsid w:val="00FB7F72"/>
    <w:rsid w:val="00FC0092"/>
    <w:rsid w:val="00FC0874"/>
    <w:rsid w:val="00FC0DC2"/>
    <w:rsid w:val="00FC3966"/>
    <w:rsid w:val="00FC3D1D"/>
    <w:rsid w:val="00FC3E5D"/>
    <w:rsid w:val="00FC49AB"/>
    <w:rsid w:val="00FC59D9"/>
    <w:rsid w:val="00FC6EE3"/>
    <w:rsid w:val="00FC7025"/>
    <w:rsid w:val="00FC7B08"/>
    <w:rsid w:val="00FD2BCD"/>
    <w:rsid w:val="00FD37C1"/>
    <w:rsid w:val="00FD430F"/>
    <w:rsid w:val="00FD4523"/>
    <w:rsid w:val="00FD5CEE"/>
    <w:rsid w:val="00FD62A1"/>
    <w:rsid w:val="00FE01F5"/>
    <w:rsid w:val="00FE051B"/>
    <w:rsid w:val="00FE1934"/>
    <w:rsid w:val="00FE2904"/>
    <w:rsid w:val="00FE2C11"/>
    <w:rsid w:val="00FE3068"/>
    <w:rsid w:val="00FE31FC"/>
    <w:rsid w:val="00FE4074"/>
    <w:rsid w:val="00FE4EAF"/>
    <w:rsid w:val="00FE5107"/>
    <w:rsid w:val="00FE5338"/>
    <w:rsid w:val="00FE5605"/>
    <w:rsid w:val="00FE5B92"/>
    <w:rsid w:val="00FE5BE4"/>
    <w:rsid w:val="00FE6072"/>
    <w:rsid w:val="00FE6711"/>
    <w:rsid w:val="00FE6D0F"/>
    <w:rsid w:val="00FE7C56"/>
    <w:rsid w:val="00FE7F02"/>
    <w:rsid w:val="00FF0E6F"/>
    <w:rsid w:val="00FF110E"/>
    <w:rsid w:val="00FF13DE"/>
    <w:rsid w:val="00FF1437"/>
    <w:rsid w:val="00FF16AB"/>
    <w:rsid w:val="00FF1749"/>
    <w:rsid w:val="00FF21C1"/>
    <w:rsid w:val="00FF40FD"/>
    <w:rsid w:val="00FF4695"/>
    <w:rsid w:val="00FF48B5"/>
    <w:rsid w:val="00FF5EC7"/>
    <w:rsid w:val="034D03AD"/>
    <w:rsid w:val="03B70F40"/>
    <w:rsid w:val="048764DD"/>
    <w:rsid w:val="04E6066F"/>
    <w:rsid w:val="050C010D"/>
    <w:rsid w:val="05910BF1"/>
    <w:rsid w:val="05F72B50"/>
    <w:rsid w:val="06ED332A"/>
    <w:rsid w:val="0778608B"/>
    <w:rsid w:val="07CC279A"/>
    <w:rsid w:val="0848526B"/>
    <w:rsid w:val="08771F9A"/>
    <w:rsid w:val="09852594"/>
    <w:rsid w:val="099D6219"/>
    <w:rsid w:val="09D13E4B"/>
    <w:rsid w:val="0AC30182"/>
    <w:rsid w:val="0B571924"/>
    <w:rsid w:val="0B5D1734"/>
    <w:rsid w:val="0B8A3B81"/>
    <w:rsid w:val="0C2464DE"/>
    <w:rsid w:val="0C436EC9"/>
    <w:rsid w:val="0C576789"/>
    <w:rsid w:val="0CA57984"/>
    <w:rsid w:val="0D1246EC"/>
    <w:rsid w:val="0D4E4639"/>
    <w:rsid w:val="0D516F41"/>
    <w:rsid w:val="0D594B71"/>
    <w:rsid w:val="0E214E5E"/>
    <w:rsid w:val="0E291FDB"/>
    <w:rsid w:val="0ECF5EFA"/>
    <w:rsid w:val="0ED0418B"/>
    <w:rsid w:val="11174691"/>
    <w:rsid w:val="112A66A0"/>
    <w:rsid w:val="112C53B1"/>
    <w:rsid w:val="1140695B"/>
    <w:rsid w:val="115B2437"/>
    <w:rsid w:val="11BA57D3"/>
    <w:rsid w:val="14D31D2B"/>
    <w:rsid w:val="15886B12"/>
    <w:rsid w:val="15C335F5"/>
    <w:rsid w:val="15C57979"/>
    <w:rsid w:val="18D311FD"/>
    <w:rsid w:val="19C37E2F"/>
    <w:rsid w:val="1A501737"/>
    <w:rsid w:val="1A5326BB"/>
    <w:rsid w:val="1A9E2445"/>
    <w:rsid w:val="1BC90266"/>
    <w:rsid w:val="1C422AA1"/>
    <w:rsid w:val="1C530364"/>
    <w:rsid w:val="1CDA4664"/>
    <w:rsid w:val="1CFF23FD"/>
    <w:rsid w:val="1DA62ED2"/>
    <w:rsid w:val="1DAC51FE"/>
    <w:rsid w:val="1F65226C"/>
    <w:rsid w:val="1FAC4DBA"/>
    <w:rsid w:val="243954FA"/>
    <w:rsid w:val="24470D3F"/>
    <w:rsid w:val="24F21222"/>
    <w:rsid w:val="25F3658D"/>
    <w:rsid w:val="275058F4"/>
    <w:rsid w:val="27672D9D"/>
    <w:rsid w:val="2A205C93"/>
    <w:rsid w:val="2A2B5331"/>
    <w:rsid w:val="2ABE6B83"/>
    <w:rsid w:val="2B354675"/>
    <w:rsid w:val="2BF72D3A"/>
    <w:rsid w:val="2C176CEA"/>
    <w:rsid w:val="2CDD08C1"/>
    <w:rsid w:val="2D2355A4"/>
    <w:rsid w:val="2D245E58"/>
    <w:rsid w:val="2EA52148"/>
    <w:rsid w:val="2F38492B"/>
    <w:rsid w:val="2F733C34"/>
    <w:rsid w:val="2FC743F0"/>
    <w:rsid w:val="30F87DD1"/>
    <w:rsid w:val="322E119F"/>
    <w:rsid w:val="32916BA4"/>
    <w:rsid w:val="32A933BB"/>
    <w:rsid w:val="335E31E5"/>
    <w:rsid w:val="338464ED"/>
    <w:rsid w:val="33FF0399"/>
    <w:rsid w:val="34461885"/>
    <w:rsid w:val="34F0095A"/>
    <w:rsid w:val="35673D9C"/>
    <w:rsid w:val="35C23E24"/>
    <w:rsid w:val="36192B60"/>
    <w:rsid w:val="36651E4D"/>
    <w:rsid w:val="366951E8"/>
    <w:rsid w:val="36D328A8"/>
    <w:rsid w:val="38C42631"/>
    <w:rsid w:val="3A844F93"/>
    <w:rsid w:val="3B8F00F2"/>
    <w:rsid w:val="3B9D56D9"/>
    <w:rsid w:val="3CF466C5"/>
    <w:rsid w:val="3DE73B9D"/>
    <w:rsid w:val="3E585156"/>
    <w:rsid w:val="3F1C6CDA"/>
    <w:rsid w:val="3F9B22EA"/>
    <w:rsid w:val="3FA77D2D"/>
    <w:rsid w:val="404A06A9"/>
    <w:rsid w:val="40C91616"/>
    <w:rsid w:val="40F35BE4"/>
    <w:rsid w:val="415059DB"/>
    <w:rsid w:val="425460E8"/>
    <w:rsid w:val="42D50C00"/>
    <w:rsid w:val="43012B48"/>
    <w:rsid w:val="437C1559"/>
    <w:rsid w:val="439F639C"/>
    <w:rsid w:val="44172A44"/>
    <w:rsid w:val="44AE2DCF"/>
    <w:rsid w:val="44BA2C52"/>
    <w:rsid w:val="45966347"/>
    <w:rsid w:val="45FA089C"/>
    <w:rsid w:val="463351A2"/>
    <w:rsid w:val="46D5399F"/>
    <w:rsid w:val="47374B65"/>
    <w:rsid w:val="479D5695"/>
    <w:rsid w:val="47C370E5"/>
    <w:rsid w:val="47EB1017"/>
    <w:rsid w:val="485464DC"/>
    <w:rsid w:val="49AD523B"/>
    <w:rsid w:val="4AE3338F"/>
    <w:rsid w:val="4D3662C0"/>
    <w:rsid w:val="4D6D3115"/>
    <w:rsid w:val="4D781995"/>
    <w:rsid w:val="4DD52510"/>
    <w:rsid w:val="4E1458CD"/>
    <w:rsid w:val="4EC639D6"/>
    <w:rsid w:val="4EF66965"/>
    <w:rsid w:val="4F936C28"/>
    <w:rsid w:val="5020111E"/>
    <w:rsid w:val="50223592"/>
    <w:rsid w:val="51F170C6"/>
    <w:rsid w:val="53073B9D"/>
    <w:rsid w:val="532278B2"/>
    <w:rsid w:val="53455DD7"/>
    <w:rsid w:val="549A5644"/>
    <w:rsid w:val="55343A9D"/>
    <w:rsid w:val="55FD29C7"/>
    <w:rsid w:val="563E2ACB"/>
    <w:rsid w:val="564F24E2"/>
    <w:rsid w:val="56F642F5"/>
    <w:rsid w:val="578728B2"/>
    <w:rsid w:val="58E20110"/>
    <w:rsid w:val="59FB6517"/>
    <w:rsid w:val="5A53777D"/>
    <w:rsid w:val="5A934ADF"/>
    <w:rsid w:val="5AFA32A6"/>
    <w:rsid w:val="5C32271D"/>
    <w:rsid w:val="5C7623A5"/>
    <w:rsid w:val="5D43732A"/>
    <w:rsid w:val="5DF513DF"/>
    <w:rsid w:val="5ECB6B32"/>
    <w:rsid w:val="5F33643F"/>
    <w:rsid w:val="5F550E5D"/>
    <w:rsid w:val="610007D1"/>
    <w:rsid w:val="611413CB"/>
    <w:rsid w:val="61B87847"/>
    <w:rsid w:val="61E239A6"/>
    <w:rsid w:val="623618B1"/>
    <w:rsid w:val="635D0434"/>
    <w:rsid w:val="63D329D3"/>
    <w:rsid w:val="649903F3"/>
    <w:rsid w:val="6624061D"/>
    <w:rsid w:val="664724DD"/>
    <w:rsid w:val="666349AB"/>
    <w:rsid w:val="66A222B4"/>
    <w:rsid w:val="66D36DF4"/>
    <w:rsid w:val="66E90212"/>
    <w:rsid w:val="67310175"/>
    <w:rsid w:val="69DA3360"/>
    <w:rsid w:val="6A350B45"/>
    <w:rsid w:val="6B087840"/>
    <w:rsid w:val="6B9570A0"/>
    <w:rsid w:val="6C772485"/>
    <w:rsid w:val="6DA86A73"/>
    <w:rsid w:val="6E77326D"/>
    <w:rsid w:val="6E9832A3"/>
    <w:rsid w:val="6EBA79B8"/>
    <w:rsid w:val="6F204DBD"/>
    <w:rsid w:val="700C0878"/>
    <w:rsid w:val="702A4845"/>
    <w:rsid w:val="715015CB"/>
    <w:rsid w:val="7157067F"/>
    <w:rsid w:val="71C43C87"/>
    <w:rsid w:val="72810CBF"/>
    <w:rsid w:val="72D81326"/>
    <w:rsid w:val="73455D2A"/>
    <w:rsid w:val="73AFED9A"/>
    <w:rsid w:val="76466098"/>
    <w:rsid w:val="76A673B6"/>
    <w:rsid w:val="76EF40BB"/>
    <w:rsid w:val="78863195"/>
    <w:rsid w:val="790F1F7D"/>
    <w:rsid w:val="794C6429"/>
    <w:rsid w:val="79587FA4"/>
    <w:rsid w:val="79B00633"/>
    <w:rsid w:val="7A7B2E2C"/>
    <w:rsid w:val="7B69055E"/>
    <w:rsid w:val="7B802519"/>
    <w:rsid w:val="7BCC4C09"/>
    <w:rsid w:val="7D564EE9"/>
    <w:rsid w:val="7DA7433B"/>
    <w:rsid w:val="7FEA1B1E"/>
    <w:rsid w:val="A9FED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3">
    <w:name w:val="heading 2"/>
    <w:basedOn w:val="1"/>
    <w:next w:val="4"/>
    <w:qFormat/>
    <w:uiPriority w:val="0"/>
    <w:pPr>
      <w:keepNext/>
      <w:keepLines/>
      <w:tabs>
        <w:tab w:val="left" w:pos="456"/>
      </w:tabs>
      <w:spacing w:beforeLines="100" w:afterLines="100" w:line="360" w:lineRule="auto"/>
      <w:ind w:left="456" w:hanging="454"/>
      <w:outlineLvl w:val="1"/>
    </w:pPr>
    <w:rPr>
      <w:b/>
      <w:sz w:val="24"/>
    </w:rPr>
  </w:style>
  <w:style w:type="paragraph" w:styleId="5">
    <w:name w:val="heading 3"/>
    <w:basedOn w:val="1"/>
    <w:next w:val="4"/>
    <w:qFormat/>
    <w:uiPriority w:val="0"/>
    <w:pPr>
      <w:keepNext/>
      <w:keepLines/>
      <w:tabs>
        <w:tab w:val="left" w:pos="475"/>
      </w:tabs>
      <w:spacing w:beforeLines="50" w:afterLines="50" w:line="360" w:lineRule="auto"/>
      <w:ind w:left="102" w:firstLine="13"/>
      <w:outlineLvl w:val="2"/>
    </w:pPr>
    <w:rPr>
      <w:b/>
      <w:sz w:val="24"/>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4"/>
    <w:qFormat/>
    <w:uiPriority w:val="0"/>
    <w:pPr>
      <w:keepNext/>
      <w:keepLines/>
      <w:tabs>
        <w:tab w:val="left" w:pos="462"/>
      </w:tabs>
      <w:spacing w:before="100" w:beforeAutospacing="1" w:after="100" w:afterAutospacing="1" w:line="360" w:lineRule="auto"/>
      <w:ind w:left="102"/>
      <w:outlineLvl w:val="4"/>
    </w:pPr>
    <w:rPr>
      <w:b/>
      <w:sz w:val="24"/>
    </w:rPr>
  </w:style>
  <w:style w:type="paragraph" w:styleId="8">
    <w:name w:val="heading 6"/>
    <w:basedOn w:val="1"/>
    <w:next w:val="4"/>
    <w:qFormat/>
    <w:uiPriority w:val="0"/>
    <w:pPr>
      <w:keepNext/>
      <w:keepLines/>
      <w:tabs>
        <w:tab w:val="left" w:pos="462"/>
      </w:tabs>
      <w:spacing w:before="100" w:beforeAutospacing="1" w:after="100" w:afterAutospacing="1" w:line="360" w:lineRule="auto"/>
      <w:ind w:left="102"/>
      <w:outlineLvl w:val="5"/>
    </w:pPr>
    <w:rPr>
      <w:b/>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29">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link w:val="59"/>
    <w:semiHidden/>
    <w:unhideWhenUsed/>
    <w:qFormat/>
    <w:uiPriority w:val="99"/>
    <w:rPr>
      <w:rFonts w:ascii="宋体"/>
      <w:sz w:val="18"/>
      <w:szCs w:val="18"/>
      <w:lang w:val="zh-CN"/>
    </w:rPr>
  </w:style>
  <w:style w:type="paragraph" w:styleId="13">
    <w:name w:val="annotation text"/>
    <w:basedOn w:val="1"/>
    <w:link w:val="65"/>
    <w:qFormat/>
    <w:uiPriority w:val="99"/>
    <w:pPr>
      <w:jc w:val="left"/>
    </w:pPr>
    <w:rPr>
      <w:lang w:val="zh-CN"/>
    </w:rPr>
  </w:style>
  <w:style w:type="paragraph" w:styleId="14">
    <w:name w:val="Body Text"/>
    <w:basedOn w:val="1"/>
    <w:qFormat/>
    <w:uiPriority w:val="0"/>
    <w:pPr>
      <w:spacing w:after="120"/>
    </w:pPr>
  </w:style>
  <w:style w:type="paragraph" w:styleId="15">
    <w:name w:val="Body Text Indent"/>
    <w:basedOn w:val="1"/>
    <w:qFormat/>
    <w:uiPriority w:val="0"/>
    <w:pPr>
      <w:widowControl/>
      <w:spacing w:line="360" w:lineRule="auto"/>
      <w:ind w:right="-85" w:rightChars="-85" w:firstLine="360" w:firstLineChars="150"/>
      <w:jc w:val="left"/>
    </w:pPr>
    <w:rPr>
      <w:rFonts w:ascii="宋体" w:hAnsi="宋体"/>
      <w:sz w:val="24"/>
    </w:rPr>
  </w:style>
  <w:style w:type="paragraph" w:styleId="16">
    <w:name w:val="Plain Text"/>
    <w:basedOn w:val="1"/>
    <w:link w:val="36"/>
    <w:qFormat/>
    <w:uiPriority w:val="99"/>
    <w:pPr>
      <w:widowControl/>
      <w:jc w:val="left"/>
    </w:pPr>
    <w:rPr>
      <w:rFonts w:ascii="Courier New" w:hAnsi="Courier New"/>
      <w:kern w:val="0"/>
      <w:sz w:val="20"/>
      <w:lang w:val="zh-CN"/>
    </w:rPr>
  </w:style>
  <w:style w:type="paragraph" w:styleId="17">
    <w:name w:val="Date"/>
    <w:basedOn w:val="1"/>
    <w:next w:val="1"/>
    <w:link w:val="63"/>
    <w:semiHidden/>
    <w:unhideWhenUsed/>
    <w:qFormat/>
    <w:uiPriority w:val="99"/>
    <w:pPr>
      <w:ind w:left="100" w:leftChars="2500"/>
    </w:pPr>
    <w:rPr>
      <w:lang w:val="zh-CN"/>
    </w:rPr>
  </w:style>
  <w:style w:type="paragraph" w:styleId="18">
    <w:name w:val="Body Text Indent 2"/>
    <w:basedOn w:val="1"/>
    <w:qFormat/>
    <w:uiPriority w:val="0"/>
    <w:pPr>
      <w:widowControl/>
      <w:spacing w:before="100" w:beforeAutospacing="1" w:after="100" w:afterAutospacing="1"/>
      <w:ind w:right="-85" w:rightChars="-85" w:firstLine="480"/>
      <w:outlineLvl w:val="0"/>
    </w:pPr>
    <w:rPr>
      <w:rFonts w:ascii="宋体" w:hAnsi="宋体"/>
      <w:color w:val="000000"/>
      <w:sz w:val="24"/>
    </w:rPr>
  </w:style>
  <w:style w:type="paragraph" w:styleId="19">
    <w:name w:val="Balloon Text"/>
    <w:basedOn w:val="1"/>
    <w:qFormat/>
    <w:uiPriority w:val="0"/>
    <w:rPr>
      <w:sz w:val="18"/>
    </w:rPr>
  </w:style>
  <w:style w:type="paragraph" w:styleId="20">
    <w:name w:val="footer"/>
    <w:basedOn w:val="1"/>
    <w:link w:val="57"/>
    <w:qFormat/>
    <w:uiPriority w:val="99"/>
    <w:pPr>
      <w:tabs>
        <w:tab w:val="center" w:pos="4153"/>
        <w:tab w:val="right" w:pos="8306"/>
      </w:tabs>
      <w:snapToGrid w:val="0"/>
      <w:jc w:val="left"/>
    </w:pPr>
    <w:rPr>
      <w:sz w:val="18"/>
      <w:lang w:val="zh-CN"/>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450"/>
      </w:tabs>
      <w:spacing w:line="360" w:lineRule="auto"/>
    </w:pPr>
    <w:rPr>
      <w:rFonts w:ascii="黑体" w:hAnsi="宋体" w:eastAsia="黑体"/>
      <w:sz w:val="24"/>
    </w:rPr>
  </w:style>
  <w:style w:type="paragraph" w:styleId="23">
    <w:name w:val="toc 2"/>
    <w:basedOn w:val="1"/>
    <w:next w:val="1"/>
    <w:qFormat/>
    <w:uiPriority w:val="0"/>
    <w:pPr>
      <w:ind w:left="420" w:leftChars="200"/>
    </w:pPr>
  </w:style>
  <w:style w:type="paragraph" w:styleId="24">
    <w:name w:val="Normal (Web)"/>
    <w:basedOn w:val="1"/>
    <w:qFormat/>
    <w:uiPriority w:val="0"/>
    <w:pPr>
      <w:widowControl/>
      <w:tabs>
        <w:tab w:val="left" w:pos="360"/>
      </w:tabs>
      <w:spacing w:before="100" w:beforeAutospacing="1" w:after="100" w:afterAutospacing="1"/>
      <w:jc w:val="left"/>
    </w:pPr>
    <w:rPr>
      <w:rFonts w:ascii="Arial Unicode MS" w:hAnsi="Arial Unicode MS" w:eastAsia="Arial Unicode MS"/>
      <w:kern w:val="0"/>
      <w:sz w:val="24"/>
    </w:rPr>
  </w:style>
  <w:style w:type="paragraph" w:styleId="25">
    <w:name w:val="Title"/>
    <w:basedOn w:val="14"/>
    <w:next w:val="14"/>
    <w:qFormat/>
    <w:uiPriority w:val="0"/>
    <w:pPr>
      <w:tabs>
        <w:tab w:val="left" w:pos="-540"/>
        <w:tab w:val="left" w:pos="1182"/>
      </w:tabs>
      <w:snapToGrid w:val="0"/>
      <w:spacing w:before="240" w:after="60" w:line="360" w:lineRule="auto"/>
      <w:ind w:left="527" w:hanging="425"/>
      <w:jc w:val="center"/>
      <w:outlineLvl w:val="0"/>
    </w:pPr>
    <w:rPr>
      <w:b/>
      <w:sz w:val="36"/>
    </w:rPr>
  </w:style>
  <w:style w:type="paragraph" w:styleId="26">
    <w:name w:val="annotation subject"/>
    <w:basedOn w:val="13"/>
    <w:next w:val="13"/>
    <w:qFormat/>
    <w:uiPriority w:val="0"/>
    <w:rPr>
      <w:b/>
    </w:rPr>
  </w:style>
  <w:style w:type="paragraph" w:styleId="27">
    <w:name w:val="Body Text First Indent"/>
    <w:basedOn w:val="14"/>
    <w:qFormat/>
    <w:uiPriority w:val="0"/>
    <w:pPr>
      <w:spacing w:line="300" w:lineRule="auto"/>
      <w:ind w:firstLine="425"/>
    </w:p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99"/>
    <w:rPr>
      <w:sz w:val="21"/>
    </w:rPr>
  </w:style>
  <w:style w:type="character" w:customStyle="1" w:styleId="33">
    <w:name w:val="read"/>
    <w:basedOn w:val="29"/>
    <w:qFormat/>
    <w:uiPriority w:val="0"/>
  </w:style>
  <w:style w:type="character" w:customStyle="1" w:styleId="34">
    <w:name w:val="已访问的超链接1"/>
    <w:qFormat/>
    <w:uiPriority w:val="0"/>
    <w:rPr>
      <w:color w:val="800080"/>
      <w:u w:val="single"/>
    </w:rPr>
  </w:style>
  <w:style w:type="character" w:customStyle="1" w:styleId="35">
    <w:name w:val="big1"/>
    <w:qFormat/>
    <w:uiPriority w:val="0"/>
    <w:rPr>
      <w:sz w:val="22"/>
    </w:rPr>
  </w:style>
  <w:style w:type="character" w:customStyle="1" w:styleId="36">
    <w:name w:val="纯文本 字符"/>
    <w:link w:val="16"/>
    <w:qFormat/>
    <w:uiPriority w:val="99"/>
    <w:rPr>
      <w:rFonts w:ascii="Courier New" w:hAnsi="Courier New"/>
    </w:rPr>
  </w:style>
  <w:style w:type="character" w:customStyle="1" w:styleId="37">
    <w:name w:val="ten51"/>
    <w:qFormat/>
    <w:uiPriority w:val="0"/>
    <w:rPr>
      <w:sz w:val="21"/>
    </w:rPr>
  </w:style>
  <w:style w:type="paragraph" w:customStyle="1" w:styleId="38">
    <w:name w:val="Char Char Char Char Char Char Char"/>
    <w:basedOn w:val="1"/>
    <w:qFormat/>
    <w:uiPriority w:val="0"/>
  </w:style>
  <w:style w:type="paragraph" w:customStyle="1" w:styleId="39">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40">
    <w:name w:val="xl22"/>
    <w:basedOn w:val="1"/>
    <w:qFormat/>
    <w:uiPriority w:val="0"/>
    <w:pPr>
      <w:widowControl/>
      <w:spacing w:before="100" w:beforeAutospacing="1" w:after="100" w:afterAutospacing="1"/>
      <w:textAlignment w:val="top"/>
    </w:pPr>
    <w:rPr>
      <w:rFonts w:hint="eastAsia" w:ascii="宋体" w:hAnsi="宋体"/>
      <w:kern w:val="0"/>
      <w:sz w:val="18"/>
    </w:rPr>
  </w:style>
  <w:style w:type="paragraph" w:customStyle="1" w:styleId="41">
    <w:name w:val="项目"/>
    <w:basedOn w:val="6"/>
    <w:qFormat/>
    <w:uiPriority w:val="0"/>
    <w:pPr>
      <w:snapToGrid w:val="0"/>
      <w:spacing w:before="120" w:after="120" w:line="360" w:lineRule="auto"/>
    </w:pPr>
    <w:rPr>
      <w:rFonts w:ascii="Times New Roman" w:hAnsi="Times New Roman" w:eastAsia="楷体_GB2312"/>
      <w:b w:val="0"/>
      <w:sz w:val="24"/>
    </w:rPr>
  </w:style>
  <w:style w:type="paragraph" w:customStyle="1" w:styleId="4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43">
    <w:name w:val="表格正文"/>
    <w:basedOn w:val="4"/>
    <w:qFormat/>
    <w:uiPriority w:val="0"/>
    <w:pPr>
      <w:spacing w:beforeLines="50"/>
      <w:ind w:firstLine="0" w:firstLineChars="0"/>
      <w:jc w:val="center"/>
    </w:pPr>
    <w:rPr>
      <w:sz w:val="24"/>
    </w:rPr>
  </w:style>
  <w:style w:type="paragraph" w:customStyle="1" w:styleId="44">
    <w:name w:val="Char"/>
    <w:basedOn w:val="1"/>
    <w:qFormat/>
    <w:uiPriority w:val="0"/>
  </w:style>
  <w:style w:type="paragraph" w:customStyle="1" w:styleId="45">
    <w:name w:val="Char Char Char Char1 Char Char Char"/>
    <w:basedOn w:val="1"/>
    <w:qFormat/>
    <w:uiPriority w:val="0"/>
  </w:style>
  <w:style w:type="paragraph" w:customStyle="1" w:styleId="46">
    <w:name w:val="默认段落字体 Para Char Char Char Char Char Char"/>
    <w:basedOn w:val="1"/>
    <w:qFormat/>
    <w:uiPriority w:val="0"/>
    <w:pPr>
      <w:tabs>
        <w:tab w:val="left" w:pos="840"/>
      </w:tabs>
      <w:ind w:left="840" w:hanging="360"/>
    </w:pPr>
    <w:rPr>
      <w:sz w:val="24"/>
    </w:rPr>
  </w:style>
  <w:style w:type="paragraph" w:customStyle="1" w:styleId="47">
    <w:name w:val="报告署名"/>
    <w:basedOn w:val="1"/>
    <w:next w:val="1"/>
    <w:qFormat/>
    <w:uiPriority w:val="0"/>
    <w:pPr>
      <w:spacing w:line="360" w:lineRule="auto"/>
      <w:jc w:val="center"/>
    </w:pPr>
    <w:rPr>
      <w:rFonts w:ascii="宋体" w:hAnsi="宋体"/>
      <w:sz w:val="24"/>
    </w:rPr>
  </w:style>
  <w:style w:type="paragraph" w:customStyle="1" w:styleId="48">
    <w:name w:val="Char Char Char Char Char"/>
    <w:basedOn w:val="1"/>
    <w:qFormat/>
    <w:uiPriority w:val="0"/>
    <w:pPr>
      <w:tabs>
        <w:tab w:val="left" w:pos="840"/>
      </w:tabs>
      <w:ind w:left="840" w:hanging="360"/>
    </w:pPr>
    <w:rPr>
      <w:sz w:val="24"/>
    </w:rPr>
  </w:style>
  <w:style w:type="paragraph" w:customStyle="1" w:styleId="49">
    <w:name w:val="列表2"/>
    <w:basedOn w:val="1"/>
    <w:next w:val="25"/>
    <w:qFormat/>
    <w:uiPriority w:val="0"/>
    <w:pPr>
      <w:tabs>
        <w:tab w:val="left" w:pos="1125"/>
      </w:tabs>
      <w:spacing w:line="360" w:lineRule="auto"/>
      <w:ind w:left="1125" w:hanging="1125"/>
    </w:pPr>
    <w:rPr>
      <w:rFonts w:ascii="宋体"/>
    </w:rPr>
  </w:style>
  <w:style w:type="paragraph" w:styleId="50">
    <w:name w:val="List Paragraph"/>
    <w:basedOn w:val="1"/>
    <w:qFormat/>
    <w:uiPriority w:val="0"/>
    <w:pPr>
      <w:ind w:firstLine="420" w:firstLineChars="200"/>
    </w:pPr>
  </w:style>
  <w:style w:type="character" w:customStyle="1" w:styleId="51">
    <w:name w:val="批注文字 Char1"/>
    <w:qFormat/>
    <w:uiPriority w:val="0"/>
    <w:rPr>
      <w:kern w:val="2"/>
      <w:sz w:val="21"/>
    </w:rPr>
  </w:style>
  <w:style w:type="paragraph" w:customStyle="1" w:styleId="52">
    <w:name w:val="Char Char"/>
    <w:basedOn w:val="1"/>
    <w:qFormat/>
    <w:uiPriority w:val="0"/>
    <w:pPr>
      <w:tabs>
        <w:tab w:val="left" w:pos="840"/>
      </w:tabs>
      <w:ind w:left="840" w:hanging="360"/>
    </w:pPr>
    <w:rPr>
      <w:sz w:val="24"/>
      <w:szCs w:val="24"/>
    </w:rPr>
  </w:style>
  <w:style w:type="paragraph" w:customStyle="1" w:styleId="53">
    <w:name w:val="1 Char"/>
    <w:basedOn w:val="1"/>
    <w:semiHidden/>
    <w:qFormat/>
    <w:uiPriority w:val="0"/>
    <w:pPr>
      <w:tabs>
        <w:tab w:val="left" w:pos="360"/>
      </w:tabs>
    </w:pPr>
    <w:rPr>
      <w:sz w:val="24"/>
      <w:szCs w:val="24"/>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unnamed11"/>
    <w:qFormat/>
    <w:uiPriority w:val="0"/>
    <w:rPr>
      <w:rFonts w:hint="eastAsia" w:ascii="宋体" w:hAnsi="宋体" w:eastAsia="宋体"/>
      <w:sz w:val="18"/>
      <w:szCs w:val="18"/>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页脚 字符"/>
    <w:link w:val="20"/>
    <w:qFormat/>
    <w:uiPriority w:val="99"/>
    <w:rPr>
      <w:kern w:val="2"/>
      <w:sz w:val="18"/>
    </w:rPr>
  </w:style>
  <w:style w:type="paragraph" w:customStyle="1" w:styleId="58">
    <w:name w:val="Char1"/>
    <w:basedOn w:val="1"/>
    <w:qFormat/>
    <w:uiPriority w:val="0"/>
  </w:style>
  <w:style w:type="character" w:customStyle="1" w:styleId="59">
    <w:name w:val="文档结构图 字符"/>
    <w:link w:val="12"/>
    <w:semiHidden/>
    <w:qFormat/>
    <w:uiPriority w:val="99"/>
    <w:rPr>
      <w:rFonts w:ascii="宋体"/>
      <w:kern w:val="2"/>
      <w:sz w:val="18"/>
      <w:szCs w:val="18"/>
    </w:rPr>
  </w:style>
  <w:style w:type="character" w:customStyle="1" w:styleId="60">
    <w:name w:val="批注引用1"/>
    <w:qFormat/>
    <w:uiPriority w:val="0"/>
    <w:rPr>
      <w:sz w:val="21"/>
    </w:rPr>
  </w:style>
  <w:style w:type="paragraph" w:customStyle="1" w:styleId="61">
    <w:name w:val="Char Char Char1"/>
    <w:basedOn w:val="1"/>
    <w:qFormat/>
    <w:uiPriority w:val="0"/>
  </w:style>
  <w:style w:type="character" w:customStyle="1" w:styleId="62">
    <w:name w:val="批注引用2"/>
    <w:qFormat/>
    <w:uiPriority w:val="0"/>
    <w:rPr>
      <w:sz w:val="21"/>
      <w:szCs w:val="21"/>
    </w:rPr>
  </w:style>
  <w:style w:type="character" w:customStyle="1" w:styleId="63">
    <w:name w:val="日期 字符"/>
    <w:link w:val="17"/>
    <w:semiHidden/>
    <w:qFormat/>
    <w:uiPriority w:val="99"/>
    <w:rPr>
      <w:kern w:val="2"/>
      <w:sz w:val="21"/>
    </w:rPr>
  </w:style>
  <w:style w:type="character" w:customStyle="1" w:styleId="64">
    <w:name w:val="批注文字 Char"/>
    <w:qFormat/>
    <w:uiPriority w:val="0"/>
    <w:rPr>
      <w:kern w:val="2"/>
      <w:sz w:val="21"/>
    </w:rPr>
  </w:style>
  <w:style w:type="character" w:customStyle="1" w:styleId="65">
    <w:name w:val="批注文字 字符1"/>
    <w:basedOn w:val="29"/>
    <w:link w:val="13"/>
    <w:qFormat/>
    <w:uiPriority w:val="0"/>
    <w:rPr>
      <w:kern w:val="2"/>
      <w:sz w:val="21"/>
    </w:rPr>
  </w:style>
  <w:style w:type="character" w:customStyle="1" w:styleId="66">
    <w:name w:val="批注文字 字符"/>
    <w:basedOn w:val="29"/>
    <w:qFormat/>
    <w:uiPriority w:val="0"/>
    <w:rPr>
      <w:kern w:val="2"/>
      <w:sz w:val="21"/>
    </w:rPr>
  </w:style>
  <w:style w:type="paragraph" w:customStyle="1" w:styleId="67">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68">
    <w:name w:val="批注文字 字符2"/>
    <w:qFormat/>
    <w:uiPriority w:val="99"/>
    <w:rPr>
      <w:rFonts w:ascii="Times New Roman" w:hAnsi="Times New Roman" w:eastAsia="宋体" w:cs="Times New Roman"/>
      <w:sz w:val="21"/>
      <w:szCs w:val="20"/>
      <w14:ligatures w14:val="none"/>
    </w:rPr>
  </w:style>
  <w:style w:type="paragraph" w:customStyle="1" w:styleId="69">
    <w:name w:val="修订3"/>
    <w:hidden/>
    <w:semiHidden/>
    <w:qFormat/>
    <w:uiPriority w:val="99"/>
    <w:rPr>
      <w:rFonts w:ascii="Times New Roman" w:hAnsi="Times New Roman" w:eastAsia="宋体" w:cs="Times New Roman"/>
      <w:kern w:val="2"/>
      <w:sz w:val="21"/>
      <w:lang w:val="en-US" w:eastAsia="zh-CN" w:bidi="ar-SA"/>
    </w:rPr>
  </w:style>
  <w:style w:type="paragraph" w:customStyle="1" w:styleId="70">
    <w:name w:val="修订4"/>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068AC-DE73-4174-B2BC-D9AAE78EC1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163</Pages>
  <Words>106531</Words>
  <Characters>109278</Characters>
  <Lines>1</Lines>
  <Paragraphs>1</Paragraphs>
  <TotalTime>270</TotalTime>
  <ScaleCrop>false</ScaleCrop>
  <LinksUpToDate>false</LinksUpToDate>
  <CharactersWithSpaces>109461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2026-01-29T13:31:00Z</dcterms:created>
  <dc:creator>张敏峻</dc:creator>
  <cp:lastModifiedBy>喻秋燕</cp:lastModifiedBy>
  <cp:lastPrinted>2019-12-02T10:12:00Z</cp:lastPrinted>
  <dcterms:modified xsi:type="dcterms:W3CDTF">2026-07-02T03:20:45Z</dcterms:modified>
  <dc:title>招募说明书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9B29A26729AB4FC28392F7F4781133E1</vt:lpwstr>
  </property>
</Properties>
</file>