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0" w:after="0"/>
        <w:jc w:val="center"/>
        <w:rPr>
          <w:rFonts w:asciiTheme="minorEastAsia" w:hAnsiTheme="minorEastAsia" w:eastAsiaTheme="minorEastAsia"/>
          <w:color w:val="auto"/>
          <w:sz w:val="30"/>
        </w:rPr>
      </w:pPr>
      <w:r>
        <w:rPr>
          <w:rFonts w:hint="eastAsia" w:asciiTheme="minorEastAsia" w:hAnsiTheme="minorEastAsia" w:eastAsiaTheme="minorEastAsia"/>
          <w:color w:val="auto"/>
          <w:sz w:val="30"/>
        </w:rPr>
        <w:t>交银施罗德</w:t>
      </w:r>
      <w:r>
        <w:rPr>
          <w:rFonts w:hint="eastAsia" w:asciiTheme="minorEastAsia" w:hAnsiTheme="minorEastAsia" w:eastAsiaTheme="minorEastAsia"/>
          <w:color w:val="auto"/>
          <w:sz w:val="30"/>
          <w:lang w:val="en-US" w:eastAsia="zh-CN"/>
        </w:rPr>
        <w:t>港股消费混合型证券投资基金（QDII）</w:t>
      </w:r>
      <w:r>
        <w:rPr>
          <w:rFonts w:hint="eastAsia" w:asciiTheme="minorEastAsia" w:hAnsiTheme="minorEastAsia" w:eastAsiaTheme="minorEastAsia"/>
          <w:color w:val="auto"/>
          <w:sz w:val="30"/>
        </w:rPr>
        <w:t>基金合同摘要</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default" w:ascii="Times New Roman" w:hAnsi="Times New Roman" w:cs="Times New Roman"/>
          <w:b/>
          <w:bCs w:val="0"/>
          <w:kern w:val="2"/>
          <w:sz w:val="24"/>
          <w:szCs w:val="24"/>
        </w:rPr>
      </w:pPr>
      <w:r>
        <w:rPr>
          <w:rFonts w:hint="eastAsia" w:ascii="宋体" w:hAnsi="宋体" w:eastAsia="宋体" w:cs="宋体"/>
          <w:b/>
          <w:bCs w:val="0"/>
          <w:kern w:val="2"/>
          <w:sz w:val="24"/>
          <w:szCs w:val="24"/>
          <w:lang w:val="en-US" w:eastAsia="zh-CN" w:bidi="ar"/>
        </w:rPr>
        <w:t>一、基金管理人、基金托管人和基金份额持有人的权利、义务</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（一）基金管理人的权利</w:t>
      </w:r>
      <w:bookmarkStart w:id="0" w:name="_GoBack"/>
      <w:bookmarkEnd w:id="0"/>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根据《基金法》、《运作办法》及其他有关规定，基金管理人的权利包括但不限于：</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）依法募集资金；</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）自《基金合同》生效之日起，根据法律法规和《基金合同》独立运用并管理基金财产；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）依照《基金合同》收取基金管理费以及法律法规规定或中国证监会批准的其他费用；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）销售基金份额；</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）按照规定召集基金份额持有人大会；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）依据《基金合同》及有关法律规定监督基金托管人，如认为基金托管人违反了《基金合同》及国家有关法律规定，应呈报中国证监会和其他监管部门，并采取必要措施保护基金投资者的利益；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）在基金托管人更换时，提名新的基金托管人；</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）选择、更换基金销售机构，对基金销售机构的相关行为进行监督和处理；</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）担任或委托其他符合条件的机构担任基金登记机构办理基金登记业务并获得《基金合同》规定的费用；</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）依据《基金合同》及有关法律规定决定基金收益的分配方案；</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）在《基金合同》约定的范围内，拒绝或暂停受理申购与赎回申请；</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）依照法律法规为基金的利益对被投资公司行使股东权利，为基金的利益行使因基金财产投资于证券所产生的权利；</w:t>
      </w:r>
      <w:r>
        <w:rPr>
          <w:rFonts w:hint="default" w:ascii="Times New Roman" w:hAnsi="Times New Roman" w:eastAsia="宋体" w:cs="Times New Roman"/>
          <w:bCs/>
          <w:kern w:val="2"/>
          <w:sz w:val="24"/>
          <w:szCs w:val="24"/>
          <w:lang w:val="en-US" w:eastAsia="zh-CN" w:bidi="ar"/>
        </w:rPr>
        <w:tab/>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）在法律法规允许的前提下，为基金的利益依法为基金进行融资；</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）以基金管理人的名义，代表基金份额持有人的利益行使诉讼权利或者实施其他法律行为；</w:t>
      </w:r>
      <w:r>
        <w:rPr>
          <w:rFonts w:hint="default" w:ascii="Times New Roman" w:hAnsi="Times New Roman" w:eastAsia="宋体" w:cs="Times New Roman"/>
          <w:bCs/>
          <w:kern w:val="2"/>
          <w:sz w:val="24"/>
          <w:szCs w:val="24"/>
          <w:lang w:val="en-US" w:eastAsia="zh-CN" w:bidi="ar"/>
        </w:rPr>
        <w:tab/>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）选择、更换律师事务所、会计师事务所、证券经纪商、期货经纪机构或其他为基金提供服务的外部机构；</w:t>
      </w:r>
      <w:r>
        <w:rPr>
          <w:rFonts w:hint="default" w:ascii="Times New Roman" w:hAnsi="Times New Roman" w:eastAsia="宋体" w:cs="Times New Roman"/>
          <w:bCs/>
          <w:kern w:val="2"/>
          <w:sz w:val="24"/>
          <w:szCs w:val="24"/>
          <w:lang w:val="en-US" w:eastAsia="zh-CN" w:bidi="ar"/>
        </w:rPr>
        <w:tab/>
      </w:r>
    </w:p>
    <w:p>
      <w:pPr>
        <w:keepNext w:val="0"/>
        <w:keepLines w:val="0"/>
        <w:widowControl w:val="0"/>
        <w:suppressLineNumbers w:val="0"/>
        <w:spacing w:before="0" w:beforeAutospacing="0" w:after="0" w:afterAutospacing="0" w:line="440" w:lineRule="atLeas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16</w:t>
      </w:r>
      <w:r>
        <w:rPr>
          <w:rFonts w:hint="eastAsia" w:ascii="宋体" w:hAnsi="宋体" w:eastAsia="宋体" w:cs="宋体"/>
          <w:bCs/>
          <w:kern w:val="2"/>
          <w:sz w:val="24"/>
          <w:szCs w:val="24"/>
          <w:lang w:val="en-US" w:eastAsia="zh-CN" w:bidi="ar"/>
        </w:rPr>
        <w:t>）在符合有关法律、法规的前提下，制定和调整有关基金认购、申购、赎回、转换等的业务规则，开通人民币之外的其他销售币种基金份额的申购、赎回等业务；</w:t>
      </w:r>
    </w:p>
    <w:p>
      <w:pPr>
        <w:keepNext w:val="0"/>
        <w:keepLines w:val="0"/>
        <w:widowControl w:val="0"/>
        <w:suppressLineNumbers w:val="0"/>
        <w:spacing w:before="0" w:beforeAutospacing="0" w:after="0" w:afterAutospacing="0" w:line="440" w:lineRule="atLeas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17</w:t>
      </w:r>
      <w:r>
        <w:rPr>
          <w:rFonts w:hint="eastAsia" w:ascii="宋体" w:hAnsi="宋体" w:eastAsia="宋体" w:cs="宋体"/>
          <w:bCs/>
          <w:kern w:val="2"/>
          <w:sz w:val="24"/>
          <w:szCs w:val="24"/>
          <w:lang w:val="en-US" w:eastAsia="zh-CN" w:bidi="ar"/>
        </w:rPr>
        <w:t>）选择、增加、更换或撤销境外投资顾问（如有）；</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18</w:t>
      </w:r>
      <w:r>
        <w:rPr>
          <w:rFonts w:hint="eastAsia" w:ascii="宋体" w:hAnsi="宋体" w:eastAsia="宋体" w:cs="宋体"/>
          <w:bCs/>
          <w:kern w:val="2"/>
          <w:sz w:val="24"/>
          <w:szCs w:val="24"/>
          <w:lang w:val="en-US" w:eastAsia="zh-CN" w:bidi="ar"/>
        </w:rPr>
        <w:t>）法律法规及中国证监会规定的和《基金合同》约定的其他权利。</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（二）基金管理人的义务</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根据《基金法》、《运作办法》及其他有关规定，基金管理人的义务包括但不限于：</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）依法募集资金，办理或者委托经中国证监会认定的其他机构办理基金份额的发售、申购、赎回和登记事宜；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）办理基金备案手续；</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）自《基金合同》生效之日起，以诚实信用、谨慎勤勉的原则管理和运用基金财产；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）配备足够的具有专业资格的人员进行基金投资分析、决策，以专业化的经营方式管理和运作基金财产；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）建立健全内部风险控制、监察与稽核、财务管理及人事管理等制度，保证所管理的基金财产和基金管理人的财产相互独立，对所管理的不同基金分别管理，分别记账，进行证券投资；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）除依据《基金法》、《基金合同》及其他有关规定外，不得利用基金财产为自己及任何第三人谋取利益，不得委托第三人运作基金财产；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）依法接受基金托管人的监督；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）采取适当合理的措施使计算基金份额认购、申购、赎回和注销价格的方法符合《基金合同》等法律文件的规定，按有关规定计算并公告基金净值信息，确定基金份额申购、赎回的价格；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）进行基金会计核算并编制基金财务会计报告；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）编制季度报告、中期报告和年度报告；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）严格按照《基金法》、《基金合同》及其他有关规定，履行信息披露及报告义务；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）按《基金合同》的约定确定基金收益分配方案，及时向基金份额持有人分配基金收益；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）按规定受理申购与赎回申请，及时、足额支付赎回款项；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）依据《基金法》、《基金合同》及其他有关规定召集基金份额持有人大会或配合基金托管人、基金份额持有人依法召集基金份额持有人大会；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16</w:t>
      </w:r>
      <w:r>
        <w:rPr>
          <w:rFonts w:hint="eastAsia" w:ascii="宋体" w:hAnsi="宋体" w:eastAsia="宋体" w:cs="宋体"/>
          <w:bCs/>
          <w:kern w:val="2"/>
          <w:sz w:val="24"/>
          <w:szCs w:val="24"/>
          <w:lang w:val="en-US" w:eastAsia="zh-CN" w:bidi="ar"/>
        </w:rPr>
        <w:t>）按规定保存基金财产管理业务活动的会计账册、报表、记录和其他相关资料不低于法律法规规定的最低期限；</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17</w:t>
      </w:r>
      <w:r>
        <w:rPr>
          <w:rFonts w:hint="eastAsia" w:ascii="宋体" w:hAnsi="宋体" w:eastAsia="宋体" w:cs="宋体"/>
          <w:bCs/>
          <w:kern w:val="2"/>
          <w:sz w:val="24"/>
          <w:szCs w:val="24"/>
          <w:lang w:val="en-US" w:eastAsia="zh-CN" w:bidi="ar"/>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18</w:t>
      </w:r>
      <w:r>
        <w:rPr>
          <w:rFonts w:hint="eastAsia" w:ascii="宋体" w:hAnsi="宋体" w:eastAsia="宋体" w:cs="宋体"/>
          <w:bCs/>
          <w:kern w:val="2"/>
          <w:sz w:val="24"/>
          <w:szCs w:val="24"/>
          <w:lang w:val="en-US" w:eastAsia="zh-CN" w:bidi="ar"/>
        </w:rPr>
        <w:t>）组织并参加基金财产清算小组，参与基金财产的保管、清理、估价、变现和分配；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19</w:t>
      </w:r>
      <w:r>
        <w:rPr>
          <w:rFonts w:hint="eastAsia" w:ascii="宋体" w:hAnsi="宋体" w:eastAsia="宋体" w:cs="宋体"/>
          <w:bCs/>
          <w:kern w:val="2"/>
          <w:sz w:val="24"/>
          <w:szCs w:val="24"/>
          <w:lang w:val="en-US" w:eastAsia="zh-CN" w:bidi="ar"/>
        </w:rPr>
        <w:t>）面临解散、依法被撤销或者被依法宣告破产时，及时报告中国证监会，并通知基金托管人；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）因违反《基金合同》导致基金财产的损失或损害基金份额持有人合法权益时，应当承担赔偿责任，其赔偿责任不因其退任而免除；</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21</w:t>
      </w:r>
      <w:r>
        <w:rPr>
          <w:rFonts w:hint="eastAsia" w:ascii="宋体" w:hAnsi="宋体" w:eastAsia="宋体" w:cs="宋体"/>
          <w:bCs/>
          <w:kern w:val="2"/>
          <w:sz w:val="24"/>
          <w:szCs w:val="24"/>
          <w:lang w:val="en-US" w:eastAsia="zh-CN" w:bidi="ar"/>
        </w:rPr>
        <w:t>）监督基金托管人按法律法规和《基金合同》规定履行自己的义务，基金托管人违反《基金合同》造成基金财产损失时，基金管理人应为基金份额持有人利益向基金托管人追偿；</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22</w:t>
      </w:r>
      <w:r>
        <w:rPr>
          <w:rFonts w:hint="eastAsia" w:ascii="宋体" w:hAnsi="宋体" w:eastAsia="宋体" w:cs="宋体"/>
          <w:bCs/>
          <w:kern w:val="2"/>
          <w:sz w:val="24"/>
          <w:szCs w:val="24"/>
          <w:lang w:val="en-US" w:eastAsia="zh-CN" w:bidi="ar"/>
        </w:rPr>
        <w:t>）当基金管理人将其义务委托第三方处理时，应当对第三方处理有关基金事务的行为承担责任；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23</w:t>
      </w:r>
      <w:r>
        <w:rPr>
          <w:rFonts w:hint="eastAsia" w:ascii="宋体" w:hAnsi="宋体" w:eastAsia="宋体" w:cs="宋体"/>
          <w:bCs/>
          <w:kern w:val="2"/>
          <w:sz w:val="24"/>
          <w:szCs w:val="24"/>
          <w:lang w:val="en-US" w:eastAsia="zh-CN" w:bidi="ar"/>
        </w:rPr>
        <w:t>）以基金管理人名义，代表基金份额持有人利益行使诉讼权利或实施其他法律行为；</w:t>
      </w:r>
      <w:r>
        <w:rPr>
          <w:rFonts w:hint="eastAsia" w:ascii="宋体" w:hAnsi="宋体" w:eastAsia="宋体" w:cs="宋体"/>
          <w:bCs/>
          <w:kern w:val="2"/>
          <w:sz w:val="24"/>
          <w:szCs w:val="24"/>
          <w:lang w:val="en-US" w:eastAsia="zh-CN" w:bidi="ar"/>
        </w:rPr>
        <w:tab/>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24</w:t>
      </w:r>
      <w:r>
        <w:rPr>
          <w:rFonts w:hint="eastAsia" w:ascii="宋体" w:hAnsi="宋体" w:eastAsia="宋体" w:cs="宋体"/>
          <w:bCs/>
          <w:kern w:val="2"/>
          <w:sz w:val="24"/>
          <w:szCs w:val="24"/>
          <w:lang w:val="en-US" w:eastAsia="zh-CN" w:bidi="ar"/>
        </w:rPr>
        <w:t>）基金管理人在募集期间未能达到基金的备案条件，《基金合同》不能生效，基金管理人承担因募集行为而产生的债务和费用，将已募集资金并加计银行同期活期存款利息在基金募集期结束后</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日内退还基金认购人；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25</w:t>
      </w:r>
      <w:r>
        <w:rPr>
          <w:rFonts w:hint="eastAsia" w:ascii="宋体" w:hAnsi="宋体" w:eastAsia="宋体" w:cs="宋体"/>
          <w:bCs/>
          <w:kern w:val="2"/>
          <w:sz w:val="24"/>
          <w:szCs w:val="24"/>
          <w:lang w:val="en-US" w:eastAsia="zh-CN" w:bidi="ar"/>
        </w:rPr>
        <w:t>）执行生效的基金份额持有人大会的决议；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26</w:t>
      </w:r>
      <w:r>
        <w:rPr>
          <w:rFonts w:hint="eastAsia" w:ascii="宋体" w:hAnsi="宋体" w:eastAsia="宋体" w:cs="宋体"/>
          <w:bCs/>
          <w:kern w:val="2"/>
          <w:sz w:val="24"/>
          <w:szCs w:val="24"/>
          <w:lang w:val="en-US" w:eastAsia="zh-CN" w:bidi="ar"/>
        </w:rPr>
        <w:t>）建立并保存基金份额持有人名册；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27</w:t>
      </w:r>
      <w:r>
        <w:rPr>
          <w:rFonts w:hint="eastAsia" w:ascii="宋体" w:hAnsi="宋体" w:eastAsia="宋体" w:cs="宋体"/>
          <w:bCs/>
          <w:kern w:val="2"/>
          <w:sz w:val="24"/>
          <w:szCs w:val="24"/>
          <w:lang w:val="en-US" w:eastAsia="zh-CN" w:bidi="ar"/>
        </w:rPr>
        <w:t>）委托境外证券服务机构代理买卖证券的，应当严格履行受信责任，并按照有关规定对投资交易的流程、信息披露、记录保存进行管理；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28</w:t>
      </w:r>
      <w:r>
        <w:rPr>
          <w:rFonts w:hint="eastAsia" w:ascii="宋体" w:hAnsi="宋体" w:eastAsia="宋体" w:cs="宋体"/>
          <w:bCs/>
          <w:kern w:val="2"/>
          <w:sz w:val="24"/>
          <w:szCs w:val="24"/>
          <w:lang w:val="en-US" w:eastAsia="zh-CN" w:bidi="ar"/>
        </w:rPr>
        <w:t>）与境外证券服务机构之间的证券交易和研究服务安排，应当严格按照《试行办法》规定的原则进行；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29</w:t>
      </w:r>
      <w:r>
        <w:rPr>
          <w:rFonts w:hint="eastAsia" w:ascii="宋体" w:hAnsi="宋体" w:eastAsia="宋体" w:cs="宋体"/>
          <w:bCs/>
          <w:kern w:val="2"/>
          <w:sz w:val="24"/>
          <w:szCs w:val="24"/>
          <w:lang w:val="en-US" w:eastAsia="zh-CN" w:bidi="ar"/>
        </w:rPr>
        <w:t>）进行境外证券投资，应当遵守当地监管机构、交易所的有关法律法规规定；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）法律法规及中国证监会规定的和《基金合同》约定的其他义务。</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（三）基金托管人的权利</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根据《基金法》、《运作办法》及其他有关规定，基金托管人的权利包括但不限于：</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）自《基金合同》生效之日起，依法律法规和《基金合同》的规定安全保管基金财产；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）依《基金合同》约定获得基金托管费以及法律法规规定或监管部门批准的其他费用；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）根据相关市场规则，为基金开设资金账户、证券账户等投资所需账户，为基金办理证券、期货交易资金清算；</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）提议召开或召集基金份额持有人大会；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）在基金管理人更换时，提名新的基金管理人；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）选择、更换或撤销境外托管人并与之签署有关协议；</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）法律法规及中国证监会规定的和《基金合同》约定的其他权利。</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kern w:val="2"/>
          <w:sz w:val="24"/>
          <w:szCs w:val="24"/>
        </w:rPr>
      </w:pPr>
      <w:r>
        <w:rPr>
          <w:rFonts w:hint="eastAsia" w:ascii="宋体" w:hAnsi="宋体" w:eastAsia="宋体" w:cs="宋体"/>
          <w:bCs/>
          <w:kern w:val="2"/>
          <w:sz w:val="24"/>
          <w:szCs w:val="24"/>
          <w:lang w:val="en-US" w:eastAsia="zh-CN" w:bidi="ar"/>
        </w:rPr>
        <w:t>（四）</w:t>
      </w:r>
      <w:r>
        <w:rPr>
          <w:rFonts w:hint="eastAsia" w:ascii="宋体" w:hAnsi="宋体" w:eastAsia="宋体" w:cs="宋体"/>
          <w:kern w:val="2"/>
          <w:sz w:val="24"/>
          <w:szCs w:val="24"/>
          <w:lang w:val="en-US" w:eastAsia="zh-CN" w:bidi="ar"/>
        </w:rPr>
        <w:t>基金托管人的义务</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根据《基金法》、《运作办法》及其他有关规定，基金托管人的义务包括但不限于：</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）以诚实信用、勤勉尽责的原则持有并安全保管基金财产；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）设立专门的基金托管部门，具有符合要求的营业场所，配备足够的、合格的熟悉基金托管业务的专职人员，负责基金财产托管事宜；</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）除依据《基金法》、《基金合同》及其他有关规定外，不得利用基金财产为自己及任何第三人谋取利益，不得委托第三人托管基金财产；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）保管由基金管理人代表基金签订的与基金有关的重大合同及有关凭证；</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）按规定开设基金财产的资金账户、证券账户等投资所需账户，按照《基金合同》的约定，根据基金管理人的投资指令，及时办理清算、交割事宜；</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）复核、审查基金管理人计算的基金资产净值、各类基金份额净值、基金份额申购、赎回价格；</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）办理与基金托管业务活动有关的信息披露事项；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）保存基金托管业务活动的记录、账册、报表和其他相关资料不低于法律法规规定的最低期限；</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）建立并保存基金份额持有人名册；</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）按规定制作相关账册并与基金管理人核对；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）依据基金管理人的指令或有关规定向基金份额持有人支付基金收益和赎回款项；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）依据《基金法》、《基金合同》及其他有关规定，召集基金份额持有人大会或配合基金管理人、基金份额持有人依法召集基金份额持有人大会；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16</w:t>
      </w:r>
      <w:r>
        <w:rPr>
          <w:rFonts w:hint="eastAsia" w:ascii="宋体" w:hAnsi="宋体" w:eastAsia="宋体" w:cs="宋体"/>
          <w:bCs/>
          <w:kern w:val="2"/>
          <w:sz w:val="24"/>
          <w:szCs w:val="24"/>
          <w:lang w:val="en-US" w:eastAsia="zh-CN" w:bidi="ar"/>
        </w:rPr>
        <w:t>）按照法律法规和《基金合同》的规定监督基金管理人的投资运作；</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17</w:t>
      </w:r>
      <w:r>
        <w:rPr>
          <w:rFonts w:hint="eastAsia" w:ascii="宋体" w:hAnsi="宋体" w:eastAsia="宋体" w:cs="宋体"/>
          <w:bCs/>
          <w:kern w:val="2"/>
          <w:sz w:val="24"/>
          <w:szCs w:val="24"/>
          <w:lang w:val="en-US" w:eastAsia="zh-CN" w:bidi="ar"/>
        </w:rPr>
        <w:t>）参加基金财产清算小组，参与基金财产的保管、清理、估价、变现和分配；</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18</w:t>
      </w:r>
      <w:r>
        <w:rPr>
          <w:rFonts w:hint="eastAsia" w:ascii="宋体" w:hAnsi="宋体" w:eastAsia="宋体" w:cs="宋体"/>
          <w:bCs/>
          <w:kern w:val="2"/>
          <w:sz w:val="24"/>
          <w:szCs w:val="24"/>
          <w:lang w:val="en-US" w:eastAsia="zh-CN" w:bidi="ar"/>
        </w:rPr>
        <w:t>）面临解散、依法被撤销或者被依法宣告破产时，及时报告中国证监会和银行业监督管理机构，并通知基金管理人；</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19</w:t>
      </w:r>
      <w:r>
        <w:rPr>
          <w:rFonts w:hint="eastAsia" w:ascii="宋体" w:hAnsi="宋体" w:eastAsia="宋体" w:cs="宋体"/>
          <w:bCs/>
          <w:kern w:val="2"/>
          <w:sz w:val="24"/>
          <w:szCs w:val="24"/>
          <w:lang w:val="en-US" w:eastAsia="zh-CN" w:bidi="ar"/>
        </w:rPr>
        <w:t>）因违反《基金合同》导致基金财产损失时，应承担赔偿责任，其赔偿责任不因其退任而免除；</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）按规定监督基金管理人按法律法规和《基金合同》规定履行自己的义务，基金管理人因违反《基金合同》造成基金财产损失时，应为基金份额持有人利益向基金管理人追偿；</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21</w:t>
      </w:r>
      <w:r>
        <w:rPr>
          <w:rFonts w:hint="eastAsia" w:ascii="宋体" w:hAnsi="宋体" w:eastAsia="宋体" w:cs="宋体"/>
          <w:bCs/>
          <w:kern w:val="2"/>
          <w:sz w:val="24"/>
          <w:szCs w:val="24"/>
          <w:lang w:val="en-US" w:eastAsia="zh-CN" w:bidi="ar"/>
        </w:rPr>
        <w:t>）执行生效的基金份额持有人大会的决议；</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22</w:t>
      </w:r>
      <w:r>
        <w:rPr>
          <w:rFonts w:hint="eastAsia" w:ascii="宋体" w:hAnsi="宋体" w:eastAsia="宋体" w:cs="宋体"/>
          <w:bCs/>
          <w:kern w:val="2"/>
          <w:sz w:val="24"/>
          <w:szCs w:val="24"/>
          <w:lang w:val="en-US" w:eastAsia="zh-CN" w:bidi="ar"/>
        </w:rPr>
        <w:t>）选择符合《试行办法》规定的境外托管人。对基金的境外财产，基金托管人可授权境外托管人代为履行其承担的职责；境外托管人在履行职责过程中，因本身过错、疏忽原因而导致的基金财产受损的，基金托管人承担相应责任；在决定境外托管人是否存在过错、疏忽等不当行为时，应根据基金托管人与境外托管人之间的协议适用法律及当地的法律法规、证券市场惯例决定；但基金托管人已按照谨慎、尽职的原则选择、委任和监督境外托管人，且境外托管人已按照当地法律法规、本基金合同及托管协议的要求托管资产的前提下，对境外托管人的破产而产生的损失，基金托管人不承担赔偿责任；</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23</w:t>
      </w:r>
      <w:r>
        <w:rPr>
          <w:rFonts w:hint="eastAsia" w:ascii="宋体" w:hAnsi="宋体" w:eastAsia="宋体" w:cs="宋体"/>
          <w:bCs/>
          <w:kern w:val="2"/>
          <w:sz w:val="24"/>
          <w:szCs w:val="24"/>
          <w:lang w:val="en-US" w:eastAsia="zh-CN" w:bidi="ar"/>
        </w:rPr>
        <w:t>）保护基金份额持有人利益，按照规定对基金日常投资行为和资金汇出入情况实施监督，如发现投资指令或资金汇出入违法、违规，应当及时向中国证监会、外管局报告；</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24</w:t>
      </w:r>
      <w:r>
        <w:rPr>
          <w:rFonts w:hint="eastAsia" w:ascii="宋体" w:hAnsi="宋体" w:eastAsia="宋体" w:cs="宋体"/>
          <w:bCs/>
          <w:kern w:val="2"/>
          <w:sz w:val="24"/>
          <w:szCs w:val="24"/>
          <w:lang w:val="en-US" w:eastAsia="zh-CN" w:bidi="ar"/>
        </w:rPr>
        <w:t>）按照监管规定，向中国证监会和外管局报告基金管理人境外投资情况，并按相关规定进行国际收支申报；</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25</w:t>
      </w:r>
      <w:r>
        <w:rPr>
          <w:rFonts w:hint="eastAsia" w:ascii="宋体" w:hAnsi="宋体" w:eastAsia="宋体" w:cs="宋体"/>
          <w:bCs/>
          <w:kern w:val="2"/>
          <w:sz w:val="24"/>
          <w:szCs w:val="24"/>
          <w:lang w:val="en-US" w:eastAsia="zh-CN" w:bidi="ar"/>
        </w:rPr>
        <w:t>）办理基金管理人就管理本基金的有关结汇、售汇、收汇、付汇和人民币资金结算业务；</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26</w:t>
      </w:r>
      <w:r>
        <w:rPr>
          <w:rFonts w:hint="eastAsia" w:ascii="宋体" w:hAnsi="宋体" w:eastAsia="宋体" w:cs="宋体"/>
          <w:bCs/>
          <w:kern w:val="2"/>
          <w:sz w:val="24"/>
          <w:szCs w:val="24"/>
          <w:lang w:val="en-US" w:eastAsia="zh-CN" w:bidi="ar"/>
        </w:rPr>
        <w:t>）基金托管人应保管基金管理人就管理本基金的资金汇出、汇入、兑换、收汇、付汇、资金往来、委托及成交记录等相关资料，其保存的时间应当不少于法律法规规定的最低期限；</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27</w:t>
      </w:r>
      <w:r>
        <w:rPr>
          <w:rFonts w:hint="eastAsia" w:ascii="宋体" w:hAnsi="宋体" w:eastAsia="宋体" w:cs="宋体"/>
          <w:bCs/>
          <w:kern w:val="2"/>
          <w:sz w:val="24"/>
          <w:szCs w:val="24"/>
          <w:lang w:val="en-US" w:eastAsia="zh-CN" w:bidi="ar"/>
        </w:rPr>
        <w:t>）安全保护基金财产，根据本基金合同约定及时将公司行为信息通知基金管理人，协助基金及时收取应得收入；</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28</w:t>
      </w:r>
      <w:r>
        <w:rPr>
          <w:rFonts w:hint="eastAsia" w:ascii="宋体" w:hAnsi="宋体" w:eastAsia="宋体" w:cs="宋体"/>
          <w:bCs/>
          <w:kern w:val="2"/>
          <w:sz w:val="24"/>
          <w:szCs w:val="24"/>
          <w:lang w:val="en-US" w:eastAsia="zh-CN" w:bidi="ar"/>
        </w:rPr>
        <w:t>）法律法规及中国证监会、外管局规定的和《基金合同》约定的其他义务。</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（五）基金份额持有人的权利</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同一类别每份基金份额具有同等的合法权益。</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根据《基金法》、《运作办法》及其他有关规定，基金份额持有人的权利包括但不限于：</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）分享基金财产收益；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）参与分配清算后的剩余基金财产；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）依法并按照基金合同和招募说明书的规定转让或者申请赎回其持有的基金份额；</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）按照规定要求召开基金份额持有人大会或者召集基金份额持有人大会；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）出席或者委派代表出席基金份额持有人大会，对基金份额持有人大会审议事项行使表决权；</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）查阅或者复制公开披露的基金信息资料；</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）监督基金管理人的投资运作；</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）对基金管理人、基金托管人、基金服务机构损害其合法权益的行为依法提起诉讼或仲裁；</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）法律法规及中国证监会规定的和《基金合同》约定的其他权利。</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kern w:val="2"/>
          <w:sz w:val="24"/>
          <w:szCs w:val="24"/>
        </w:rPr>
      </w:pPr>
      <w:r>
        <w:rPr>
          <w:rFonts w:hint="eastAsia" w:ascii="宋体" w:hAnsi="宋体" w:eastAsia="宋体" w:cs="宋体"/>
          <w:bCs/>
          <w:kern w:val="2"/>
          <w:sz w:val="24"/>
          <w:szCs w:val="24"/>
          <w:lang w:val="en-US" w:eastAsia="zh-CN" w:bidi="ar"/>
        </w:rPr>
        <w:t>（六）</w:t>
      </w:r>
      <w:r>
        <w:rPr>
          <w:rFonts w:hint="eastAsia" w:ascii="宋体" w:hAnsi="宋体" w:eastAsia="宋体" w:cs="宋体"/>
          <w:kern w:val="2"/>
          <w:sz w:val="24"/>
          <w:szCs w:val="24"/>
          <w:lang w:val="en-US" w:eastAsia="zh-CN" w:bidi="ar"/>
        </w:rPr>
        <w:t>基金份额持有人的义务</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根据《基金法》、《运作办法》及其他有关规定，基金份额持有人的义务包括但不限于：</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）认真阅读并遵守《基金合同》、招募说明书等信息披露文件；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）了解所投资基金产品，了解自身风险承受能力，自主判断基金的投资价值，自主做出投资决策，自行承担投资风险；</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）关注基金信息披露，及时行使权利和履行义务；</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）交纳基金认购、申购款项及法律法规和《基金合同》所规定的费用；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）在其持有的基金份额范围内，承担基金亏损或者《基金合同》终止的有限责任；</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）不从事任何有损基金及其他《基金合同》当事人合法权益的活动；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）执行生效的基金份额持有人大会的决议；</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）返还在基金交易过程中因任何原因获得的不当得利；</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）遵守基金管理人、基金托管人、销售机构和登记机构的相关交易及业务规则；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）提供基金管理人和监管机构依法要求提供的信息，以及不时的更新和补充，并保证其真实性；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）法律法规及中国证监会规定的和《基金合同》约定的其他义务。</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default" w:ascii="Times New Roman" w:hAnsi="Times New Roman" w:cs="Times New Roman"/>
          <w:b/>
          <w:bCs/>
          <w:kern w:val="2"/>
          <w:sz w:val="24"/>
          <w:szCs w:val="24"/>
        </w:rPr>
      </w:pPr>
      <w:r>
        <w:rPr>
          <w:rFonts w:hint="eastAsia" w:ascii="宋体" w:hAnsi="宋体" w:eastAsia="宋体" w:cs="宋体"/>
          <w:b/>
          <w:bCs/>
          <w:kern w:val="2"/>
          <w:sz w:val="24"/>
          <w:szCs w:val="24"/>
          <w:lang w:val="en-US" w:eastAsia="zh-CN" w:bidi="ar"/>
        </w:rPr>
        <w:t>二、基金份额持有人大会召集、议事及表决的程序和规则</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基金份额持有人大会由基金份额持有人组成，基金份额持有人的合法授权代表有权代表基金份额持有人出席会议并表决。基金份额持有人持有的每一基金份额拥有平等的投票权。</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本基金份额持有人大会不设日常机构。</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（一）召开事由</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、当出现或需要决定下列事由之一的，应当召开基金份额持有人大会，法律法规和中国证监会另有规定的除外：</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）终止《基金合同》，基金合同另有规定的除外；</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）更换基金管理人；</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）更换基金托管人；</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）转换基金运作方式；</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）调整基金管理人、基金托管人的报酬标准或提高销售服务费率；</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）变更基金类别；</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）本基金与其他基金的合并；</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）变更基金投资目标、范围或策略，基金合同另有规定的除外；</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）变更基金份额持有人大会程序，基金合同另有规定的除外；</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）基金管理人或基金托管人要求召开基金份额持有人大会；</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）单独或合计持有本基金总份额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）基金份额的基金份额持有人（以基金管理人收到提议当日的基金份额计算，下同）就同一事项书面要求召开基金份额持有人大会；</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）对基金合同当事人权利和义务产生重大影响的其他事项；</w:t>
      </w:r>
    </w:p>
    <w:p>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）法律法规、《基金合同》或中国证监会规定的其他应当召开基金份额持有人大会的事项。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、在法律法规规定和《基金合同》约定的范围内且对基金份额持有人利益无实质性不利影响的前提下，以下情况可由基金管理人和基金托管人协商后修改，不需召开基金份额持有人大会：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）调低基金销售服务费率；</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）法律法规要求增加的基金费用的收取；</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）在法律法规和《基金合同》规定的范围内调整本基金的申购费率、在对现有基金份额持有人利益无实质性不利影响的前提下变更收费方式；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）因相应的法律法规、登记机构的相关业务规则发生变动而应当对《基金合同》进行修改；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）对《基金合同》的修改对基金份额持有人利益无实质性不利影响或修改不涉及《基金合同》当事人权利义务关系发生重大变化；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）在法律法规允许的情况下，且在对现有基金份额持有人利益无实质性不利影响的前提下，在履行适当程序后，基金推出新业务或服务；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）在符合法律法规及本基金合同规定、并且对基金份额持有人利益无实质性不利影响的前提下，增加或调整本基金份额类别的设置、对基金份额分类办法及规则进行调整；</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）在不违反法律法规及对基金份额持有人利益无实质性不利影响的前提下，基金管理人、登记机构、销售机构调整有关基金认购、申购、赎回、转换、收益分配、非交易过户、转托管等业务的规则；</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）按照法律法规和《基金合同》规定不需召开基金份额持有人大会的其他情形。</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（二）会议召集人及召集方式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、除法律法规规定或《基金合同》另有约定外，基金份额持有人大会由基金管理人召集；</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、基金管理人未按规定召集或不能召集时，由基金托管人召集；</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、基金托管人认为有必要召开基金份额持有人大会的，应当向基金管理人提出书面提议。基金管理人应当自收到书面提议之日起</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日内决定是否召集，并书面告知基金托管人。基金管理人决定召集的，应当自出具书面决定之日起</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日内召开；基金管理人决定不召集，基金托管人仍认为有必要召开的，应当由基金托管人自行召集，并自出具书面决定之日起</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日内召开并告知基金管理人，基金管理人应当配合；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、代表基金份额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）的基金份额持有人就同一事项书面要求召开基金份额持有人大会，应当向基金管理人提出书面提议。基金管理人应当自收到书面提议之日起</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日内决定是否召集，并书面告知提出提议的基金份额持有人代表和基金托管人。基金管理人决定召集的，应当自出具书面决定之日起</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日内召开；基金管理人决定不召集，代表基金份额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）的基金份额持有人仍认为有必要召开的，应当向基金托管人提出书面提议。基金托管人应当自收到书面提议之日起</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日内决定是否召集，并书面告知提出提议的基金份额持有人代表和基金管理人；基金托管人决定召集的，应当自出具书面决定之日起</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日内召开并告知基金管理人，基金管理人应当配合；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、代表基金份额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）的基金份额持有人就同一事项要求召开基金份额持有人大会，而基金管理人、基金托管人都不召集的，单独或合计代表基金份额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）的基金份额持有人有权自行召集，并至少提前</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日报中国证监会备案。基金份额持有人依法自行召集基金份额持有人大会的，基金管理人、基金托管人应当配合，不得阻碍、干扰；</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、基金份额持有人会议的召集人负责选择确定开会时间、地点、方式和权益登记日。</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（三）召开基金份额持有人大会的通知时间、通知内容、通知方式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、召开基金份额持有人大会，召集人应于会议召开前</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日，在规定媒介公告。基金份额持有人大会通知应至少载明以下内容：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）会议召开的时间、地点和会议形式；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）会议拟审议的事项、议事程序和表决方式；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）有权出席基金份额持有人大会的基金份额持有人的权益登记日；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）授权委托证明的内容要求（包括但不限于代理人身份，代理权限和代理有效期限等）、送达时间和地点；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）会务常设联系人姓名及联系电话；</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）出席会议者必须准备的文件和必须履行的手续；</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）召集人需要通知的其他事项。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（四）基金份额持有人出席会议的方式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基金份额持有人大会可通过现场开会方式、通讯开会方式或法律法规、监管机构允许的其他方式召开，会议的召开方式由会议召集人确定。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个月以后、</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个月以内，就原定审议事项重新召集基金份额持有人大会。重新召集的基金份额持有人大会到会者在权益登记日代表的有效的基金份额应不少于本基金在权益登记日基金总份额的三分之一（含三分之一）。</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、通讯开会。通讯开会系指基金份额持有人将其对表决事项的投票以会议通知载明的形式或基金合同约定的其他方式在表决截止日以前送达至召集人指定的地址或系统。</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在同时符合以下条件时，通讯开会的方式视为有效：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）会议召集人按《基金合同》约定公布会议通知后，在</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个工作日内连续公布相关提示性公告；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个月以后、</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）上述第（</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（五）议事内容与程序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、议事内容及提案权</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基金份额持有人大会的召集人发出召集会议的通知后，对原有提案的修改应当在基金份额持有人大会召开前及时公告。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基金份额持有人大会不得对未事先公告的议事内容进行表决。</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、议事程序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）现场开会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）选举产生一名基金份额持有人或代理人作为该次基金份额持有人大会的主持人。基金管理人和基金托管人拒不出席或主持基金份额持有人大会，不影响基金份额持有人大会作出的决议的效力。</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会议召集人应当制作出席会议人员的签名册。签名册载明参加会议人员姓名（或单位名称）、身份证明文件号码、持有或代表有表决权的基金份额、委托人姓名（或单位名称）和联系方式等事项。</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）通讯开会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在通讯开会的情况下，首先由召集人提前</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日公布提案，在所通知的表决截止日期后</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个工作日内在公证机关监督下由召集人统计全部有效表决，在公证机关监督下形成决议。</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（六）表决</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基金份额持有人所持每份基金份额有一票表决权。</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基金份额持有人大会决议分为一般决议和特别决议：</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、一般决议，一般决议须经参加大会的基金份额持有人或其代理人所持表决权的二分之一以上（含二分之一）通过方为有效；除下列第</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项所规定的须以特别决议通过事项以外的其他事项均以一般决议的方式通过。</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基金份额持有人大会采取记名方式进行投票表决。</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基金份额持有人大会的各项提案或同一项提案内并列的各项议题应当分开审议、逐项表决。</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（七）计票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、现场开会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）监票人应当在基金份额持有人表决后立即进行清点并由大会主持人当场公布计票结果。</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）计票过程应由公证机关予以公证，基金管理人或基金托管人拒不出席大会的，不影响计票的效力。</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、通讯开会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（八）生效与公告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基金份额持有人大会的决议，召集人应当自通过之日起</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日内报中国证监会备案。</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基金份额持有人大会的决议自表决通过之日起生效。法律法规另有规定的，从其规定。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基金管理人、基金托管人和基金份额持有人应当执行生效的基金份额持有人大会的决议。生效的基金份额持有人大会决议对全体基金份额持有人、基金管理人、基金托管人均有约束力。</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（九）实施侧袋机制期间基金份额持有人大会的特殊约定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、基金份额持有人行使提议权、召集权、提名权所需单独或合计代表相关基金份额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、现场开会的到会者在权益登记日代表的基金份额不少于本基金在权益登记日相关基金份额的二分之一（含二分之一）；</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、通讯开会的直接出具表决意见或授权他人代表出具表决意见的基金份额持有人所持有的基金份额不小于在权益登记日相关基金份额的二分之一（含二分之一）；</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、在参与基金份额持有人大会投票的基金份额持有人所持有的基金份额小于在权益登记日相关基金份额的二分之一、召集人在原公告的基金份额持有人大会召开时间的</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个月以后、</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个月以内就原定审议事项重新召集的基金份额持有人大会应当有代表三分之一以上（含三分之一）相关基金份额的持有人参与或授权他人参与基金份额持有人大会投票；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、现场开会由出席大会的基金份额持有人和代理人所持表决权的</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）选举产生一名基金份额持有人或代理人作为该次基金份额持有人大会的主持人；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、一般决议须经参加大会的基金份额持有人或其代理人所持表决权的二分之一以上（含二分之一）通过；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、特别决议应当经参加大会的基金份额持有人或其代理人所持表决权的三分之二以上（含三分之二）通过。</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同一主侧袋账户内的每份基金份额具有平等的表决权。</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十、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三、基金收益分配原则、执行方式</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（一）基金收益分配原则</w:t>
      </w:r>
    </w:p>
    <w:p>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、由于本基金</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类基金份额不收取销售服务费，</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类基金份额收取销售服务费，各基金份额类别对应的可供分配利润将有所不同；</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、在符合有关基金分红条件的前提下，本基金管理人可以根据实际情况进行收益分配，具体分配方案以公告为准，若《基金合同》生效不满</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个月可不进行收益分配；</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、本基金收益分配方式分两种：现金分红与红利再投资，投资者可选择现金红利或将现金红利自动转为相应类别的基金份额进行再投资；若投资者不选择，本基金默认的收益分配方式是现金分红；</w:t>
      </w:r>
      <w:r>
        <w:rPr>
          <w:rFonts w:hint="eastAsia" w:ascii="宋体" w:hAnsi="宋体" w:eastAsia="宋体" w:cs="宋体"/>
          <w:kern w:val="2"/>
          <w:sz w:val="24"/>
          <w:szCs w:val="24"/>
          <w:lang w:val="en-US" w:eastAsia="zh-CN" w:bidi="ar"/>
        </w:rPr>
        <w:t>基金份额持有人可对其持有的</w:t>
      </w:r>
      <w:r>
        <w:rPr>
          <w:rFonts w:hint="default" w:ascii="Times New Roman" w:hAnsi="Times New Roman" w:eastAsia="宋体" w:cs="Times New Roman"/>
          <w:kern w:val="2"/>
          <w:sz w:val="24"/>
          <w:szCs w:val="24"/>
          <w:lang w:val="en-US" w:eastAsia="zh-CN" w:bidi="ar"/>
        </w:rPr>
        <w:t>A</w:t>
      </w:r>
      <w:r>
        <w:rPr>
          <w:rFonts w:hint="eastAsia" w:ascii="宋体" w:hAnsi="宋体" w:eastAsia="宋体" w:cs="宋体"/>
          <w:kern w:val="2"/>
          <w:sz w:val="24"/>
          <w:szCs w:val="24"/>
          <w:lang w:val="en-US" w:eastAsia="zh-CN" w:bidi="ar"/>
        </w:rPr>
        <w:t>类</w:t>
      </w:r>
      <w:r>
        <w:rPr>
          <w:rFonts w:hint="eastAsia" w:ascii="宋体" w:hAnsi="宋体" w:eastAsia="宋体" w:cs="宋体"/>
          <w:bCs/>
          <w:kern w:val="2"/>
          <w:sz w:val="24"/>
          <w:szCs w:val="24"/>
          <w:lang w:val="en-US" w:eastAsia="zh-CN" w:bidi="ar"/>
        </w:rPr>
        <w:t>基金份额</w:t>
      </w:r>
      <w:r>
        <w:rPr>
          <w:rFonts w:hint="eastAsia" w:ascii="宋体" w:hAnsi="宋体" w:eastAsia="宋体" w:cs="宋体"/>
          <w:kern w:val="2"/>
          <w:sz w:val="24"/>
          <w:szCs w:val="24"/>
          <w:lang w:val="en-US" w:eastAsia="zh-CN" w:bidi="ar"/>
        </w:rPr>
        <w:t>和</w:t>
      </w:r>
      <w:r>
        <w:rPr>
          <w:rFonts w:hint="default" w:ascii="Times New Roman" w:hAnsi="Times New Roman" w:eastAsia="宋体" w:cs="Times New Roman"/>
          <w:kern w:val="2"/>
          <w:sz w:val="24"/>
          <w:szCs w:val="24"/>
          <w:lang w:val="en-US" w:eastAsia="zh-CN" w:bidi="ar"/>
        </w:rPr>
        <w:t>C</w:t>
      </w:r>
      <w:r>
        <w:rPr>
          <w:rFonts w:hint="eastAsia" w:ascii="宋体" w:hAnsi="宋体" w:eastAsia="宋体" w:cs="宋体"/>
          <w:kern w:val="2"/>
          <w:sz w:val="24"/>
          <w:szCs w:val="24"/>
          <w:lang w:val="en-US" w:eastAsia="zh-CN" w:bidi="ar"/>
        </w:rPr>
        <w:t>类基金份额分别选择不同的收益分配方式；</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、基金收益分配后任一类基金份额净值不能低于面值；即基金收益分配基准日的任一类基金份额净值减去该类每单位基金份额收益分配金额后不能低于面值；</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、本基金同一基金份额类别的每一基金份额享有同等分配权；</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、法律法规或监管机关另有规定的，从其规定。</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在对基金份额持有人利益无实质不利影响的前提下，基金管理人与基金托管人协商一致并按照监管部门要求履行适当程序后，可对基金收益分配原则进行调整。</w:t>
      </w:r>
    </w:p>
    <w:p>
      <w:pPr>
        <w:keepNext w:val="0"/>
        <w:keepLines w:val="0"/>
        <w:widowControl w:val="0"/>
        <w:suppressLineNumbers w:val="0"/>
        <w:spacing w:before="0" w:beforeAutospacing="0" w:after="0" w:afterAutospacing="0" w:line="360" w:lineRule="auto"/>
        <w:ind w:left="0" w:right="0" w:firstLine="540" w:firstLineChars="225"/>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（二）收益分配方案</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基金收益分配方案中应载明截止收益分配基准日的可供分配利润、基金收益分配对象、分配时间、分配数额及比例、分配方式等内容。</w:t>
      </w:r>
    </w:p>
    <w:p>
      <w:pPr>
        <w:keepNext w:val="0"/>
        <w:keepLines w:val="0"/>
        <w:widowControl w:val="0"/>
        <w:suppressLineNumbers w:val="0"/>
        <w:spacing w:before="0" w:beforeAutospacing="0" w:after="0" w:afterAutospacing="0" w:line="360" w:lineRule="auto"/>
        <w:ind w:left="0" w:right="0" w:firstLine="540" w:firstLineChars="225"/>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（三）收益分配方案的确定、公告与实施</w:t>
      </w:r>
    </w:p>
    <w:p>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本基金收益分配方案由基金管理人拟定，并由基金托管人复核，依照《信息披露办法》的规定在规定媒介公告。</w:t>
      </w:r>
    </w:p>
    <w:p>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法律法规或监管机关另有规定的，从其规定。</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default" w:ascii="Times New Roman" w:hAnsi="Times New Roman" w:cs="Times New Roman"/>
          <w:b/>
          <w:bCs/>
          <w:kern w:val="2"/>
          <w:sz w:val="24"/>
          <w:szCs w:val="24"/>
        </w:rPr>
      </w:pPr>
      <w:r>
        <w:rPr>
          <w:rFonts w:hint="eastAsia" w:ascii="宋体" w:hAnsi="宋体" w:eastAsia="宋体" w:cs="宋体"/>
          <w:b/>
          <w:bCs/>
          <w:kern w:val="2"/>
          <w:sz w:val="24"/>
          <w:szCs w:val="24"/>
          <w:lang w:val="en-US" w:eastAsia="zh-CN" w:bidi="ar"/>
        </w:rPr>
        <w:t>四、与基金财产管理、运用有关费用的提取、支付方式与比例</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（一）基金费用的种类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、基金管理人的管理费；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、基金托管人的托管费（含境外托管人的托管费）；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、《基金合同》生效后与基金相关的信息披露费用；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、《基金合同》生效后与基金相关的会计师费、律师费、仲裁费和诉讼费；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、基金份额持有人大会费用；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、基金的证券</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期货交易费用、所投资基金的交易费用和管理费用及在境内外市场的开户、维护、交易、清算、登记等各项费用；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、基金的银行汇划费用和外汇兑换交易的相关费用；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、基金的开户费用、账户维护费用；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、因投资境外股票、港股通标的股票而产生的各项合理费用；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、本基金从</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类基金份额的基金财产中计提的销售服务费；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、基金依照有关法律法规应当缴纳的，购买或处置证券有关的任何税收、征费、关税、印花税、交易及其他税收及预扣提税（以及与前述各项有关的任何利息及费用），以及为基金利益聘请税务顾问产生的费用；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更换基金管理人、更换基金托管人、更换境外托管人及基金资产由原基金托管人、境外托管人转移新基金托管人、境外托管人所引起的费用，但因基金管理人或基金托管人、境外托管人自身原因导致被更换的情形除外；</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、按照国家有关规定和《基金合同》约定，可以在基金财产中列支的其他费用。</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（二）基金费用计提方法、计提标准和支付方式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、基金管理人的管理费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本基金的管理费按前一日基金资产净值的</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年费率计提。管理费的计算方法如下：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×年管理费率÷当年天数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为每日应计提的基金管理费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为前一日的基金资产净值</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基金管理费每日计提，逐日累计至每月月末，按月支付。由基金管理人根据双方核对一致的数据向基金托管人发送划付指令，基金托管人于次月首日起</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个工作日内从基金财产中一次性支付给基金管理人。若遇法定节假日、休息日或不可抗力致使无法按时支付的，顺延至最近可支付日支付。</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、基金托管人的托管费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本基金的托管费按前一日基金资产净值的</w:t>
      </w:r>
      <w:r>
        <w:rPr>
          <w:rFonts w:hint="default" w:ascii="Times New Roman" w:hAnsi="Times New Roman" w:eastAsia="宋体" w:cs="Times New Roman"/>
          <w:bCs/>
          <w:kern w:val="2"/>
          <w:sz w:val="24"/>
          <w:szCs w:val="24"/>
          <w:lang w:val="en-US" w:eastAsia="zh-CN" w:bidi="ar"/>
        </w:rPr>
        <w:t>0.2%</w:t>
      </w:r>
      <w:r>
        <w:rPr>
          <w:rFonts w:hint="eastAsia" w:ascii="宋体" w:hAnsi="宋体" w:eastAsia="宋体" w:cs="宋体"/>
          <w:bCs/>
          <w:kern w:val="2"/>
          <w:sz w:val="24"/>
          <w:szCs w:val="24"/>
          <w:lang w:val="en-US" w:eastAsia="zh-CN" w:bidi="ar"/>
        </w:rPr>
        <w:t>年费率计提。托管费的计算方法如下：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×年托管费率÷当年天数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为每日应计提的基金托管费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为前一日的基金资产净值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基金托管费每日计提，逐日累计至每月月末，按月支付。由基金管理人根据双方核对一致的数据向基金托管人发送划付指令，基金托管人于次月首日起</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个工作日内从基金财产中一次性支取。若遇法定节假日、休息日或不可抗力致使无法按时支付的，顺延至最近可支付日支付。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类基金份额的销售服务费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类基金份额不收取销售服务费，</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类基金份额的销售服务费按前一日</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类基金份额的基金资产净值的</w:t>
      </w:r>
      <w:r>
        <w:rPr>
          <w:rFonts w:hint="default" w:ascii="Times New Roman" w:hAnsi="Times New Roman" w:eastAsia="宋体" w:cs="Times New Roman"/>
          <w:bCs/>
          <w:kern w:val="2"/>
          <w:sz w:val="24"/>
          <w:szCs w:val="24"/>
          <w:lang w:val="en-US" w:eastAsia="zh-CN" w:bidi="ar"/>
        </w:rPr>
        <w:t>0.4%</w:t>
      </w:r>
      <w:r>
        <w:rPr>
          <w:rFonts w:hint="eastAsia" w:ascii="宋体" w:hAnsi="宋体" w:eastAsia="宋体" w:cs="宋体"/>
          <w:bCs/>
          <w:kern w:val="2"/>
          <w:sz w:val="24"/>
          <w:szCs w:val="24"/>
          <w:lang w:val="en-US" w:eastAsia="zh-CN" w:bidi="ar"/>
        </w:rPr>
        <w:t>年费率计提。销售服务费的计算方法如下：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×年销售服务费率÷当年天数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为</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类基金份额每日应计提的销售服务费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为</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类基金份额前一日基金资产净值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类基金份额的销售服务费具体收取</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返还方式：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）通过直销机构认购</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申购的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类基金份额计提的销售服务费，在投资人赎回基金份额或基金合同终止时随赎回款或清算款一并返还给投资人。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）通过其他销售机构认购</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申购的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对于投资人持续持有期限未超过一年的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类基金份额，销售服务费每日计提，逐日累计至每月月末，按月支付。由基金管理人根据双方核对一致的数据向基金托管人发送销售服务费划付指令，基金托管人于次月首日起</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个工作日内从基金财产中一次性支付给基金管理人，由基金管理人代付给销售机构。若遇法定节假日、休息日或不可抗力致使无法按时支付的，顺延至最近可支付日支付。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对于投资人持续持有期限超过一年的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类基金份额，持续持有超过一年后计提的销售服务费将在投资人赎回相应基金份额或基金合同终止时随赎回款或清算款一并返还给投资人。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类基金份额的销售服务费将专门用于本基金的市场推广、销售与基金份额持有人服务。</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、上述</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（一）基金费用的种类”中第</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项、第</w:t>
      </w:r>
      <w:r>
        <w:rPr>
          <w:rFonts w:hint="default" w:ascii="Times New Roman" w:hAnsi="Times New Roman" w:eastAsia="宋体" w:cs="Times New Roman"/>
          <w:bCs/>
          <w:kern w:val="2"/>
          <w:sz w:val="24"/>
          <w:szCs w:val="24"/>
          <w:lang w:val="en-US" w:eastAsia="zh-CN" w:bidi="ar"/>
        </w:rPr>
        <w:t>11-13</w:t>
      </w:r>
      <w:r>
        <w:rPr>
          <w:rFonts w:hint="eastAsia" w:ascii="宋体" w:hAnsi="宋体" w:eastAsia="宋体" w:cs="宋体"/>
          <w:bCs/>
          <w:kern w:val="2"/>
          <w:sz w:val="24"/>
          <w:szCs w:val="24"/>
          <w:lang w:val="en-US" w:eastAsia="zh-CN" w:bidi="ar"/>
        </w:rPr>
        <w:t>项费用，根据有关法规及相应协议规定，按费用实际支出金额列入当期费用，由基金托管人从基金财产中支付。</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（三）不列入基金费用的项目</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下列费用不列入基金费用：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、基金管理人和基金托管人因未履行或未完全履行义务导致的费用支出或基金财产的损失；</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、基金管理人和基金托管人处理与基金运作无关的事项发生的费用；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、《基金合同》生效前的相关费用；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、其他根据相关法律法规及中国证监会的有关规定不得列入基金费用的项目。</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（四）实施侧袋机制期间的基金费用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本基金实施侧袋机制的，与侧袋账户有关的费用可以从侧袋账户中列支，但应待侧袋账户资产变现后方可列支，有关费用可酌情收取或减免，但不得收取管理费，详见招募说明书的规定。</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（五）基金税收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运作过程中涉及的各纳税主体，其纳税义务按投资市场所在国家或地区的税收法律、法规执行。基金财产投资的相关税收，由基金份额持有人承担，基金管理人或者其他扣缴义务人按照国家有关税收征收的规定代扣代缴。</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五、基金财产的投资方向和投资限制</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（一）投资目标</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本基金主要投资于港股消费主题相关证券资产，在合理控制风险的前提下，充分发挥专业研究与管理能力，力争为投资者提供长期稳健的投资回报。</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（二）投资范围</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本基金可投资于境内市场和境外市场依法发行的金融工具。</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境内市场投资工具，包括境内依法发行上市的股票（含主板、创业板、科创板及其他经中国证监会核准或注册上市的股票、存托凭证）、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股票期权以及法律法规或中国证监会允许基金投资的其他金融工具（但须符合中国证监会相关规定）。</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境外市场投资工具，包括已与中国证监会签署双边监管合作谅解备忘录的国家或地区证券市场挂牌交易的普通股、优先股、存托凭证、房地产信托凭证；港股通标的股票；在已与中国证监会签署双边监管合作谅解备忘录的国家或地区证券监管机构登记注册的公募基金（含交易型开放式基金</w:t>
      </w:r>
      <w:r>
        <w:rPr>
          <w:rFonts w:hint="default" w:ascii="Times New Roman" w:hAnsi="Times New Roman" w:eastAsia="宋体" w:cs="Times New Roman"/>
          <w:bCs/>
          <w:kern w:val="2"/>
          <w:sz w:val="24"/>
          <w:szCs w:val="24"/>
          <w:lang w:val="en-US" w:eastAsia="zh-CN" w:bidi="ar"/>
        </w:rPr>
        <w:t>ETF</w:t>
      </w:r>
      <w:r>
        <w:rPr>
          <w:rFonts w:hint="eastAsia" w:ascii="宋体" w:hAnsi="宋体" w:eastAsia="宋体" w:cs="宋体"/>
          <w:bCs/>
          <w:kern w:val="2"/>
          <w:sz w:val="24"/>
          <w:szCs w:val="24"/>
          <w:lang w:val="en-US" w:eastAsia="zh-CN" w:bidi="ar"/>
        </w:rPr>
        <w:t>）；政府债券、公司债券、可转换债券、住房按揭支持证券、资产支持证券等及经中国证监会认可的国际金融组织发行的证券；银行存款、可转让存单、银行承兑汇票、银行票据、商业票据、回购协议、短期政府债券等货币市场工具；远期合约、互换及经中国证监会认可的境外交易所上市交易的权证、期权、期货等金融衍生产品；与固定收益、股权、信用、商品指数、基金等标的物挂钩的结构性投资产品；中国证监会允许基金投资的其他金融工具（但须符合中国证监会相关规定）。</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本基金可以进行境外证券借贷交易、境外正回购交易、逆回购交易。</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其中，在投资香港市场时，本基金可通过合格境内机构投资者（</w:t>
      </w:r>
      <w:r>
        <w:rPr>
          <w:rFonts w:hint="default" w:ascii="Times New Roman" w:hAnsi="Times New Roman" w:eastAsia="宋体" w:cs="Times New Roman"/>
          <w:bCs/>
          <w:kern w:val="2"/>
          <w:sz w:val="24"/>
          <w:szCs w:val="24"/>
          <w:lang w:val="en-US" w:eastAsia="zh-CN" w:bidi="ar"/>
        </w:rPr>
        <w:t>QDII</w:t>
      </w:r>
      <w:r>
        <w:rPr>
          <w:rFonts w:hint="eastAsia" w:ascii="宋体" w:hAnsi="宋体" w:eastAsia="宋体" w:cs="宋体"/>
          <w:bCs/>
          <w:kern w:val="2"/>
          <w:sz w:val="24"/>
          <w:szCs w:val="24"/>
          <w:lang w:val="en-US" w:eastAsia="zh-CN" w:bidi="ar"/>
        </w:rPr>
        <w:t>）境外投资额度、内地与香港股票市场交易互联互通机制或内地与香港债券市场互联互通南向合作进行投资。</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如法律法规或监管机构以后允许基金投资其他品种，基金管理人在履行适当程序后，可以将其纳入投资范围。</w:t>
      </w:r>
    </w:p>
    <w:p>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基金的投资组合比例为：股票投资（含普通股、优先股、港股通标的股票、存托凭证）占基金资产的比例为</w:t>
      </w:r>
      <w:r>
        <w:rPr>
          <w:rFonts w:hint="default" w:ascii="Times New Roman" w:hAnsi="Times New Roman" w:eastAsia="宋体" w:cs="Times New Roman"/>
          <w:bCs/>
          <w:kern w:val="2"/>
          <w:sz w:val="24"/>
          <w:szCs w:val="24"/>
          <w:lang w:val="en-US" w:eastAsia="zh-CN" w:bidi="ar"/>
        </w:rPr>
        <w:t>60%-95%</w:t>
      </w:r>
      <w:r>
        <w:rPr>
          <w:rFonts w:hint="eastAsia" w:ascii="宋体" w:hAnsi="宋体" w:eastAsia="宋体" w:cs="宋体"/>
          <w:bCs/>
          <w:kern w:val="2"/>
          <w:sz w:val="24"/>
          <w:szCs w:val="24"/>
          <w:lang w:val="en-US" w:eastAsia="zh-CN" w:bidi="ar"/>
        </w:rPr>
        <w:t>，其中投资于本基金界定的港股消费主题相关股票（含存托凭证）的比例不低于非现金基金资产的</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；每个交易日日终在扣除股指期货和股票期权合约需缴纳的交易保证金后，本基金持有的现金或者到期日在一年以内的政府债券的比例合计不低于基金资产净值的</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，其中现金不包括结算备付金、存出保证金、应收申购款等。</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如果法律法规或中国证监会变更投资品种的投资比例限制，基金管理人在履行适当程序后，可以调整上述投资品种的投资比例。</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、大类资产配置</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利用经交银施罗德研究团队修正后的投资时钟分析框架，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、股票投资策略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）港股消费主题的界定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基于行业景气度、公司竞争力进行深入研究，聚焦具有长期投资价值、符合港股消费主题的优质公司。本基金所界定的港股消费主题，指的是香港市场上市的消费主题相关行业的上市公司。本基金所指消费主题相关行业主要包括以下行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）主要消费行业，是指提供满足居民基本生活需求的商品或服务的相关行业，包括恒生行业分类口径下的食物饮品、农业产品、消费者主要零售商等。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可选消费行业，是指提供满足居民更高层次需求、改善生活质量的商品或服务的相关行业，包括恒生行业分类口径下的纺织及服饰、家庭电器及用品、旅游及消闲设施、媒体及娱乐、汽车、支援服务、专业零售、药品及生物科技、其他医疗保健、软件服务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将对港股消费主题相关行业的发展进行密切跟踪，随着市场环境的不断变化，主题相关的上市公司的范围也会相应改变。在履行适当程序后，本基金将根据实际情况对主题的界定范围进行调整，并在招募说明书中更新并公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）个股投资策略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）品质筛选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筛选出在公司治理、财务及管理品质上符合基本品质要求的公司，构建备选股票池。主要筛选指标包括：</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盈利能力指标：如营业利润率（</w:t>
      </w:r>
      <w:r>
        <w:rPr>
          <w:rFonts w:hint="default" w:ascii="Times New Roman" w:hAnsi="Times New Roman" w:eastAsia="宋体" w:cs="Times New Roman"/>
          <w:bCs/>
          <w:kern w:val="2"/>
          <w:sz w:val="24"/>
          <w:szCs w:val="24"/>
          <w:lang w:val="en-US" w:eastAsia="zh-CN" w:bidi="ar"/>
        </w:rPr>
        <w:t>OPM</w:t>
      </w:r>
      <w:r>
        <w:rPr>
          <w:rFonts w:hint="eastAsia" w:ascii="宋体" w:hAnsi="宋体" w:eastAsia="宋体" w:cs="宋体"/>
          <w:bCs/>
          <w:kern w:val="2"/>
          <w:sz w:val="24"/>
          <w:szCs w:val="24"/>
          <w:lang w:val="en-US" w:eastAsia="zh-CN" w:bidi="ar"/>
        </w:rPr>
        <w:t>）、每股收益（</w:t>
      </w:r>
      <w:r>
        <w:rPr>
          <w:rFonts w:hint="default" w:ascii="Times New Roman" w:hAnsi="Times New Roman" w:eastAsia="宋体" w:cs="Times New Roman"/>
          <w:bCs/>
          <w:kern w:val="2"/>
          <w:sz w:val="24"/>
          <w:szCs w:val="24"/>
          <w:lang w:val="en-US" w:eastAsia="zh-CN" w:bidi="ar"/>
        </w:rPr>
        <w:t>EPS</w:t>
      </w:r>
      <w:r>
        <w:rPr>
          <w:rFonts w:hint="eastAsia" w:ascii="宋体" w:hAnsi="宋体" w:eastAsia="宋体" w:cs="宋体"/>
          <w:bCs/>
          <w:kern w:val="2"/>
          <w:sz w:val="24"/>
          <w:szCs w:val="24"/>
          <w:lang w:val="en-US" w:eastAsia="zh-CN" w:bidi="ar"/>
        </w:rPr>
        <w:t>）、每股现金流（</w:t>
      </w:r>
      <w:r>
        <w:rPr>
          <w:rFonts w:hint="default" w:ascii="Times New Roman" w:hAnsi="Times New Roman" w:eastAsia="宋体" w:cs="Times New Roman"/>
          <w:bCs/>
          <w:kern w:val="2"/>
          <w:sz w:val="24"/>
          <w:szCs w:val="24"/>
          <w:lang w:val="en-US" w:eastAsia="zh-CN" w:bidi="ar"/>
        </w:rPr>
        <w:t>CFPS</w:t>
      </w:r>
      <w:r>
        <w:rPr>
          <w:rFonts w:hint="eastAsia" w:ascii="宋体" w:hAnsi="宋体" w:eastAsia="宋体" w:cs="宋体"/>
          <w:bCs/>
          <w:kern w:val="2"/>
          <w:sz w:val="24"/>
          <w:szCs w:val="24"/>
          <w:lang w:val="en-US" w:eastAsia="zh-CN" w:bidi="ar"/>
        </w:rPr>
        <w:t>）、每股自由现金流（</w:t>
      </w:r>
      <w:r>
        <w:rPr>
          <w:rFonts w:hint="default" w:ascii="Times New Roman" w:hAnsi="Times New Roman" w:eastAsia="宋体" w:cs="Times New Roman"/>
          <w:bCs/>
          <w:kern w:val="2"/>
          <w:sz w:val="24"/>
          <w:szCs w:val="24"/>
          <w:lang w:val="en-US" w:eastAsia="zh-CN" w:bidi="ar"/>
        </w:rPr>
        <w:t>FCFPS</w:t>
      </w:r>
      <w:r>
        <w:rPr>
          <w:rFonts w:hint="eastAsia" w:ascii="宋体" w:hAnsi="宋体" w:eastAsia="宋体" w:cs="宋体"/>
          <w:bCs/>
          <w:kern w:val="2"/>
          <w:sz w:val="24"/>
          <w:szCs w:val="24"/>
          <w:lang w:val="en-US" w:eastAsia="zh-CN" w:bidi="ar"/>
        </w:rPr>
        <w:t>）与每股息税前利润（</w:t>
      </w:r>
      <w:r>
        <w:rPr>
          <w:rFonts w:hint="default" w:ascii="Times New Roman" w:hAnsi="Times New Roman" w:eastAsia="宋体" w:cs="Times New Roman"/>
          <w:bCs/>
          <w:kern w:val="2"/>
          <w:sz w:val="24"/>
          <w:szCs w:val="24"/>
          <w:lang w:val="en-US" w:eastAsia="zh-CN" w:bidi="ar"/>
        </w:rPr>
        <w:t>EBITPS</w:t>
      </w:r>
      <w:r>
        <w:rPr>
          <w:rFonts w:hint="eastAsia" w:ascii="宋体" w:hAnsi="宋体" w:eastAsia="宋体" w:cs="宋体"/>
          <w:bCs/>
          <w:kern w:val="2"/>
          <w:sz w:val="24"/>
          <w:szCs w:val="24"/>
          <w:lang w:val="en-US" w:eastAsia="zh-CN" w:bidi="ar"/>
        </w:rPr>
        <w:t>）等；</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经营效率指标：如净资产收益率（</w:t>
      </w:r>
      <w:r>
        <w:rPr>
          <w:rFonts w:hint="default" w:ascii="Times New Roman" w:hAnsi="Times New Roman" w:eastAsia="宋体" w:cs="Times New Roman"/>
          <w:bCs/>
          <w:kern w:val="2"/>
          <w:sz w:val="24"/>
          <w:szCs w:val="24"/>
          <w:lang w:val="en-US" w:eastAsia="zh-CN" w:bidi="ar"/>
        </w:rPr>
        <w:t>ROE</w:t>
      </w:r>
      <w:r>
        <w:rPr>
          <w:rFonts w:hint="eastAsia" w:ascii="宋体" w:hAnsi="宋体" w:eastAsia="宋体" w:cs="宋体"/>
          <w:bCs/>
          <w:kern w:val="2"/>
          <w:sz w:val="24"/>
          <w:szCs w:val="24"/>
          <w:lang w:val="en-US" w:eastAsia="zh-CN" w:bidi="ar"/>
        </w:rPr>
        <w:t>）、资产收益率（</w:t>
      </w:r>
      <w:r>
        <w:rPr>
          <w:rFonts w:hint="default" w:ascii="Times New Roman" w:hAnsi="Times New Roman" w:eastAsia="宋体" w:cs="Times New Roman"/>
          <w:bCs/>
          <w:kern w:val="2"/>
          <w:sz w:val="24"/>
          <w:szCs w:val="24"/>
          <w:lang w:val="en-US" w:eastAsia="zh-CN" w:bidi="ar"/>
        </w:rPr>
        <w:t>ROA</w:t>
      </w:r>
      <w:r>
        <w:rPr>
          <w:rFonts w:hint="eastAsia" w:ascii="宋体" w:hAnsi="宋体" w:eastAsia="宋体" w:cs="宋体"/>
          <w:bCs/>
          <w:kern w:val="2"/>
          <w:sz w:val="24"/>
          <w:szCs w:val="24"/>
          <w:lang w:val="en-US" w:eastAsia="zh-CN" w:bidi="ar"/>
        </w:rPr>
        <w:t>）、经营资产收益率（</w:t>
      </w:r>
      <w:r>
        <w:rPr>
          <w:rFonts w:hint="default" w:ascii="Times New Roman" w:hAnsi="Times New Roman" w:eastAsia="宋体" w:cs="Times New Roman"/>
          <w:bCs/>
          <w:kern w:val="2"/>
          <w:sz w:val="24"/>
          <w:szCs w:val="24"/>
          <w:lang w:val="en-US" w:eastAsia="zh-CN" w:bidi="ar"/>
        </w:rPr>
        <w:t>ROOA</w:t>
      </w:r>
      <w:r>
        <w:rPr>
          <w:rFonts w:hint="eastAsia" w:ascii="宋体" w:hAnsi="宋体" w:eastAsia="宋体" w:cs="宋体"/>
          <w:bCs/>
          <w:kern w:val="2"/>
          <w:sz w:val="24"/>
          <w:szCs w:val="24"/>
          <w:lang w:val="en-US" w:eastAsia="zh-CN" w:bidi="ar"/>
        </w:rPr>
        <w:t>）与资产周转率（</w:t>
      </w:r>
      <w:r>
        <w:rPr>
          <w:rFonts w:hint="default" w:ascii="Times New Roman" w:hAnsi="Times New Roman" w:eastAsia="宋体" w:cs="Times New Roman"/>
          <w:bCs/>
          <w:kern w:val="2"/>
          <w:sz w:val="24"/>
          <w:szCs w:val="24"/>
          <w:lang w:val="en-US" w:eastAsia="zh-CN" w:bidi="ar"/>
        </w:rPr>
        <w:t>ATR</w:t>
      </w:r>
      <w:r>
        <w:rPr>
          <w:rFonts w:hint="eastAsia" w:ascii="宋体" w:hAnsi="宋体" w:eastAsia="宋体" w:cs="宋体"/>
          <w:bCs/>
          <w:kern w:val="2"/>
          <w:sz w:val="24"/>
          <w:szCs w:val="24"/>
          <w:lang w:val="en-US" w:eastAsia="zh-CN" w:bidi="ar"/>
        </w:rPr>
        <w:t>）等；</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财务状况指标：如资产负债率（</w:t>
      </w:r>
      <w:r>
        <w:rPr>
          <w:rFonts w:hint="default" w:ascii="Times New Roman" w:hAnsi="Times New Roman" w:eastAsia="宋体" w:cs="Times New Roman"/>
          <w:bCs/>
          <w:kern w:val="2"/>
          <w:sz w:val="24"/>
          <w:szCs w:val="24"/>
          <w:lang w:val="en-US" w:eastAsia="zh-CN" w:bidi="ar"/>
        </w:rPr>
        <w:t>D/A</w:t>
      </w:r>
      <w:r>
        <w:rPr>
          <w:rFonts w:hint="eastAsia" w:ascii="宋体" w:hAnsi="宋体" w:eastAsia="宋体" w:cs="宋体"/>
          <w:bCs/>
          <w:kern w:val="2"/>
          <w:sz w:val="24"/>
          <w:szCs w:val="24"/>
          <w:lang w:val="en-US" w:eastAsia="zh-CN" w:bidi="ar"/>
        </w:rPr>
        <w:t>）、流动比率（</w:t>
      </w:r>
      <w:r>
        <w:rPr>
          <w:rFonts w:hint="default" w:ascii="Times New Roman" w:hAnsi="Times New Roman" w:eastAsia="宋体" w:cs="Times New Roman"/>
          <w:bCs/>
          <w:kern w:val="2"/>
          <w:sz w:val="24"/>
          <w:szCs w:val="24"/>
          <w:lang w:val="en-US" w:eastAsia="zh-CN" w:bidi="ar"/>
        </w:rPr>
        <w:t>CR</w:t>
      </w:r>
      <w:r>
        <w:rPr>
          <w:rFonts w:hint="eastAsia" w:ascii="宋体" w:hAnsi="宋体" w:eastAsia="宋体" w:cs="宋体"/>
          <w:bCs/>
          <w:kern w:val="2"/>
          <w:sz w:val="24"/>
          <w:szCs w:val="24"/>
          <w:lang w:val="en-US" w:eastAsia="zh-CN" w:bidi="ar"/>
        </w:rPr>
        <w:t>）等；</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研发投入指标：如研发投入与营业收入比率、科研人员数量及占比、专利数量及在同行业的占比等。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）价值评估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）存托凭证的投资策略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本基金投资存托凭证的策略依照本基金的投资目标和股票投资策略执行。</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、债券投资策略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本基金的债券投资采取主动的投资管理方式，获得与风险相匹配的投资收益，以实现在一定程度上规避股票市场的系统性风险和保证基金资产的流动性。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、资产支持证券投资策略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、金融衍生品投资策略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）股指期货投资策略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）股票期权投资策略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本基金参与股票期权投资将根据风险管理的原则，以套期保值为主要目的。本基金将结合投资目标、比例限制、风险收益特征以及法律法规的相关限定和要求，确定参与股票期权交易的投资时机和投资比例。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）境外金融衍生品投资策略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为更好地实现本基金的投资目标，本基金将在条件允许的情况下投资于远期合约、互换及经中国证监会认可的境外交易所上市交易的权证、期权、期货等金融衍生产品，以期降低跟踪误差水平。本基金将根据风险管理的原则，以套期保值为目的，主要选择流动性好、交易活跃的金融衍生品进行交易。本基金还可通过投资外汇期货、外汇远期、外汇互换等来管理基金投资以及应对申购赎回过程中的汇率风险。</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、境外基金投资策略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本基金可根据本基金的投资目标和股票策略，投资于与本基金有相近的投资目标的及投资策略、或有助于实现本基金投资目标的境外</w:t>
      </w:r>
      <w:r>
        <w:rPr>
          <w:rFonts w:hint="default" w:ascii="Times New Roman" w:hAnsi="Times New Roman" w:eastAsia="宋体" w:cs="Times New Roman"/>
          <w:bCs/>
          <w:kern w:val="2"/>
          <w:sz w:val="24"/>
          <w:szCs w:val="24"/>
          <w:lang w:val="en-US" w:eastAsia="zh-CN" w:bidi="ar"/>
        </w:rPr>
        <w:t>ETF</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、境外回购交易及证券借贷交易策略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为更好地实现投资目标，增加基金收益，弥补基金运作成本，本基金在控制风险的前提下还将参与境外回购交易、境外证券借贷交易等投资。</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（四）投资限制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、组合限制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基金的投资组合应遵循以下限制：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）股票投资（含普通股、优先股、港股通标的股票、存托凭证）占基金资产的比例为</w:t>
      </w:r>
      <w:r>
        <w:rPr>
          <w:rFonts w:hint="default" w:ascii="Times New Roman" w:hAnsi="Times New Roman" w:eastAsia="宋体" w:cs="Times New Roman"/>
          <w:bCs/>
          <w:kern w:val="2"/>
          <w:sz w:val="24"/>
          <w:szCs w:val="24"/>
          <w:lang w:val="en-US" w:eastAsia="zh-CN" w:bidi="ar"/>
        </w:rPr>
        <w:t>60%-95%</w:t>
      </w:r>
      <w:r>
        <w:rPr>
          <w:rFonts w:hint="eastAsia" w:ascii="宋体" w:hAnsi="宋体" w:eastAsia="宋体" w:cs="宋体"/>
          <w:bCs/>
          <w:kern w:val="2"/>
          <w:sz w:val="24"/>
          <w:szCs w:val="24"/>
          <w:lang w:val="en-US" w:eastAsia="zh-CN" w:bidi="ar"/>
        </w:rPr>
        <w:t>，其中投资于本基金界定的港股消费主题相关股票（含存托凭证）的比例不低于非现金基金资产的</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）每个交易日日终在扣除股指期货和股票期权合约需缴纳的交易保证金后，本基金持有的现金或者到期日在一年以内的政府债券的比例合计不低于基金资产净值的</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，其中现金不包括结算备付金、存出保证金、应收申购款等；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）本基金资产总值不得超过基金资产净值的</w:t>
      </w:r>
      <w:r>
        <w:rPr>
          <w:rFonts w:hint="default" w:ascii="Times New Roman" w:hAnsi="Times New Roman" w:eastAsia="宋体" w:cs="Times New Roman"/>
          <w:bCs/>
          <w:kern w:val="2"/>
          <w:sz w:val="24"/>
          <w:szCs w:val="24"/>
          <w:lang w:val="en-US" w:eastAsia="zh-CN" w:bidi="ar"/>
        </w:rPr>
        <w:t>140%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）本基金境内投资组合应遵循以下限制：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）本基金持有一家公司发行的证券（同一家公司在境内和境外同时上市的，持股比例合计计算），其市值不超过基金资产净值的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）本基金管理人管理的全部基金持有一家公司发行的证券（同一家公司在境内和境外同时上市的，持股比例合计计算），不超过该证券的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％，完全按照有关指数的构成比例进行证券投资的基金品种可以不受此条款规定的比例限制；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）本基金投资于同一原始权益人的各类资产支持证券的比例，不得超过基金资产净值的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）本基金持有的全部资产支持证券，其市值不得超过基金资产净值的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）本基金持有的同一（指同一信用级别）资产支持证券的比例，不得超过该资产支持证券规模的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）本基金管理人管理的全部基金投资于同一原始权益人的各类资产支持证券，不得超过其各类资产支持证券合计规模的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）本基金应投资于信用级别评级为</w:t>
      </w:r>
      <w:r>
        <w:rPr>
          <w:rFonts w:hint="default" w:ascii="Times New Roman" w:hAnsi="Times New Roman" w:eastAsia="宋体" w:cs="Times New Roman"/>
          <w:bCs/>
          <w:kern w:val="2"/>
          <w:sz w:val="24"/>
          <w:szCs w:val="24"/>
          <w:lang w:val="en-US" w:eastAsia="zh-CN" w:bidi="ar"/>
        </w:rPr>
        <w:t>BBB</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BBB</w:t>
      </w:r>
      <w:r>
        <w:rPr>
          <w:rFonts w:hint="eastAsia" w:ascii="宋体" w:hAnsi="宋体" w:eastAsia="宋体" w:cs="宋体"/>
          <w:bCs/>
          <w:kern w:val="2"/>
          <w:sz w:val="24"/>
          <w:szCs w:val="24"/>
          <w:lang w:val="en-US" w:eastAsia="zh-CN" w:bidi="ar"/>
        </w:rPr>
        <w:t>）的资产支持证券。基金持有资产支持证券期间，如果其信用等级下降、不再符合投资标准，应在评级报告发布之日起</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个月内予以全部卖出；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）基金财产参与股票发行申购，本基金所申报的金额不超过本基金的总资产，本基金所申报的股票数量不超过拟发行股票公司本次发行股票的总量；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）本基金管理人管理的全部开放式基金（包括开放式基金以及处于开放期的定期开放基金）持有一家上市公司发行的可流通股票，不得超过该上市公司可流通股票的</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；本基金管理人管理的全部投资组合持有一家上市公司发行的可流通股票，不得超过该上市公司可流通股票的</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；完全按照有关指数的构成比例进行证券投资的开放式基金以及中国证监会认定的特殊投资组合可不受前述比例限制；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）本基金主动投资于流动性受限资产的市值合计不得超过基金资产净值的</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；因证券市场波动、上市公司股票停牌、基金规模变动等基金管理人之外的因素致使基金不符合该比例限制的，基金管理人不得主动新增流动性受限资产的投资；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）本基金与私募类证券资管产品及中国证监会认定的其他主体为交易对手开展逆回购交易的，可接受质押品的资质要求应当与本基金合同约定的投资范围保持一致；</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）若本基金参与股指期货交易，则：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①本基金在任何交易日日终，持有的买入股指期货合约价值，不得超过基金资产净值的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②本基金在任何交易日日终，持有的买入股指期货合约价值与有价证券市值之和，不得超过基金资产净值的</w:t>
      </w:r>
      <w:r>
        <w:rPr>
          <w:rFonts w:hint="default" w:ascii="Times New Roman" w:hAnsi="Times New Roman" w:eastAsia="宋体" w:cs="Times New Roman"/>
          <w:bCs/>
          <w:kern w:val="2"/>
          <w:sz w:val="24"/>
          <w:szCs w:val="24"/>
          <w:lang w:val="en-US" w:eastAsia="zh-CN" w:bidi="ar"/>
        </w:rPr>
        <w:t>95%</w:t>
      </w:r>
      <w:r>
        <w:rPr>
          <w:rFonts w:hint="eastAsia" w:ascii="宋体" w:hAnsi="宋体" w:eastAsia="宋体" w:cs="宋体"/>
          <w:bCs/>
          <w:kern w:val="2"/>
          <w:sz w:val="24"/>
          <w:szCs w:val="24"/>
          <w:lang w:val="en-US" w:eastAsia="zh-CN" w:bidi="ar"/>
        </w:rPr>
        <w:t>。其中，有价证券指股票、债券（不含到期日在一年以内的政府债券）、资产支持证券、买入返售金融资产（不含质押式回购）等；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③本基金在任何交易日日终，持有的卖出股指期货合约价值不得超过基金持有的股票总市值的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④本基金所持有的股票市值和买入、卖出股指期货合约价值，合计（轧差计算）应当符合基金合同关于股票投资比例的有关约定；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⑤本基金在任何交易日内交易（不包括平仓）的股指期货合约的成交金额不得超过上一交易日基金资产净值的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）若本基金参与股票期权交易，则：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①因未平仓的期权合约支付和收取的权利金总额不得超过基金资产净值的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②开仓卖出认购期权的，应持有足额标的证券；开仓卖出认沽期权的，应持有合约行权所需的全额现金或交易所规则认可的可冲抵期权保证金的现金等价物；</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③未平仓的期权合约面值不得超过基金资产净值的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。其中，合约面值按照行权价乘以合约乘数计算；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）本基金投资境内存托凭证的比例限制依照境内上市交易的股票执行；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）本基金境外投资组合应遵循以下限制：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）本基金持有同一家银行的存款不得超过基金资产净值的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，本基金的境外存款银行为中资商业银行在境外设立的分行或在最近一个会计年度达到中国证监会认可的信用评级机构评级的境外银行。存放于基金托管账户的存款可以不受上述限制；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）本基金持有同一机构（政府、国际金融组织除外）发行的证券市值不得超过基金资产净值的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。该投资比例应当合并计算同一机构境内外发行的证券总市值；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）本基金持有与中国证监会签署双边监管合作谅解备忘录国家或地区以外的其他国家或地区证券市场挂牌交易的证券资产不得超过基金资产净值的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，其中持有任一国家或地区市场的证券资产不得超过基金资产净值的</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）本基金不得购买证券用于控制或影响发行该证券的机构或其管理层。本基金管理人管理的全部基金不得持有同一机构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以上具有投票权的证券发行总量；同一机构境内外上市的总股本应当合并计算，同时应当一并计算存托凭证所代表的基础证券，并假设对持有的股本权证行使转换；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）本基金持有非流动性资产市值不得超过基金资产净值的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。该非流动性资产是指法律或基金合同规定的流通受限证券以及中国证监会认定的其他资产；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）本基金持有境外基金的市值合计不得超过本基金资产净值的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，但持有货币市场基金不受此限制；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）本基金管理人所管理的全部基金持有任何一只境外基金，不超过该境外基金总份额的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）本基金投资衍生品应当仅限于投资组合避险或有效管理，不得用于投机或放大交易，投资于境外金融衍生品的，同时应当严格遵守下列规定：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①本基金的金融衍生品全部敞口不得高于基金资产净值的</w:t>
      </w:r>
      <w:r>
        <w:rPr>
          <w:rFonts w:hint="default" w:ascii="Times New Roman" w:hAnsi="Times New Roman" w:eastAsia="宋体" w:cs="Times New Roman"/>
          <w:bCs/>
          <w:kern w:val="2"/>
          <w:sz w:val="24"/>
          <w:szCs w:val="24"/>
          <w:lang w:val="en-US" w:eastAsia="zh-CN" w:bidi="ar"/>
        </w:rPr>
        <w:t>100%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②本基金投资期货支付的初始保证金、投资期权支付或收取的期权费、投资柜台交易衍生品支付的初始费用的总额不得高于基金资产净值的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③本基金投资于远期合约、互换等柜台交易金融衍生品，应当符合以下要求：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所有参与交易的对手方（中资商业银行除外）应当具有不低于中国证监会认可的信用评级机构评级；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b.</w:t>
      </w:r>
      <w:r>
        <w:rPr>
          <w:rFonts w:hint="eastAsia" w:ascii="宋体" w:hAnsi="宋体" w:eastAsia="宋体" w:cs="宋体"/>
          <w:bCs/>
          <w:kern w:val="2"/>
          <w:sz w:val="24"/>
          <w:szCs w:val="24"/>
          <w:lang w:val="en-US" w:eastAsia="zh-CN" w:bidi="ar"/>
        </w:rPr>
        <w:t>交易对手方应当至少每个工作日对交易进行估值，并且本基金可在任何时候以公允价值终止交易；</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任一交易对手方的市值计价敞口不得超过基金资产净值的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④本基金不得直接投资与实物商品相关的衍生品；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⑤基金管理人应当在本基金会计年度结束后</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个工作日内向中国证监会提交包括衍生品头寸及风险分析年度报告。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）本基金可以参与境外证券借贷交易，并且应当遵守下列规定：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①所有参与交易的对手方（中资商业银行除外）应当具有中国证监会认可的信用评级机构评级；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②应当采取市值计价制度进行调整以确保担保物市值不低于已借出证券市值的</w:t>
      </w:r>
      <w:r>
        <w:rPr>
          <w:rFonts w:hint="default" w:ascii="Times New Roman" w:hAnsi="Times New Roman" w:eastAsia="宋体" w:cs="Times New Roman"/>
          <w:bCs/>
          <w:kern w:val="2"/>
          <w:sz w:val="24"/>
          <w:szCs w:val="24"/>
          <w:lang w:val="en-US" w:eastAsia="zh-CN" w:bidi="ar"/>
        </w:rPr>
        <w:t>102</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③借方应当在交易期内及时向本基金支付已借出证券产生的所有股息、利息和分红。一旦借方违约，本基金根据协议和有关法律有权保留和处置担保物以满足索赔需要；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④除中国证监会另有规定外，担保物可以是以下金融工具或品种：现金、存款证明、商业票据、政府债券、中资商业银行或由不低于中国证监会认可的信用评级机构评级的境外金融机构（作为交易对手方或其关联方的除外）出具的不可撤销信用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⑤本基金有权在任何时候终止证券借贷交易并在正常市场惯例的合理期限内要求归还任一或所有已借出的证券；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）本基金可以根据正常市场惯例参与境外正回购交易、逆回购交易，并且应当遵守下列规定：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①所有参与正回购交易的对手方（中资商业银行除外）应当具有中国证监会认可的信用评级机构信用评级；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②参与正回购交易，应当采取市值计价制度对卖出收益进行调整以确保现金不低于已售出证券市值的</w:t>
      </w:r>
      <w:r>
        <w:rPr>
          <w:rFonts w:hint="default" w:ascii="Times New Roman" w:hAnsi="Times New Roman" w:eastAsia="宋体" w:cs="Times New Roman"/>
          <w:bCs/>
          <w:kern w:val="2"/>
          <w:sz w:val="24"/>
          <w:szCs w:val="24"/>
          <w:lang w:val="en-US" w:eastAsia="zh-CN" w:bidi="ar"/>
        </w:rPr>
        <w:t>102</w:t>
      </w:r>
      <w:r>
        <w:rPr>
          <w:rFonts w:hint="eastAsia" w:ascii="宋体" w:hAnsi="宋体" w:eastAsia="宋体" w:cs="宋体"/>
          <w:bCs/>
          <w:kern w:val="2"/>
          <w:sz w:val="24"/>
          <w:szCs w:val="24"/>
          <w:lang w:val="en-US" w:eastAsia="zh-CN" w:bidi="ar"/>
        </w:rPr>
        <w:t>％。一旦买方违约，本基金根据协议和有关法律有权保留或处置卖出收益以满足索赔需要；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③买方应当在正回购交易期内及时向本基金支付售出证券产生的所有股息、利息和分红；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④参与逆回购交易，应当对购入证券采取市值计价制度进行调整以确保已购入证券市值不低于支付现金的</w:t>
      </w:r>
      <w:r>
        <w:rPr>
          <w:rFonts w:hint="default" w:ascii="Times New Roman" w:hAnsi="Times New Roman" w:eastAsia="宋体" w:cs="Times New Roman"/>
          <w:bCs/>
          <w:kern w:val="2"/>
          <w:sz w:val="24"/>
          <w:szCs w:val="24"/>
          <w:lang w:val="en-US" w:eastAsia="zh-CN" w:bidi="ar"/>
        </w:rPr>
        <w:t>102</w:t>
      </w:r>
      <w:r>
        <w:rPr>
          <w:rFonts w:hint="eastAsia" w:ascii="宋体" w:hAnsi="宋体" w:eastAsia="宋体" w:cs="宋体"/>
          <w:bCs/>
          <w:kern w:val="2"/>
          <w:sz w:val="24"/>
          <w:szCs w:val="24"/>
          <w:lang w:val="en-US" w:eastAsia="zh-CN" w:bidi="ar"/>
        </w:rPr>
        <w:t>％。一旦卖方违约，本基金根据协议和有关法律有权保留或处置已购入证券以满足索赔需要；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）基金参与境外证券借贷交易、正回购交易，所有已借出而未归还证券总市值或所有已售出而未回购证券总市值均不得超过基金总资产的</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％。本项比例限制计算，基金因参与证券借贷交易、正回购交易而持有的担保物、现金不得计入基金总资产；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）为应付赎回、交易清算等临时用途借入现金的比例不得超过基金资产净值的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）法律法规及中国证监会规定的和《基金合同》约定的其他投资限制。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因证券、期货市场波动、证券发行人合并、基金规模变动等基金管理人之外的因素致使基金投资比例不符合上述规定投资比例的，针对第（</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）项投资比例，除该项下第</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）情形之外，基金管理人应当在</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个交易日内进行调整，但中国证监会规定的特殊情形除外；若本基金投资超过第（</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）项下第</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）项投资比例规定的，基金管理人应当在超过比例后</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个交易日内采用合理的商业措施进行调整以符合投资比例要求，法律法规或中国证监会另有规定的依其规定执行。法律法规另有规定的，从其规定。</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基金管理人应当自基金合同生效之日起</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个月内使基金的投资组合比例符合基金合同的有关约定。在上述期间内，本基金的投资范围、投资策略应当符合基金合同的约定。基金托管人对基金的投资的监督与检查自本基金合同生效之日起开始。</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法律法规或监管部门取消或者变更上述限制，如适用于本基金，基金管理人在履行适当程序后，则本基金投资不再受相关限制或以变更后的规定为准。</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、禁止行为</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为维护基金份额持有人的合法权益，基金财产不得用于下列投资或者活动：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）承销证券；</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）违反规定向他人贷款或者提供担保；</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）从事承担无限责任的投资；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）向其基金管理人、基金托管人出资；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）从事内幕交易、操纵证券交易价格及其他不正当的证券交易活动；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）购买不动产；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）购买房地产抵押按揭；</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）购买贵重金属或代表贵重金属的凭证；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）购买实物商品；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）除应付赎回、交易清算等临时用途以外，借入现金；该临时用途借入现金的比例不得超过基金资产净值的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）参与境外投资时，利用融资购买证券，但投资金融衍生品以及法律法规或中国证监会另有规定的除外；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）参与未持有基础资产的卖空交易；</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）购买证券用于控制或影响发行该证券的机构或其管理层；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）直接投资与实物商品相关的衍生品；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）法律、行政法规和中国证监会规定禁止的其他活动。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如法律、行政法规或监管部门取消或变更上述规定，如适用于本基金，基金管理人在履行适当程序后，本基金可不受上述规定的限制或以变更后的规定为准。</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（五）业绩比较基准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本基金业绩比较基准：恒生消费指数收益率×</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综合全价（总值）指数收益率×</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人民币活期存款基准利率×</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、业绩比较基准设定的原因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于基金投资范围以及预期投资的主要资产类别，本基金主要投资于港股股票、债券、货币市场工具等资产，相应选取与之匹配的港股指数、债券指数与人民币活期存款基准利率作为基准要素；同时基于基金投资股票资产（含普通股、优先股、港股通标的股票、存托凭证）占基金资产的比例为</w:t>
      </w:r>
      <w:r>
        <w:rPr>
          <w:rFonts w:hint="default" w:ascii="Times New Roman" w:hAnsi="Times New Roman" w:eastAsia="宋体" w:cs="Times New Roman"/>
          <w:bCs/>
          <w:kern w:val="2"/>
          <w:sz w:val="24"/>
          <w:szCs w:val="24"/>
          <w:lang w:val="en-US" w:eastAsia="zh-CN" w:bidi="ar"/>
        </w:rPr>
        <w:t>60%-95%</w:t>
      </w:r>
      <w:r>
        <w:rPr>
          <w:rFonts w:hint="eastAsia" w:ascii="宋体" w:hAnsi="宋体" w:eastAsia="宋体" w:cs="宋体"/>
          <w:bCs/>
          <w:kern w:val="2"/>
          <w:sz w:val="24"/>
          <w:szCs w:val="24"/>
          <w:lang w:val="en-US" w:eastAsia="zh-CN" w:bidi="ar"/>
        </w:rPr>
        <w:t>、投资于本基金界定的港股消费主题相关股票（含存托凭证）的资产不低于非现金基金资产的</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等投资比例限制，以及预期的资产配置比例，本基金将港股股票资产、债券资产与货币市场工具所对应的基准要素权重分别设置为</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与</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于基金投资目标、投资范围和投资策略，本基金的股票资产主要投向港股消费主题相关公司，并在港股消费主题相关领域中基于行业景气度、公司竞争力精选具有长期投资价值的优质公司，从而在控制风险的基础上追求超越业绩比较基准的投资回报。综合考虑基准指数与产品定位、投资风格与主题库的匹配度，同时兼顾考虑基准指数的表征性、认可度，以及指数主题界定、市值覆盖、行业与个股分布等，本基金选取恒生消费指数作为港股消费主题股票部分的基准要素，具体情况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恒生消费指数反映香港证券市场内提供与日常消费相关的消费品制造及服务的上市公司的整体表现，适合作为本基金港股消费主题股票部分的业绩比较基准要素。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综合全价（总值）指数作为债券部分的业绩比较基准要素。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其样本债券涵盖的范围全面，具有广泛的市场代表性，涵盖主要交易市场（银行间市场、交易所市场等）、不同发行主体（政府、企业等）和期限（长期、中期、短期等），反映境内人民币债券市场整体表现，适合作为本基金债券部分的业绩比较基准要素。</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）人民币活期存款基准利率具有较强的权威性和市场影响力，适合作为本基金货币市场工具部分的业绩比较基准。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综上，本基金选取的业绩比较基准与基金投资目标、投资范围、投资策略、投资比例限制相匹配。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、业绩比较基准要素的基本信息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恒生消费指数由恒生指数有限公司编制发布，指数代码为</w:t>
      </w:r>
      <w:r>
        <w:rPr>
          <w:rFonts w:hint="default" w:ascii="Times New Roman" w:hAnsi="Times New Roman" w:eastAsia="宋体" w:cs="Times New Roman"/>
          <w:bCs/>
          <w:kern w:val="2"/>
          <w:sz w:val="24"/>
          <w:szCs w:val="24"/>
          <w:lang w:val="en-US" w:eastAsia="zh-CN" w:bidi="ar"/>
        </w:rPr>
        <w:t>HSCGSI</w:t>
      </w:r>
      <w:r>
        <w:rPr>
          <w:rFonts w:hint="eastAsia" w:ascii="宋体" w:hAnsi="宋体" w:eastAsia="宋体" w:cs="宋体"/>
          <w:bCs/>
          <w:kern w:val="2"/>
          <w:sz w:val="24"/>
          <w:szCs w:val="24"/>
          <w:lang w:val="en-US" w:eastAsia="zh-CN" w:bidi="ar"/>
        </w:rPr>
        <w:t>，指数具体信息详见恒生指数有限公司网站，网址：</w:t>
      </w:r>
      <w:r>
        <w:rPr>
          <w:rFonts w:hint="default" w:ascii="Times New Roman" w:hAnsi="Times New Roman" w:eastAsia="宋体" w:cs="Times New Roman"/>
          <w:bCs/>
          <w:kern w:val="2"/>
          <w:sz w:val="24"/>
          <w:szCs w:val="24"/>
          <w:lang w:val="en-US" w:eastAsia="zh-CN" w:bidi="ar"/>
        </w:rPr>
        <w:t>www.hsi.com.hk</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综合全价（总值）指数由中债金融估值中心有限公司编制发布，指数代码为</w:t>
      </w:r>
      <w:r>
        <w:rPr>
          <w:rFonts w:hint="default" w:ascii="Times New Roman" w:hAnsi="Times New Roman" w:eastAsia="宋体" w:cs="Times New Roman"/>
          <w:bCs/>
          <w:kern w:val="2"/>
          <w:sz w:val="24"/>
          <w:szCs w:val="24"/>
          <w:lang w:val="en-US" w:eastAsia="zh-CN" w:bidi="ar"/>
        </w:rPr>
        <w:t>CBA00203</w:t>
      </w:r>
      <w:r>
        <w:rPr>
          <w:rFonts w:hint="eastAsia" w:ascii="宋体" w:hAnsi="宋体" w:eastAsia="宋体" w:cs="宋体"/>
          <w:bCs/>
          <w:kern w:val="2"/>
          <w:sz w:val="24"/>
          <w:szCs w:val="24"/>
          <w:lang w:val="en-US" w:eastAsia="zh-CN" w:bidi="ar"/>
        </w:rPr>
        <w:t>，指数具体信息详见中国债券信息网，网址：</w:t>
      </w:r>
      <w:r>
        <w:rPr>
          <w:rFonts w:hint="default" w:ascii="Times New Roman" w:hAnsi="Times New Roman" w:eastAsia="宋体" w:cs="Times New Roman"/>
          <w:bCs/>
          <w:kern w:val="2"/>
          <w:sz w:val="24"/>
          <w:szCs w:val="24"/>
          <w:lang w:val="en-US" w:eastAsia="zh-CN" w:bidi="ar"/>
        </w:rPr>
        <w:t>www.chinabond.com.cn</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人民币活期存款基准利率由中国人民银行发布，具体信息详见中国人民银行网站，网址：</w:t>
      </w:r>
      <w:r>
        <w:rPr>
          <w:rFonts w:hint="default" w:ascii="Times New Roman" w:hAnsi="Times New Roman" w:eastAsia="宋体" w:cs="Times New Roman"/>
          <w:bCs/>
          <w:kern w:val="2"/>
          <w:sz w:val="24"/>
          <w:szCs w:val="24"/>
          <w:lang w:val="en-US" w:eastAsia="zh-CN" w:bidi="ar"/>
        </w:rPr>
        <w:t>www.pbc.gov.cn</w:t>
      </w:r>
      <w:r>
        <w:rPr>
          <w:rFonts w:hint="eastAsia" w:ascii="宋体" w:hAnsi="宋体" w:eastAsia="宋体" w:cs="宋体"/>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、业绩比较基准的计算方法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本基金业绩比较基准收益率的计算方法以每日收益率为基础，以时间加权为计算原则。本基金先分别计算业绩比较基准中恒生消费指数、中债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人民币活期存款基准利率的每日收益率，再按照预设权重比例计算当日组合要素基准的日收益率，并连乘每日收益率。其中，恒生消费指数收益率采用估值汇率进行调整，由港元计价折算为人民币计价后，再纳入计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、管理投资偏离业绩比较基准的定性或定量方法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管理人对基金实际投资与业绩比较基准的偏离情况进行动态跟踪与监测评估，监测指标主要包括超额收益、信息比率、跟踪误差、卡玛比率、股票配置偏离度、基准覆盖率、主动比率等，以更好管理基金实际投资与业绩比较基准的偏离情况，保持主要配置港股消费主题的上市公司，从而在控制风险的基础上追求超越业绩比较基准的投资回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、未来可能变更业绩比较基准的情况和程序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）调整业绩比较基准的要素权重、更换相同或相近特征的要素等，使新业绩比较基准代表性更强，且符合相关法律法规规定的；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）中国证监会认可的其他情形。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业绩比较基准变更涉及以下情形的，基金管理人应当按照规定履行变更注册、召开基金份额持有人大会等程序，法律法规、中国证监会另有规定的除外：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）基金投资目标、投资范围、投资策略、投资比例等拟进行重大调整，并变更业绩比较基准的；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）其他对基金份额持有人利益产生重大实质性影响的情形。</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（六）侧袋机制的实施和投资运作安排</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侧袋机制实施期间，本部分约定的投资组合比例、投资策略、组合限制、业绩比较基准、风险收益特征等约定仅适用于主袋账户。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侧袋账户的实施条件、实施程序、运作安排、投资安排、特定资产的处置变现和支付等对投资者权益有重大影响的事项详见招募说明书的规定。</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default" w:ascii="Times New Roman" w:hAnsi="Times New Roman" w:cs="Times New Roman"/>
          <w:b/>
          <w:bCs/>
          <w:kern w:val="2"/>
          <w:sz w:val="24"/>
          <w:szCs w:val="24"/>
        </w:rPr>
      </w:pPr>
      <w:r>
        <w:rPr>
          <w:rFonts w:hint="eastAsia" w:ascii="宋体" w:hAnsi="宋体" w:eastAsia="宋体" w:cs="宋体"/>
          <w:b/>
          <w:bCs/>
          <w:kern w:val="2"/>
          <w:sz w:val="24"/>
          <w:szCs w:val="24"/>
          <w:lang w:val="en-US" w:eastAsia="zh-CN" w:bidi="ar"/>
        </w:rPr>
        <w:t>六、基金资产净值的计算方法和公告方式</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（一）估值方法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、处于未上市期间的有价证券应区分如下情况处理：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）送股、转增股、配股和公开增发的新股，按估值日在证券交易所挂牌的同一股票的估值方法估值；该日无交易的，以最近一日的市价（收盘价）估值；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）首次公开发行未上市的股票、债券和权证，采用估值技术确定公允价值；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、对于已上市或已挂牌转让的不含权固定收益品种（另有规定的除外），选取第三方估值基准服务机构提供的相应品种当日的估值全价进行估值。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、对于已上市或已挂牌转让的含权固定收益品种（另有规定的除外），选取第三方估值基准服务机构提供的相应品种当日的唯一估值全价或推荐估值全价进行估值。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、对于未上市或未挂牌转让且不存在活跃市场的固定收益品种，采用在当前情况下适用并且有足够可利用数据和其他信息支持的估值技术确定其公允价值。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投资股指期货合约，一般以估值当日结算价进行估值，估值当日无结算价的，且最近交易日后经济环境未发生重大变化的，采用最近交易日结算价估值。本基金投资股票期权合约，根据相关法律法规以及监管部门的规定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、同一证券同时在两个或两个以上市场交易的，按证券所处的市场分别估值。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、外汇汇率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）估值计算中涉及港币、美元、英镑、欧元、日元等五种主要货币对人民币汇率的，将依据下列信息提供机构所提供的汇率为基准：当日中国人民银行或其授权机构公布的人民币与主要货币的中间价。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）涉及到其它币种与人民币之间的汇率，参照数据服务商提供的当日各种货币兑美元折算率采用套算的方法进行折算。</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若本基金现行估值汇率不再发布或发生重大变更，或市场上出现更为公允、更适合本基金的估值汇率时，基金管理人与基金托管人协商一致并履行适当程序后，可根据实际情况调整本基金的估值汇率，无需召开基金份额持有人大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、境外基金估值方法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）上市流通的基金按估值日其所在证券交易所的收盘价估值；估值日无交易的，以最近交易日的收盘价估值；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）非上市流通基金以估值截止时点能够取得的最新基金份额净值进行估值。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对于按照中国法律法规和基金投资境外交易场所所在地的法律法规规定应交纳的各项税金，本基金将按权责发生制原则进行估值；对于因税收规定调整或其他原因导致本基金实际交纳税金与估算的应交税金有差异的，本基金将在相关税金调整日或实际支付日进行相应的会计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对于非代扣代缴的税收，基金管理人可聘请税收顾问对相关投资市场的税收情况给予意见和建议。境外托管人根据基金管理人的指示具体协调基金在海外税务的申报、缴纳及索取税收返还等相关工作。</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、本基金投资境内存托凭证的估值核算，依照境内上市交易的股票执行；本基金投资境外存托凭证的估值核算，依照其所在证券交易所的最近交易日的收盘价估值。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、境外衍生工具估值方法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）上市流通的衍生品按估值日其所在证券交易所的收盘价估值；估值日无交易的，以最近交易日的收盘价估值；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）未上市流通的衍生品，应当采用估值技术确定其公允价值。采用估值技术得出的结果，应当反映估值日在公平交易中可能采用的交易价格。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）衍生品的估值，可以参考国际会计准则进行。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、如有确凿证据表明按上述方法进行估值不能客观反映其公允价值的，基金管理人可根据具体情况与基金托管人商定后，按最能反映公允价值的价格估值。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、当发生大额申购或赎回情形时，基金管理人可以采用摆动定价机制，以确保基金估值的公平性。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16</w:t>
      </w:r>
      <w:r>
        <w:rPr>
          <w:rFonts w:hint="eastAsia" w:ascii="宋体" w:hAnsi="宋体" w:eastAsia="宋体" w:cs="宋体"/>
          <w:bCs/>
          <w:kern w:val="2"/>
          <w:sz w:val="24"/>
          <w:szCs w:val="24"/>
          <w:lang w:val="en-US" w:eastAsia="zh-CN" w:bidi="ar"/>
        </w:rPr>
        <w:t>、相关法律法规以及监管部门有强制规定的，从其规定。如有新增事项，按国家最新规定估值。</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sz w:val="24"/>
          <w:szCs w:val="24"/>
        </w:rPr>
      </w:pPr>
      <w:r>
        <w:rPr>
          <w:rFonts w:hint="eastAsia" w:ascii="宋体" w:hAnsi="宋体" w:eastAsia="宋体" w:cs="宋体"/>
          <w:bCs/>
          <w:kern w:val="2"/>
          <w:sz w:val="24"/>
          <w:szCs w:val="24"/>
          <w:lang w:val="en-US" w:eastAsia="zh-CN" w:bidi="ar"/>
        </w:rPr>
        <w:t>如基金管理人或基金托管人发现基金估值违反基金合同订明的估值方法、程序及相关法律法规的规定或者未能充分维护基金份额持有人利益时，应立即通知对方，共同查明原因，双方协商解决。</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（二）估值程序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、各类基金份额的基金份额净值是按照每个估值日，该类基金份额的基金资产净值除以当日该类基金份额的余额数量计算，均精确到</w:t>
      </w:r>
      <w:r>
        <w:rPr>
          <w:rFonts w:hint="default" w:ascii="Times New Roman" w:hAnsi="Times New Roman" w:eastAsia="宋体" w:cs="Times New Roman"/>
          <w:bCs/>
          <w:kern w:val="2"/>
          <w:sz w:val="24"/>
          <w:szCs w:val="24"/>
          <w:lang w:val="en-US" w:eastAsia="zh-CN" w:bidi="ar"/>
        </w:rPr>
        <w:t>0.0001</w:t>
      </w:r>
      <w:r>
        <w:rPr>
          <w:rFonts w:hint="eastAsia" w:ascii="宋体" w:hAnsi="宋体" w:eastAsia="宋体" w:cs="宋体"/>
          <w:bCs/>
          <w:kern w:val="2"/>
          <w:sz w:val="24"/>
          <w:szCs w:val="24"/>
          <w:lang w:val="en-US" w:eastAsia="zh-CN" w:bidi="ar"/>
        </w:rPr>
        <w:t>元，小数点后第</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位四舍五入，由此产生的误差计入基金财产。基金管理人可以设立大额赎回情形下的净值精度应急调整机制，具体可参见相关公告。国家另有规定的，从其规定。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基金管理人于每个估值日的下一个工作日计算该估值日的各类基金份额的基金资产净值及基金份额净值，经基金托管人复核，并按规定公告。如遇特殊情况，经履行适当程序，可以适当延迟计算或公告。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管理人应每个估值日的下一个工作日对该估值日的基金资产估值，但基金管理人根据法律法规或本基金合同的规定暂停估值时除外。基金管理人对基金资产估值后，将基金资产净值、各类基金份额净值结果发送基金托管人，经基金托管人复核无误后，由基金管理人依据基金合同和相关法律法规的规定对外公布。</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（三）暂停估值的情形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、基金投资所涉及的证券、期货交易市场或外汇市场遇法定节假日或因其他原因暂停营业时；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、因不可抗力致使基金管理人、基金托管人、境外托管人无法准确评估基金资产价值时；</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、当特定资产占前一估值日基金资产净值</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以上的，经与基金托管人协商确认后，基金管理人应当暂停估值；</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、法律法规、中国证监会和基金合同认定的其它情形。</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（四）基金资产净值、基金份额净值的公告方式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《基金合同》生效后，在开始办理基金份额申购或者赎回前，基金管理人应当至少每周在规定网站分别披露一次</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类基金份额和</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类基金份额所对应的基金份额净值和基金份额累计净值。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在开始办理基金份额申购或者赎回后，基金管理人应当在不晚于每个开放日后的两个工作日内，通过规定网站、基金销售机构网站或者营业网点分别披露开放日的</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类基金份额和</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类基金份额所对应的基金份额净值和基金份额累计净值。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基金管理人应当在不晚于半年度和年度最后一日后的两个工作日内，在规定网站披露半年度和年度最后一日</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类基金份额和</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类基金份额所对应的基金份额净值和基金份额累计净值。</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七、基金合同变更、解除和终止的事由、程序以及基金财产清算方式</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（一）《基金合同》的变更</w:t>
      </w:r>
    </w:p>
    <w:p>
      <w:pPr>
        <w:keepNext w:val="0"/>
        <w:keepLines w:val="0"/>
        <w:widowControl w:val="0"/>
        <w:suppressLineNumbers w:val="0"/>
        <w:autoSpaceDE w:val="0"/>
        <w:autoSpaceDN w:val="0"/>
        <w:adjustRightInd w:val="0"/>
        <w:spacing w:before="0" w:beforeAutospacing="0" w:after="0" w:afterAutospacing="0" w:line="360" w:lineRule="auto"/>
        <w:ind w:left="0" w:right="0" w:firstLine="720" w:firstLineChars="300"/>
        <w:jc w:val="left"/>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keepNext w:val="0"/>
        <w:keepLines w:val="0"/>
        <w:widowControl w:val="0"/>
        <w:suppressLineNumbers w:val="0"/>
        <w:autoSpaceDE w:val="0"/>
        <w:autoSpaceDN w:val="0"/>
        <w:adjustRightInd w:val="0"/>
        <w:spacing w:before="0" w:beforeAutospacing="0" w:after="0" w:afterAutospacing="0" w:line="360" w:lineRule="auto"/>
        <w:ind w:left="0" w:right="0" w:firstLine="720" w:firstLineChars="300"/>
        <w:jc w:val="left"/>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、关于《基金合同》变更的基金份额持有人大会决议自生效后方可执行，自决议生效后依照《信息披露办法》的规定在规定媒介公告。</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（二）《基金合同》的终止事由</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有下列情形之一的，经履行相关程序后，《基金合同》应当终止：</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、基金份额持有人大会决定终止的；</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、基金管理人、基金托管人职责终止，在</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个月内没有新基金管理人、新基金托管人承接的；</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、《基金合同》约定的其他情形；</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、相关法律法规和中国证监会规定的其他情况。</w:t>
      </w:r>
    </w:p>
    <w:p>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（三）基金财产的清算</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、基金财产清算小组：自出现《基金合同》终止事由之日起</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个工作日内成立基金财产清算小组，基金管理人组织基金财产清算小组并在中国证监会的监督下进行基金清算。</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、基金财产清算小组职责：基金财产清算小组负责基金财产的保管、清理、估价、变现和分配。基金财产清算小组可以依法进行必要的民事活动。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、基金财产清算程序：</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）《基金合同》终止情形出现时，由基金财产清算小组统一接管基金财产；</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）对基金财产和债权债务进行清理和确认；</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）对基金财产进行估值和变现；</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）制作清算报告；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）聘请符合《中华人民共和国证券法》规定的会计师事务所对清算报告进行外部审计，聘请律师事务所对清算报告出具法律意见书；</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）将清算报告报中国证监会备案并公告；</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）对基金剩余财产进行分配。</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、基金财产清算的期限为</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个月，但因本基金所持证券的流动性受到限制而不能及时变现的，清算期限相应顺延。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（四）清算费用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清算费用是指基金财产清算小组在进行基金财产清算过程中发生的所有合理费用，清算费用由基金财产清算小组优先从基金财产中支付。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（五）基金财产清算剩余资产的分配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依据基金财产清算的分配方案，将基金财产清算后的全部剩余资产扣除基金财产清算费用、交纳所欠税款并清偿基金债务后，按基金份额持有人持有的基金份额比例进行分配。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其中，对于投资人通过直销机构认购</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申购的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类基金份额所计提的销售服务费，或者通过其他销售机构认购</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申购的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类基金份额持续持有超过一年后所计提的销售服务费，将在基金合同终止时随剩余资产分配款项一并返还给投资人。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（六）基金财产清算的公告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个工作日内由基金财产清算小组进行公告，基金财产清算小组应当将清算报告登载在规定网站上，并将清算报告提示性公告登载在规定报刊上。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（七）基金财产清算账册及文件的保存</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基金财产清算账册及有关文件由基金托管人保存不低于法律法规规定的最低期限。</w:t>
      </w:r>
    </w:p>
    <w:p>
      <w:pPr>
        <w:pStyle w:val="18"/>
        <w:keepNext w:val="0"/>
        <w:keepLines w:val="0"/>
        <w:widowControl w:val="0"/>
        <w:suppressLineNumbers w:val="0"/>
        <w:spacing w:before="0" w:beforeAutospacing="1" w:after="78" w:afterLines="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八、争议解决方式</w:t>
      </w:r>
    </w:p>
    <w:p>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cs="Times New Roman"/>
          <w:b/>
          <w:bCs w:val="0"/>
          <w:kern w:val="2"/>
          <w:sz w:val="24"/>
          <w:szCs w:val="24"/>
        </w:rPr>
      </w:pPr>
      <w:r>
        <w:rPr>
          <w:rFonts w:hint="eastAsia" w:ascii="宋体" w:hAnsi="宋体" w:eastAsia="宋体" w:cs="宋体"/>
          <w:b/>
          <w:bCs w:val="0"/>
          <w:kern w:val="2"/>
          <w:sz w:val="24"/>
          <w:szCs w:val="24"/>
          <w:lang w:val="en-US" w:eastAsia="zh-CN" w:bidi="ar"/>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pPr>
        <w:spacing w:beforeAutospacing="0" w:after="0" w:line="360" w:lineRule="auto"/>
        <w:ind w:firstLine="480" w:firstLineChars="200"/>
        <w:rPr>
          <w:rFonts w:hint="eastAsia" w:ascii="宋体" w:hAnsi="宋体" w:eastAsia="宋体" w:cs="宋体"/>
          <w:b w:val="0"/>
          <w:bCs/>
          <w:kern w:val="2"/>
          <w:sz w:val="24"/>
          <w:szCs w:val="24"/>
          <w:lang w:bidi="ar"/>
        </w:rPr>
      </w:pPr>
      <w:r>
        <w:rPr>
          <w:rFonts w:hint="eastAsia" w:ascii="宋体" w:hAnsi="宋体" w:eastAsia="宋体" w:cs="宋体"/>
          <w:bCs/>
          <w:kern w:val="2"/>
          <w:sz w:val="24"/>
          <w:szCs w:val="24"/>
          <w:lang w:val="en-US" w:eastAsia="zh-CN" w:bidi="ar"/>
        </w:rPr>
        <w:t>争议处理期间，基金合同当事人应恪守各自的职责，继续忠实、勤勉、尽责地履行基金合同规定的义务，维护基金份额持有人的合法权益。《基金合同》受中国法律（为本基金合同之目的，不含港澳台地区法律）管辖并从其解释。</w:t>
      </w:r>
    </w:p>
    <w:p>
      <w:pPr>
        <w:pStyle w:val="18"/>
        <w:keepNext w:val="0"/>
        <w:keepLines w:val="0"/>
        <w:widowControl w:val="0"/>
        <w:suppressLineNumbers w:val="0"/>
        <w:spacing w:before="0" w:beforeAutospacing="1" w:after="78" w:afterLines="0" w:afterAutospacing="0" w:line="360" w:lineRule="auto"/>
        <w:ind w:left="0" w:right="0" w:firstLine="482" w:firstLineChars="200"/>
        <w:jc w:val="both"/>
        <w:outlineLvl w:val="1"/>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九、基金合同存放地和投资者取得基金合同的方式</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Cs/>
          <w:kern w:val="2"/>
          <w:sz w:val="24"/>
          <w:szCs w:val="24"/>
          <w:lang w:bidi="ar"/>
        </w:rPr>
      </w:pPr>
      <w:r>
        <w:rPr>
          <w:rFonts w:hint="eastAsia" w:ascii="宋体" w:hAnsi="宋体" w:eastAsia="宋体" w:cs="宋体"/>
          <w:bCs/>
          <w:kern w:val="2"/>
          <w:sz w:val="24"/>
          <w:szCs w:val="24"/>
          <w:lang w:val="en-US" w:eastAsia="zh-CN" w:bidi="ar"/>
        </w:rPr>
        <w:t>《基金合同》正本一式三份，除上报有关监管机构一份外，基金管理人、基金托管人各持有一份，每份具有同等的法律效力。</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cs="宋体"/>
          <w:bCs/>
          <w:sz w:val="24"/>
          <w:szCs w:val="24"/>
          <w:lang w:bidi="ar"/>
        </w:rPr>
      </w:pPr>
      <w:r>
        <w:rPr>
          <w:rFonts w:hint="eastAsia" w:ascii="宋体" w:hAnsi="宋体" w:eastAsia="宋体" w:cs="宋体"/>
          <w:bCs/>
          <w:kern w:val="2"/>
          <w:sz w:val="24"/>
          <w:szCs w:val="24"/>
          <w:lang w:val="en-US" w:eastAsia="zh-CN" w:bidi="ar"/>
        </w:rPr>
        <w:t>《基金合同》可印制成册，供投资者在基金管理人、基金托管人、销售机构的办公场所和营业场所查阅，但应以《基金合同》正本为准。</w:t>
      </w:r>
    </w:p>
    <w:p>
      <w:pPr>
        <w:spacing w:line="360" w:lineRule="auto"/>
        <w:ind w:firstLine="420" w:firstLineChars="200"/>
        <w:rPr>
          <w:rFonts w:asciiTheme="minorEastAsia" w:hAnsiTheme="minorEastAsia" w:eastAsiaTheme="minorEastAsia"/>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01407"/>
      <w:docPartObj>
        <w:docPartGallery w:val="autotext"/>
      </w:docPartObj>
    </w:sdtPr>
    <w:sdtContent>
      <w:p>
        <w:pPr>
          <w:pStyle w:val="13"/>
          <w:jc w:val="center"/>
        </w:pPr>
        <w:r>
          <w:fldChar w:fldCharType="begin"/>
        </w:r>
        <w:r>
          <w:instrText xml:space="preserve">PAGE   \* MERGEFORMAT</w:instrText>
        </w:r>
        <w:r>
          <w:fldChar w:fldCharType="separate"/>
        </w:r>
        <w:r>
          <w:rPr>
            <w:lang w:val="zh-CN"/>
          </w:rPr>
          <w:t>20</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2"/>
      </w:pBdr>
      <w:tabs>
        <w:tab w:val="right" w:pos="8280"/>
      </w:tabs>
      <w:wordWrap w:val="0"/>
      <w:adjustRightInd w:val="0"/>
      <w:jc w:val="right"/>
    </w:pPr>
    <w:r>
      <w:rPr>
        <w:rFonts w:hint="eastAsia"/>
        <w:szCs w:val="18"/>
      </w:rPr>
      <w:t>交银施罗德</w:t>
    </w:r>
    <w:r>
      <w:rPr>
        <w:rFonts w:hint="eastAsia"/>
        <w:szCs w:val="18"/>
        <w:lang w:val="en-US" w:eastAsia="zh-CN"/>
      </w:rPr>
      <w:t>港股消费混合型证券投资基金（QDII）</w:t>
    </w:r>
    <w:r>
      <w:rPr>
        <w:rFonts w:hint="eastAsia"/>
        <w:szCs w:val="18"/>
      </w:rPr>
      <w:t>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1959"/>
    <w:multiLevelType w:val="multilevel"/>
    <w:tmpl w:val="06C51959"/>
    <w:lvl w:ilvl="0" w:tentative="0">
      <w:start w:val="1"/>
      <w:numFmt w:val="bullet"/>
      <w:lvlText w:val=""/>
      <w:lvlJc w:val="left"/>
      <w:pPr>
        <w:tabs>
          <w:tab w:val="left" w:pos="420"/>
        </w:tabs>
        <w:ind w:left="84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56B0FB6"/>
    <w:rsid w:val="3DFA6794"/>
    <w:rsid w:val="3EDB168A"/>
    <w:rsid w:val="4CDC7AE6"/>
    <w:rsid w:val="54952386"/>
    <w:rsid w:val="614302E0"/>
    <w:rsid w:val="61AA23D9"/>
    <w:rsid w:val="6513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99"/>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99"/>
    <w:rPr>
      <w:sz w:val="21"/>
    </w:rPr>
  </w:style>
  <w:style w:type="character" w:styleId="27">
    <w:name w:val="footnote reference"/>
    <w:qFormat/>
    <w:uiPriority w:val="0"/>
    <w:rPr>
      <w:vertAlign w:val="superscript"/>
    </w:rPr>
  </w:style>
  <w:style w:type="character" w:customStyle="1" w:styleId="28">
    <w:name w:val="正文文本 Char"/>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Char"/>
    <w:link w:val="19"/>
    <w:qFormat/>
    <w:uiPriority w:val="0"/>
    <w:rPr>
      <w:rFonts w:ascii="Cambria" w:hAnsi="Cambria"/>
      <w:b/>
      <w:kern w:val="2"/>
      <w:sz w:val="32"/>
    </w:rPr>
  </w:style>
  <w:style w:type="character" w:customStyle="1" w:styleId="31">
    <w:name w:val="页眉 Char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页脚 Char1"/>
    <w:link w:val="13"/>
    <w:qFormat/>
    <w:uiPriority w:val="99"/>
    <w:rPr>
      <w:kern w:val="2"/>
      <w:sz w:val="18"/>
    </w:rPr>
  </w:style>
  <w:style w:type="character" w:customStyle="1" w:styleId="48">
    <w:name w:val="正文首行缩进 Char"/>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Char"/>
    <w:link w:val="7"/>
    <w:qFormat/>
    <w:uiPriority w:val="0"/>
    <w:rPr>
      <w:kern w:val="2"/>
      <w:sz w:val="21"/>
    </w:rPr>
  </w:style>
  <w:style w:type="character" w:customStyle="1" w:styleId="51">
    <w:name w:val="纯文本 Char"/>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34"/>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Char1"/>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4DD0A-0D22-469A-915F-E78954DFCFF4}">
  <ds:schemaRefs/>
</ds:datastoreItem>
</file>

<file path=customXml/itemProps2.xml><?xml version="1.0" encoding="utf-8"?>
<ds:datastoreItem xmlns:ds="http://schemas.openxmlformats.org/officeDocument/2006/customXml" ds:itemID="{D51E5AA3-4163-41CA-BC7E-D56C513A7AB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3488</Words>
  <Characters>19886</Characters>
  <Lines>1</Lines>
  <Paragraphs>1</Paragraphs>
  <TotalTime>2</TotalTime>
  <ScaleCrop>false</ScaleCrop>
  <LinksUpToDate>false</LinksUpToDate>
  <CharactersWithSpaces>23328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喻秋燕</cp:lastModifiedBy>
  <dcterms:modified xsi:type="dcterms:W3CDTF">2026-05-18T06:43:11Z</dcterms:modified>
  <dc:title>___证券投资基金招募说明书1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1E4BFE08FC83406BADC221713E561B15</vt:lpwstr>
  </property>
</Properties>
</file>