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宋体" w:hAnsi="宋体"/>
          <w:b/>
          <w:bCs/>
          <w:sz w:val="28"/>
          <w:szCs w:val="28"/>
        </w:rPr>
      </w:pPr>
      <w:bookmarkStart w:id="7" w:name="_GoBack"/>
      <w:bookmarkEnd w:id="7"/>
      <w:r>
        <w:rPr>
          <w:rFonts w:hint="eastAsia" w:ascii="宋体" w:hAnsi="宋体" w:cs="宋体"/>
          <w:b/>
          <w:bCs/>
          <w:sz w:val="28"/>
          <w:szCs w:val="28"/>
        </w:rPr>
        <w:t>交银施罗德</w:t>
      </w:r>
      <w:r>
        <w:rPr>
          <w:rFonts w:hint="eastAsia" w:ascii="宋体" w:hAnsi="宋体" w:cs="宋体"/>
          <w:b/>
          <w:bCs/>
          <w:sz w:val="28"/>
          <w:szCs w:val="28"/>
          <w:lang w:eastAsia="zh-CN"/>
        </w:rPr>
        <w:t>港股消费混合型证券投资基金（QDII）</w:t>
      </w:r>
      <w:r>
        <w:rPr>
          <w:rFonts w:hint="eastAsia" w:ascii="宋体" w:hAnsi="宋体" w:cs="宋体"/>
          <w:b/>
          <w:bCs/>
          <w:sz w:val="28"/>
          <w:szCs w:val="28"/>
        </w:rPr>
        <w:t>基金份额发售公告</w:t>
      </w:r>
    </w:p>
    <w:p>
      <w:pPr>
        <w:adjustRightInd w:val="0"/>
        <w:snapToGrid w:val="0"/>
        <w:spacing w:before="120" w:line="360" w:lineRule="auto"/>
        <w:jc w:val="center"/>
        <w:rPr>
          <w:rFonts w:ascii="宋体" w:hAnsi="宋体"/>
          <w:b/>
          <w:sz w:val="24"/>
        </w:rPr>
      </w:pPr>
    </w:p>
    <w:p>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rPr>
        <w:t>交银施罗德</w:t>
      </w:r>
      <w:r>
        <w:rPr>
          <w:rFonts w:hint="eastAsia" w:hAnsi="宋体"/>
          <w:sz w:val="24"/>
          <w:lang w:eastAsia="zh-CN"/>
        </w:rPr>
        <w:t>港股消费混合型证券投资基金（QDII）</w:t>
      </w:r>
      <w:r>
        <w:rPr>
          <w:rFonts w:hAnsi="宋体"/>
          <w:sz w:val="24"/>
        </w:rPr>
        <w:t>（以下简称“本基金”）的募集已获中国证券监督管理委员会（以下简称“中国证监会”）证监许可【</w:t>
      </w:r>
      <w:r>
        <w:rPr>
          <w:rFonts w:hint="eastAsia" w:hAnsi="宋体"/>
          <w:sz w:val="24"/>
        </w:rPr>
        <w:t>202</w:t>
      </w:r>
      <w:r>
        <w:rPr>
          <w:rFonts w:hint="eastAsia" w:hAnsi="宋体"/>
          <w:sz w:val="24"/>
          <w:lang w:val="en-US" w:eastAsia="zh-CN"/>
        </w:rPr>
        <w:t>6</w:t>
      </w:r>
      <w:r>
        <w:rPr>
          <w:rFonts w:hAnsi="宋体"/>
          <w:sz w:val="24"/>
        </w:rPr>
        <w:t>】</w:t>
      </w:r>
      <w:r>
        <w:rPr>
          <w:rFonts w:hint="eastAsia" w:hAnsi="宋体"/>
          <w:sz w:val="24"/>
          <w:lang w:val="en-US" w:eastAsia="zh-CN"/>
        </w:rPr>
        <w:t>922</w:t>
      </w:r>
      <w:r>
        <w:rPr>
          <w:rFonts w:hAnsi="宋体"/>
          <w:sz w:val="24"/>
        </w:rPr>
        <w:t>号文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w:t>
      </w:r>
      <w:r>
        <w:rPr>
          <w:rFonts w:hAnsi="宋体"/>
          <w:sz w:val="24"/>
        </w:rPr>
        <w:t>契约型开放式</w:t>
      </w:r>
      <w:r>
        <w:rPr>
          <w:rFonts w:hint="eastAsia" w:hAnsi="宋体"/>
          <w:sz w:val="24"/>
        </w:rPr>
        <w:t>混合型</w:t>
      </w:r>
      <w:r>
        <w:rPr>
          <w:rFonts w:hAnsi="宋体"/>
          <w:sz w:val="24"/>
        </w:rPr>
        <w:t>证券投资基金</w:t>
      </w:r>
      <w:r>
        <w:rPr>
          <w:rFonts w:hint="eastAsia" w:hAnsi="宋体"/>
          <w:sz w:val="24"/>
          <w:lang w:eastAsia="zh-CN"/>
        </w:rPr>
        <w:t>（QDII）</w:t>
      </w:r>
      <w:r>
        <w:rPr>
          <w:rFonts w:hAnsi="宋体"/>
          <w:sz w:val="24"/>
        </w:rPr>
        <w:t>。</w:t>
      </w:r>
    </w:p>
    <w:p>
      <w:pPr>
        <w:adjustRightInd w:val="0"/>
        <w:snapToGrid w:val="0"/>
        <w:spacing w:line="360" w:lineRule="auto"/>
        <w:ind w:firstLine="480" w:firstLineChars="200"/>
        <w:rPr>
          <w:rFonts w:hAnsi="宋体"/>
          <w:sz w:val="24"/>
        </w:rPr>
      </w:pPr>
      <w:r>
        <w:rPr>
          <w:rFonts w:hint="eastAsia"/>
          <w:sz w:val="24"/>
        </w:rPr>
        <w:t>3、</w:t>
      </w:r>
      <w:r>
        <w:rPr>
          <w:rFonts w:hAnsi="宋体"/>
          <w:sz w:val="24"/>
        </w:rPr>
        <w:t>本基金的管理人为交银施罗德基金管理有限公司（以下使用全称或其简称“本公司”），托管人为</w:t>
      </w:r>
      <w:r>
        <w:rPr>
          <w:rFonts w:hint="eastAsia" w:hAnsi="宋体"/>
          <w:sz w:val="24"/>
          <w:lang w:eastAsia="zh-CN"/>
        </w:rPr>
        <w:t>中国农业银行</w:t>
      </w:r>
      <w:r>
        <w:rPr>
          <w:rFonts w:hint="eastAsia" w:hAnsi="宋体"/>
          <w:sz w:val="24"/>
        </w:rPr>
        <w:t>股份有限公司</w:t>
      </w:r>
      <w:r>
        <w:rPr>
          <w:rFonts w:hAnsi="宋体"/>
          <w:sz w:val="24"/>
        </w:rPr>
        <w:t>，登记机构为</w:t>
      </w:r>
      <w:r>
        <w:rPr>
          <w:rFonts w:hint="eastAsia" w:hAnsi="宋体"/>
          <w:sz w:val="24"/>
        </w:rPr>
        <w:t>本</w:t>
      </w:r>
      <w:r>
        <w:rPr>
          <w:rFonts w:hAnsi="宋体"/>
          <w:sz w:val="24"/>
        </w:rPr>
        <w:t>公司。</w:t>
      </w:r>
    </w:p>
    <w:p>
      <w:pPr>
        <w:adjustRightInd w:val="0"/>
        <w:snapToGrid w:val="0"/>
        <w:spacing w:line="360" w:lineRule="auto"/>
        <w:ind w:firstLine="480" w:firstLineChars="200"/>
        <w:rPr>
          <w:rFonts w:hint="eastAsia" w:hAnsi="宋体"/>
          <w:sz w:val="24"/>
        </w:rPr>
      </w:pPr>
      <w:r>
        <w:rPr>
          <w:rFonts w:hint="eastAsia" w:hAnsi="宋体"/>
          <w:sz w:val="24"/>
          <w:lang w:val="en-US" w:eastAsia="zh-CN"/>
        </w:rPr>
        <w:t>4、</w:t>
      </w: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pPr>
        <w:adjustRightInd w:val="0"/>
        <w:snapToGrid w:val="0"/>
        <w:spacing w:line="360" w:lineRule="auto"/>
        <w:ind w:firstLine="480" w:firstLineChars="200"/>
        <w:rPr>
          <w:rFonts w:hAnsi="宋体"/>
          <w:sz w:val="24"/>
        </w:rPr>
      </w:pP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rFonts w:hint="eastAsia" w:ascii="宋体" w:hAnsi="宋体"/>
          <w:sz w:val="24"/>
        </w:rPr>
      </w:pPr>
      <w:r>
        <w:rPr>
          <w:rFonts w:hint="eastAsia" w:hAnsi="宋体"/>
          <w:sz w:val="24"/>
          <w:lang w:val="en-US" w:eastAsia="zh-CN"/>
        </w:rPr>
        <w:t>5</w:t>
      </w:r>
      <w:r>
        <w:rPr>
          <w:rFonts w:hint="eastAsia" w:hAnsi="宋体"/>
          <w:sz w:val="24"/>
        </w:rPr>
        <w:t>、</w:t>
      </w:r>
      <w:r>
        <w:rPr>
          <w:rFonts w:hint="eastAsia" w:ascii="宋体" w:hAnsi="宋体"/>
          <w:sz w:val="24"/>
        </w:rPr>
        <w:t>投资者可以通过基金管理人的直销机构即基金管理人直销</w:t>
      </w:r>
      <w:r>
        <w:rPr>
          <w:rFonts w:ascii="宋体" w:hAnsi="宋体"/>
          <w:sz w:val="24"/>
        </w:rPr>
        <w:t>柜台以及</w:t>
      </w:r>
      <w:r>
        <w:rPr>
          <w:rFonts w:hint="eastAsia" w:ascii="宋体" w:hAnsi="宋体"/>
          <w:sz w:val="24"/>
        </w:rPr>
        <w:t>基金管理人</w:t>
      </w:r>
      <w:r>
        <w:rPr>
          <w:rFonts w:ascii="宋体" w:hAnsi="宋体"/>
          <w:sz w:val="24"/>
        </w:rPr>
        <w:t>的网上直销交易平台</w:t>
      </w:r>
      <w:r>
        <w:rPr>
          <w:rFonts w:hint="eastAsia" w:ascii="宋体" w:hAnsi="宋体"/>
          <w:sz w:val="24"/>
        </w:rPr>
        <w:t>（网站</w:t>
      </w:r>
      <w:r>
        <w:rPr>
          <w:rFonts w:ascii="宋体" w:hAnsi="宋体"/>
          <w:sz w:val="24"/>
        </w:rPr>
        <w:t>及手机APP</w:t>
      </w:r>
      <w:r>
        <w:rPr>
          <w:rFonts w:hint="eastAsia" w:ascii="宋体" w:hAnsi="宋体"/>
          <w:sz w:val="24"/>
        </w:rPr>
        <w:t>，</w:t>
      </w:r>
      <w:r>
        <w:rPr>
          <w:rFonts w:ascii="宋体" w:hAnsi="宋体"/>
          <w:sz w:val="24"/>
        </w:rPr>
        <w:t>下同）</w:t>
      </w:r>
      <w:r>
        <w:rPr>
          <w:rFonts w:hint="eastAsia" w:ascii="宋体" w:hAnsi="宋体"/>
          <w:sz w:val="24"/>
        </w:rPr>
        <w:t>和除基金管理人之外的其他销售机构（以下或称“其他销售机构”）认购本基金。</w:t>
      </w:r>
      <w:r>
        <w:rPr>
          <w:rFonts w:ascii="宋体" w:hAnsi="宋体"/>
          <w:sz w:val="24"/>
        </w:rPr>
        <w:t>本公告中如无特别说明，销售机构即指直销机构和</w:t>
      </w:r>
      <w:r>
        <w:rPr>
          <w:rFonts w:hint="eastAsia" w:ascii="宋体" w:hAnsi="宋体"/>
          <w:sz w:val="24"/>
        </w:rPr>
        <w:t>其他销售机构</w:t>
      </w:r>
      <w:r>
        <w:rPr>
          <w:rFonts w:ascii="宋体" w:hAnsi="宋体"/>
          <w:sz w:val="24"/>
        </w:rPr>
        <w:t>。具体销售机构名单详见本公告“</w:t>
      </w:r>
      <w:r>
        <w:rPr>
          <w:rFonts w:hint="eastAsia" w:ascii="宋体" w:hAnsi="宋体"/>
          <w:sz w:val="24"/>
        </w:rPr>
        <w:t>九、本次募集当事人或中介机构”项下“（三）销售机构”</w:t>
      </w:r>
      <w:r>
        <w:rPr>
          <w:rFonts w:ascii="宋体" w:hAnsi="宋体"/>
          <w:sz w:val="24"/>
        </w:rPr>
        <w:t>章节</w:t>
      </w:r>
      <w:r>
        <w:rPr>
          <w:rFonts w:hint="eastAsia" w:ascii="宋体" w:hAnsi="宋体"/>
          <w:sz w:val="24"/>
        </w:rPr>
        <w:t>。</w:t>
      </w:r>
    </w:p>
    <w:p>
      <w:pPr>
        <w:adjustRightInd w:val="0"/>
        <w:snapToGrid w:val="0"/>
        <w:spacing w:line="360" w:lineRule="auto"/>
        <w:ind w:firstLine="480" w:firstLineChars="200"/>
        <w:rPr>
          <w:rFonts w:hint="eastAsia" w:ascii="宋体" w:hAnsi="宋体"/>
          <w:sz w:val="24"/>
        </w:rPr>
      </w:pPr>
      <w:r>
        <w:rPr>
          <w:rFonts w:hint="eastAsia" w:ascii="宋体" w:hAnsi="宋体"/>
          <w:sz w:val="24"/>
        </w:rPr>
        <w:t>本基金C类基金份额暂不开通直销机构销售渠道，投资者如需选择C类基金份额可通过其他销售机构进行认购。</w:t>
      </w:r>
    </w:p>
    <w:p>
      <w:pPr>
        <w:adjustRightInd w:val="0"/>
        <w:snapToGrid w:val="0"/>
        <w:spacing w:line="360" w:lineRule="auto"/>
        <w:ind w:firstLine="480" w:firstLineChars="200"/>
        <w:rPr>
          <w:rFonts w:ascii="宋体" w:hAnsi="宋体"/>
          <w:sz w:val="24"/>
        </w:rPr>
      </w:pPr>
      <w:r>
        <w:rPr>
          <w:rFonts w:hint="eastAsia" w:ascii="宋体" w:hAnsi="宋体"/>
          <w:sz w:val="24"/>
        </w:rPr>
        <w:t>基金管理人可根据有关法律法规的要求，选择其他符合要求的机构销售本基金。除法律法规另有规定外，任何与基金份额发售有关的当事人不得提前发售基金份额。</w:t>
      </w:r>
    </w:p>
    <w:p>
      <w:pPr>
        <w:adjustRightInd w:val="0"/>
        <w:snapToGrid w:val="0"/>
        <w:spacing w:line="360" w:lineRule="auto"/>
        <w:ind w:firstLine="480" w:firstLineChars="200"/>
        <w:rPr>
          <w:sz w:val="24"/>
        </w:rPr>
      </w:pPr>
      <w:r>
        <w:rPr>
          <w:rFonts w:hint="eastAsia"/>
          <w:sz w:val="24"/>
          <w:lang w:val="en-US" w:eastAsia="zh-CN"/>
        </w:rPr>
        <w:t>6</w:t>
      </w:r>
      <w:r>
        <w:rPr>
          <w:rFonts w:hAnsi="宋体"/>
          <w:sz w:val="24"/>
        </w:rPr>
        <w:t>、基金募集期：本基金自</w:t>
      </w:r>
      <w:r>
        <w:rPr>
          <w:rFonts w:hint="eastAsia"/>
          <w:sz w:val="24"/>
        </w:rPr>
        <w:t>2026年</w:t>
      </w:r>
      <w:r>
        <w:rPr>
          <w:rFonts w:hint="eastAsia"/>
          <w:sz w:val="24"/>
          <w:lang w:val="en-US" w:eastAsia="zh-CN"/>
        </w:rPr>
        <w:t>7</w:t>
      </w:r>
      <w:r>
        <w:rPr>
          <w:rFonts w:hint="eastAsia"/>
          <w:sz w:val="24"/>
        </w:rPr>
        <w:t>月</w:t>
      </w:r>
      <w:r>
        <w:rPr>
          <w:rFonts w:hint="eastAsia"/>
          <w:sz w:val="24"/>
          <w:lang w:val="en-US" w:eastAsia="zh-CN"/>
        </w:rPr>
        <w:t>27</w:t>
      </w:r>
      <w:r>
        <w:rPr>
          <w:rFonts w:hint="eastAsia"/>
          <w:sz w:val="24"/>
        </w:rPr>
        <w:t>日起至2026年</w:t>
      </w:r>
      <w:r>
        <w:rPr>
          <w:rFonts w:hint="eastAsia"/>
          <w:sz w:val="24"/>
          <w:lang w:val="en-US" w:eastAsia="zh-CN"/>
        </w:rPr>
        <w:t>8</w:t>
      </w:r>
      <w:r>
        <w:rPr>
          <w:rFonts w:hint="eastAsia"/>
          <w:sz w:val="24"/>
        </w:rPr>
        <w:t>月</w:t>
      </w:r>
      <w:r>
        <w:rPr>
          <w:rFonts w:hint="eastAsia"/>
          <w:sz w:val="24"/>
          <w:lang w:val="en-US" w:eastAsia="zh-CN"/>
        </w:rPr>
        <w:t>14</w:t>
      </w:r>
      <w:r>
        <w:rPr>
          <w:rFonts w:hint="eastAsia"/>
          <w:sz w:val="24"/>
        </w:rPr>
        <w:t>日</w:t>
      </w:r>
      <w:r>
        <w:rPr>
          <w:rFonts w:hAnsi="宋体"/>
          <w:sz w:val="24"/>
          <w:highlight w:val="none"/>
        </w:rPr>
        <w:t>止通</w:t>
      </w:r>
      <w:r>
        <w:rPr>
          <w:rFonts w:hAnsi="宋体"/>
          <w:sz w:val="24"/>
        </w:rPr>
        <w:t>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pPr>
        <w:autoSpaceDE w:val="0"/>
        <w:autoSpaceDN w:val="0"/>
        <w:adjustRightInd w:val="0"/>
        <w:snapToGrid w:val="0"/>
        <w:spacing w:line="360" w:lineRule="auto"/>
        <w:ind w:firstLine="480" w:firstLineChars="200"/>
        <w:rPr>
          <w:rFonts w:hAnsi="宋体"/>
          <w:sz w:val="24"/>
        </w:rPr>
      </w:pPr>
      <w:r>
        <w:rPr>
          <w:rFonts w:hint="eastAsia"/>
          <w:sz w:val="24"/>
          <w:lang w:val="en-US" w:eastAsia="zh-CN"/>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pPr>
        <w:adjustRightInd w:val="0"/>
        <w:snapToGrid w:val="0"/>
        <w:spacing w:line="360" w:lineRule="auto"/>
        <w:ind w:firstLine="480" w:firstLineChars="200"/>
        <w:rPr>
          <w:rFonts w:hAnsi="宋体"/>
          <w:kern w:val="0"/>
          <w:sz w:val="24"/>
        </w:rPr>
      </w:pPr>
      <w:r>
        <w:rPr>
          <w:rFonts w:hint="eastAsia"/>
          <w:sz w:val="24"/>
          <w:lang w:val="en-US" w:eastAsia="zh-CN"/>
        </w:rPr>
        <w:t>8</w:t>
      </w:r>
      <w:r>
        <w:rPr>
          <w:rFonts w:hAnsi="宋体"/>
          <w:sz w:val="24"/>
        </w:rPr>
        <w:t>、</w:t>
      </w:r>
      <w:r>
        <w:rPr>
          <w:rFonts w:hint="eastAsia" w:hAnsi="宋体"/>
          <w:kern w:val="0"/>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pPr>
        <w:adjustRightInd w:val="0"/>
        <w:snapToGrid w:val="0"/>
        <w:spacing w:line="360" w:lineRule="auto"/>
        <w:ind w:firstLine="480" w:firstLineChars="200"/>
        <w:rPr>
          <w:sz w:val="24"/>
        </w:rPr>
      </w:pPr>
      <w:r>
        <w:rPr>
          <w:rFonts w:hint="eastAsia" w:hAnsi="宋体"/>
          <w:kern w:val="0"/>
          <w:sz w:val="24"/>
          <w:lang w:val="en-US" w:eastAsia="zh-CN"/>
        </w:rPr>
        <w:t>9</w:t>
      </w:r>
      <w:r>
        <w:rPr>
          <w:rFonts w:hint="eastAsia" w:hAnsi="宋体"/>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int="eastAsia" w:hAnsi="宋体"/>
          <w:sz w:val="24"/>
        </w:rPr>
        <w:t>用</w:t>
      </w:r>
      <w:r>
        <w:rPr>
          <w:rFonts w:hAnsi="宋体"/>
          <w:sz w:val="24"/>
        </w:rPr>
        <w:t>按每笔认购申请单独计算，</w:t>
      </w:r>
      <w:r>
        <w:rPr>
          <w:rFonts w:hAnsi="宋体"/>
          <w:kern w:val="0"/>
          <w:sz w:val="24"/>
        </w:rPr>
        <w:t>认购申请一经</w:t>
      </w:r>
      <w:r>
        <w:rPr>
          <w:rFonts w:hint="eastAsia" w:hAnsi="宋体"/>
          <w:kern w:val="0"/>
          <w:sz w:val="24"/>
        </w:rPr>
        <w:t>登记</w:t>
      </w:r>
      <w:r>
        <w:rPr>
          <w:rFonts w:hAnsi="宋体"/>
          <w:kern w:val="0"/>
          <w:sz w:val="24"/>
        </w:rPr>
        <w:t>机构受理不得撤销</w:t>
      </w:r>
      <w:r>
        <w:rPr>
          <w:rFonts w:hAnsi="宋体"/>
          <w:sz w:val="24"/>
        </w:rPr>
        <w:t>。</w:t>
      </w:r>
    </w:p>
    <w:p>
      <w:pPr>
        <w:adjustRightInd w:val="0"/>
        <w:snapToGrid w:val="0"/>
        <w:spacing w:line="360" w:lineRule="auto"/>
        <w:ind w:firstLine="480" w:firstLineChars="200"/>
        <w:rPr>
          <w:sz w:val="24"/>
        </w:rPr>
      </w:pPr>
      <w:r>
        <w:rPr>
          <w:rFonts w:hint="eastAsia"/>
          <w:sz w:val="24"/>
          <w:lang w:val="en-US" w:eastAsia="zh-CN"/>
        </w:rPr>
        <w:t>10</w:t>
      </w:r>
      <w:r>
        <w:rPr>
          <w:rFonts w:hAnsi="宋体"/>
          <w:sz w:val="24"/>
        </w:rPr>
        <w:t>、销售网点（指直销机构和</w:t>
      </w:r>
      <w:r>
        <w:rPr>
          <w:sz w:val="24"/>
        </w:rPr>
        <w:t>/</w:t>
      </w:r>
      <w:r>
        <w:rPr>
          <w:rFonts w:hAnsi="宋体"/>
          <w:sz w:val="24"/>
        </w:rPr>
        <w:t>或</w:t>
      </w:r>
      <w:r>
        <w:rPr>
          <w:rFonts w:hint="eastAsia" w:hAnsi="宋体"/>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int="eastAsia" w:hAnsi="宋体"/>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pPr>
        <w:adjustRightInd w:val="0"/>
        <w:snapToGrid w:val="0"/>
        <w:spacing w:line="360" w:lineRule="auto"/>
        <w:ind w:firstLine="480" w:firstLineChars="200"/>
        <w:rPr>
          <w:sz w:val="24"/>
        </w:rPr>
      </w:pPr>
      <w:r>
        <w:rPr>
          <w:rFonts w:hint="eastAsia"/>
          <w:sz w:val="24"/>
          <w:lang w:val="en-US" w:eastAsia="zh-CN"/>
        </w:rPr>
        <w:t>11</w:t>
      </w:r>
      <w:r>
        <w:rPr>
          <w:rFonts w:hAnsi="宋体"/>
          <w:sz w:val="24"/>
        </w:rPr>
        <w:t>、本公告仅对本基金基金份额发售的有关事项和规定予以说明。投资者欲了解本基金的详细情况，请详细阅读</w:t>
      </w:r>
      <w:r>
        <w:rPr>
          <w:rFonts w:hint="eastAsia" w:hAnsi="宋体"/>
          <w:sz w:val="24"/>
          <w:lang w:val="en-US" w:eastAsia="zh-CN"/>
        </w:rPr>
        <w:t>2026年7月13日</w:t>
      </w:r>
      <w:r>
        <w:rPr>
          <w:rFonts w:hint="eastAsia" w:hAnsi="宋体"/>
          <w:sz w:val="24"/>
        </w:rPr>
        <w:t>在本公司网站（www.fund001.com）和中国证监会基金电子披露网站（http://eid.csrc.gov.cn/fund）披露</w:t>
      </w:r>
      <w:r>
        <w:rPr>
          <w:rFonts w:hAnsi="宋体"/>
          <w:sz w:val="24"/>
        </w:rPr>
        <w:t>的</w:t>
      </w:r>
      <w:r>
        <w:rPr>
          <w:rFonts w:hint="eastAsia" w:hAnsi="宋体"/>
          <w:sz w:val="24"/>
        </w:rPr>
        <w:t>交银施罗德</w:t>
      </w:r>
      <w:r>
        <w:rPr>
          <w:rFonts w:hint="eastAsia" w:hAnsi="宋体"/>
          <w:sz w:val="24"/>
          <w:lang w:eastAsia="zh-CN"/>
        </w:rPr>
        <w:t>港股消费混合型证券投资基金（QDII）</w:t>
      </w:r>
      <w:r>
        <w:rPr>
          <w:rFonts w:hint="eastAsia" w:hAnsi="宋体"/>
          <w:sz w:val="24"/>
        </w:rPr>
        <w:t>基金合同</w:t>
      </w:r>
      <w:r>
        <w:rPr>
          <w:rFonts w:hAnsi="宋体"/>
          <w:sz w:val="24"/>
        </w:rPr>
        <w:t>和招募说明书。</w:t>
      </w:r>
    </w:p>
    <w:p>
      <w:pPr>
        <w:adjustRightInd w:val="0"/>
        <w:snapToGrid w:val="0"/>
        <w:spacing w:line="360" w:lineRule="auto"/>
        <w:ind w:firstLine="480" w:firstLineChars="200"/>
        <w:rPr>
          <w:sz w:val="24"/>
        </w:rPr>
      </w:pPr>
      <w:r>
        <w:rPr>
          <w:rFonts w:hint="eastAsia"/>
          <w:sz w:val="24"/>
          <w:lang w:val="en-US" w:eastAsia="zh-CN"/>
        </w:rPr>
        <w:t>12</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pPr>
        <w:adjustRightInd w:val="0"/>
        <w:snapToGrid w:val="0"/>
        <w:spacing w:line="360" w:lineRule="auto"/>
        <w:ind w:firstLine="480" w:firstLineChars="200"/>
        <w:rPr>
          <w:sz w:val="24"/>
        </w:rPr>
      </w:pPr>
      <w:r>
        <w:rPr>
          <w:rFonts w:hint="eastAsia"/>
          <w:sz w:val="24"/>
          <w:lang w:val="en-US" w:eastAsia="zh-CN"/>
        </w:rPr>
        <w:t>13</w:t>
      </w:r>
      <w:r>
        <w:rPr>
          <w:rFonts w:hAnsi="宋体"/>
          <w:sz w:val="24"/>
        </w:rPr>
        <w:t>、销售机构的销售网点以及开户认购等事项的详细情况请向各销售机构咨询。</w:t>
      </w:r>
    </w:p>
    <w:p>
      <w:pPr>
        <w:adjustRightInd w:val="0"/>
        <w:snapToGrid w:val="0"/>
        <w:spacing w:line="360" w:lineRule="auto"/>
        <w:ind w:firstLine="480" w:firstLineChars="200"/>
        <w:rPr>
          <w:sz w:val="24"/>
        </w:rPr>
      </w:pPr>
      <w:r>
        <w:rPr>
          <w:rFonts w:hint="eastAsia"/>
          <w:sz w:val="24"/>
          <w:lang w:val="en-US" w:eastAsia="zh-CN"/>
        </w:rPr>
        <w:t>14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pPr>
        <w:widowControl/>
        <w:adjustRightInd w:val="0"/>
        <w:snapToGrid w:val="0"/>
        <w:spacing w:line="360" w:lineRule="auto"/>
        <w:ind w:firstLine="480" w:firstLineChars="200"/>
        <w:rPr>
          <w:kern w:val="0"/>
          <w:sz w:val="24"/>
        </w:rPr>
      </w:pPr>
      <w:r>
        <w:rPr>
          <w:rFonts w:hint="eastAsia"/>
          <w:sz w:val="24"/>
          <w:lang w:val="en-US" w:eastAsia="zh-CN"/>
        </w:rPr>
        <w:t>15</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pPr>
        <w:adjustRightInd w:val="0"/>
        <w:snapToGrid w:val="0"/>
        <w:spacing w:line="360" w:lineRule="auto"/>
        <w:ind w:firstLine="480" w:firstLineChars="200"/>
        <w:rPr>
          <w:rFonts w:hAnsi="宋体"/>
          <w:sz w:val="24"/>
        </w:rPr>
      </w:pPr>
      <w:r>
        <w:rPr>
          <w:rFonts w:hint="eastAsia"/>
          <w:sz w:val="24"/>
          <w:lang w:val="en-US" w:eastAsia="zh-CN"/>
        </w:rPr>
        <w:t>16</w:t>
      </w:r>
      <w:r>
        <w:rPr>
          <w:rFonts w:hAnsi="宋体"/>
          <w:sz w:val="24"/>
        </w:rPr>
        <w:t>、</w:t>
      </w:r>
      <w:r>
        <w:rPr>
          <w:rFonts w:hint="eastAsia" w:hAnsi="宋体"/>
          <w:sz w:val="24"/>
        </w:rPr>
        <w:t>本基金可根据中国证监会、外管局批准的境外投资额度（外汇额度需折算为人民币）或本基金的实际情况设定基金募集规模上限，</w:t>
      </w:r>
      <w:r>
        <w:rPr>
          <w:rFonts w:hint="eastAsia"/>
          <w:sz w:val="24"/>
        </w:rPr>
        <w:t>对基金发售规模进行限制</w:t>
      </w:r>
      <w:r>
        <w:rPr>
          <w:rFonts w:hint="eastAsia"/>
          <w:sz w:val="24"/>
          <w:lang w:eastAsia="zh-CN"/>
        </w:rPr>
        <w:t>，</w:t>
      </w:r>
      <w:r>
        <w:rPr>
          <w:rFonts w:hint="eastAsia"/>
          <w:sz w:val="24"/>
        </w:rPr>
        <w:t>具体规模限制</w:t>
      </w:r>
      <w:r>
        <w:rPr>
          <w:rFonts w:hint="eastAsia"/>
          <w:sz w:val="24"/>
          <w:lang w:val="en-US" w:eastAsia="zh-CN"/>
        </w:rPr>
        <w:t>以管理人公告为准</w:t>
      </w:r>
      <w:r>
        <w:rPr>
          <w:rFonts w:hint="eastAsia"/>
          <w:sz w:val="24"/>
        </w:rPr>
        <w:t>。基金合同生效后，基金的资产规模不受上述限制，但基金管理人有权根据基金的外汇额度或本基金的实际情况控制基金申购规模并暂停基金的申购</w:t>
      </w:r>
      <w:r>
        <w:rPr>
          <w:rFonts w:hint="eastAsia" w:hAnsi="宋体"/>
          <w:sz w:val="24"/>
        </w:rPr>
        <w:t>。</w:t>
      </w:r>
    </w:p>
    <w:p>
      <w:pPr>
        <w:adjustRightInd w:val="0"/>
        <w:snapToGrid w:val="0"/>
        <w:spacing w:line="360" w:lineRule="auto"/>
        <w:ind w:firstLine="480" w:firstLineChars="200"/>
        <w:rPr>
          <w:sz w:val="24"/>
        </w:rPr>
      </w:pPr>
      <w:r>
        <w:rPr>
          <w:rFonts w:hint="eastAsia"/>
          <w:sz w:val="24"/>
          <w:lang w:val="en-US" w:eastAsia="zh-CN"/>
        </w:rPr>
        <w:t>17</w:t>
      </w:r>
      <w:r>
        <w:rPr>
          <w:rFonts w:hAnsi="宋体"/>
          <w:sz w:val="24"/>
        </w:rPr>
        <w:t>、风险提示</w:t>
      </w:r>
    </w:p>
    <w:p>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基金在投资运作过程中可能面临各种风险，既包括市场风险，也包括基金自身的管理风险、技术风险和合规风险等。巨额赎回风险是开放式基金所特有的一种风险，即当本基金</w:t>
      </w:r>
      <w:r>
        <w:rPr>
          <w:rFonts w:hint="eastAsia" w:hAnsi="宋体"/>
          <w:kern w:val="0"/>
          <w:sz w:val="24"/>
          <w:szCs w:val="24"/>
        </w:rPr>
        <w:t>单个开放日内的基金份额净赎回申请（赎回申请份额总数加上基金转换中转出申请份额总数后扣除申购申请份额总数及基金转换中转入申请份额总数后的余额）超过前一开放日的基金总份额的10%</w:t>
      </w:r>
      <w:r>
        <w:rPr>
          <w:rFonts w:hint="eastAsia" w:hAnsi="宋体"/>
          <w:sz w:val="24"/>
        </w:rPr>
        <w:t>，投资人将可能无法及时赎回持有的全部基金份额。</w:t>
      </w:r>
    </w:p>
    <w:p>
      <w:pPr>
        <w:widowControl/>
        <w:adjustRightInd w:val="0"/>
        <w:snapToGrid w:val="0"/>
        <w:spacing w:line="360" w:lineRule="auto"/>
        <w:ind w:firstLine="480" w:firstLineChars="200"/>
        <w:rPr>
          <w:rFonts w:hAnsi="宋体"/>
          <w:kern w:val="0"/>
          <w:sz w:val="24"/>
        </w:rPr>
      </w:pPr>
      <w:r>
        <w:rPr>
          <w:rFonts w:hAnsi="宋体"/>
          <w:kern w:val="0"/>
          <w:sz w:val="24"/>
        </w:rPr>
        <w:t>基金分为股票</w:t>
      </w:r>
      <w:r>
        <w:rPr>
          <w:rFonts w:hint="eastAsia" w:hAnsi="宋体"/>
          <w:kern w:val="0"/>
          <w:sz w:val="24"/>
        </w:rPr>
        <w:t>型</w:t>
      </w:r>
      <w:r>
        <w:rPr>
          <w:rFonts w:hAnsi="宋体"/>
          <w:kern w:val="0"/>
          <w:sz w:val="24"/>
        </w:rPr>
        <w:t>基金、混合</w:t>
      </w:r>
      <w:r>
        <w:rPr>
          <w:rFonts w:hint="eastAsia" w:hAnsi="宋体"/>
          <w:kern w:val="0"/>
          <w:sz w:val="24"/>
        </w:rPr>
        <w:t>型</w:t>
      </w:r>
      <w:r>
        <w:rPr>
          <w:rFonts w:hAnsi="宋体"/>
          <w:kern w:val="0"/>
          <w:sz w:val="24"/>
        </w:rPr>
        <w:t>基金、债券</w:t>
      </w:r>
      <w:r>
        <w:rPr>
          <w:rFonts w:hint="eastAsia" w:hAnsi="宋体"/>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本基金是一只混合型基金，其预期风险和预期收益</w:t>
      </w:r>
      <w:r>
        <w:rPr>
          <w:rFonts w:hint="eastAsia"/>
          <w:bCs/>
          <w:sz w:val="24"/>
        </w:rPr>
        <w:t>理论上</w:t>
      </w:r>
      <w:r>
        <w:rPr>
          <w:rFonts w:hint="eastAsia" w:hAnsi="宋体"/>
          <w:kern w:val="0"/>
          <w:sz w:val="24"/>
        </w:rPr>
        <w:t>高于债券型基金和货币市场基金，低于股票型基金。</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本基金可投资于股票期权，股票期权的风险主要包括市场风险、流动性风险、保证金风险、信用风险和操作风险等。</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投资于港股，会面临港股或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可投资于境外证券，除了需要承担与境内证券投资基金类似的市场波动风险等一般投资风险之外，本基金还面临汇率风险等境外市场投资所面临的特别投资风险，主要包括境外市场风险、流动性风险、境外上市公司经营风险、利率风险、衍生品风险、会计核算风险、税务风险、法律和政府管制风险、政治风险、信用风险、交易结算风险、引入境外托管人的风险、境外投资额度不足或受政策影响可能产生的风险、参与境外证券借贷、正逆回购的风险等。具体风险请查阅本基金招募说明书“风险揭示”章节的具体内容。</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本基金可根据投资策略需要或市场环境的变化，选择将部分基金资产投资于科创板股票或选择不将基金资产投资于科创板股票，基金资产并非必然投资于科创板股票。</w:t>
      </w:r>
    </w:p>
    <w:p>
      <w:pPr>
        <w:adjustRightInd w:val="0"/>
        <w:snapToGrid w:val="0"/>
        <w:spacing w:line="360" w:lineRule="auto"/>
        <w:ind w:firstLine="480" w:firstLineChars="200"/>
        <w:rPr>
          <w:rFonts w:hAnsi="宋体"/>
          <w:kern w:val="0"/>
          <w:sz w:val="24"/>
        </w:rPr>
      </w:pPr>
      <w:r>
        <w:rPr>
          <w:rFonts w:hint="eastAsia" w:hAnsi="宋体"/>
          <w:kern w:val="0"/>
          <w:sz w:val="24"/>
        </w:rPr>
        <w:t>投资人应当认真阅读《基金合同》、《招募说明书》、</w:t>
      </w:r>
      <w:r>
        <w:rPr>
          <w:rFonts w:hAnsi="宋体"/>
          <w:kern w:val="0"/>
          <w:sz w:val="24"/>
        </w:rPr>
        <w:t>《</w:t>
      </w:r>
      <w:r>
        <w:rPr>
          <w:rFonts w:hint="eastAsia" w:hAnsi="宋体"/>
          <w:kern w:val="0"/>
          <w:sz w:val="24"/>
        </w:rPr>
        <w:t>基金</w:t>
      </w:r>
      <w:r>
        <w:rPr>
          <w:rFonts w:hAnsi="宋体"/>
          <w:kern w:val="0"/>
          <w:sz w:val="24"/>
        </w:rPr>
        <w:t>产品资料概要》</w:t>
      </w:r>
      <w:r>
        <w:rPr>
          <w:rFonts w:hint="eastAsia" w:hAnsi="宋体"/>
          <w:kern w:val="0"/>
          <w:sz w:val="24"/>
        </w:rPr>
        <w:t>等基金法律文件，了解基金的风险收益特征，并根据自身的投资目的、投资期限、投资经验、资产状况等判断基金是否和投资人的风险承受能力相适应。</w:t>
      </w:r>
    </w:p>
    <w:p>
      <w:pPr>
        <w:adjustRightInd w:val="0"/>
        <w:snapToGrid w:val="0"/>
        <w:spacing w:line="360" w:lineRule="auto"/>
        <w:ind w:firstLine="480" w:firstLineChars="200"/>
        <w:rPr>
          <w:rFonts w:hAnsi="宋体"/>
          <w:kern w:val="0"/>
          <w:sz w:val="24"/>
        </w:rPr>
      </w:pPr>
      <w:r>
        <w:rPr>
          <w:rFonts w:hint="eastAsia" w:hAnsi="宋体"/>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adjustRightInd w:val="0"/>
        <w:snapToGrid w:val="0"/>
        <w:spacing w:line="360" w:lineRule="auto"/>
        <w:ind w:firstLine="480" w:firstLineChars="200"/>
        <w:rPr>
          <w:rFonts w:hAnsi="宋体"/>
          <w:kern w:val="0"/>
          <w:sz w:val="24"/>
        </w:rPr>
      </w:pPr>
      <w:r>
        <w:rPr>
          <w:rFonts w:hint="eastAsia" w:hAnsi="宋体"/>
          <w:kern w:val="0"/>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pPr>
        <w:widowControl/>
        <w:adjustRightInd w:val="0"/>
        <w:snapToGrid w:val="0"/>
        <w:spacing w:line="360" w:lineRule="auto"/>
        <w:ind w:firstLine="480" w:firstLineChars="200"/>
        <w:rPr>
          <w:rFonts w:hAnsi="宋体"/>
          <w:kern w:val="0"/>
          <w:sz w:val="24"/>
        </w:rPr>
      </w:pPr>
      <w:r>
        <w:rPr>
          <w:rFonts w:hint="eastAsia" w:hAnsi="宋体"/>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pPr>
        <w:widowControl/>
        <w:adjustRightInd w:val="0"/>
        <w:snapToGrid w:val="0"/>
        <w:spacing w:line="360" w:lineRule="auto"/>
        <w:ind w:firstLine="480" w:firstLineChars="200"/>
        <w:rPr>
          <w:sz w:val="24"/>
        </w:rPr>
      </w:pPr>
      <w:r>
        <w:rPr>
          <w:rFonts w:hAnsi="宋体"/>
          <w:kern w:val="0"/>
          <w:sz w:val="24"/>
        </w:rPr>
        <w:t>投资人应当通过基金管理人或具有基金</w:t>
      </w:r>
      <w:r>
        <w:rPr>
          <w:rFonts w:hint="eastAsia" w:hAnsi="宋体"/>
          <w:kern w:val="0"/>
          <w:sz w:val="24"/>
        </w:rPr>
        <w:t>销售</w:t>
      </w:r>
      <w:r>
        <w:rPr>
          <w:rFonts w:hAnsi="宋体"/>
          <w:kern w:val="0"/>
          <w:sz w:val="24"/>
        </w:rPr>
        <w:t>业务资格的其他机构购买和赎回基金。</w:t>
      </w:r>
    </w:p>
    <w:p>
      <w:pPr>
        <w:keepNext/>
        <w:keepLines/>
        <w:adjustRightInd w:val="0"/>
        <w:snapToGrid w:val="0"/>
        <w:spacing w:before="240" w:after="120" w:line="360" w:lineRule="auto"/>
        <w:jc w:val="center"/>
        <w:outlineLvl w:val="0"/>
        <w:rPr>
          <w:b/>
          <w:sz w:val="24"/>
        </w:rPr>
      </w:pPr>
      <w:r>
        <w:rPr>
          <w:rFonts w:hint="eastAsia"/>
          <w:b/>
          <w:sz w:val="24"/>
        </w:rPr>
        <w:t>一、本次募集基本情况</w:t>
      </w:r>
    </w:p>
    <w:p>
      <w:pPr>
        <w:adjustRightInd w:val="0"/>
        <w:snapToGrid w:val="0"/>
        <w:spacing w:line="360" w:lineRule="auto"/>
        <w:ind w:firstLine="480" w:firstLineChars="200"/>
        <w:rPr>
          <w:rFonts w:hAnsi="宋体"/>
          <w:sz w:val="24"/>
        </w:rPr>
      </w:pPr>
      <w:r>
        <w:rPr>
          <w:rFonts w:hAnsi="宋体"/>
          <w:sz w:val="24"/>
        </w:rPr>
        <w:t>1、基金名称</w:t>
      </w:r>
    </w:p>
    <w:p>
      <w:pPr>
        <w:adjustRightInd w:val="0"/>
        <w:snapToGrid w:val="0"/>
        <w:spacing w:line="360" w:lineRule="auto"/>
        <w:ind w:firstLine="480" w:firstLineChars="200"/>
        <w:rPr>
          <w:rFonts w:hAnsi="宋体"/>
          <w:sz w:val="24"/>
        </w:rPr>
      </w:pPr>
      <w:r>
        <w:rPr>
          <w:rFonts w:hint="eastAsia" w:hAnsi="宋体"/>
          <w:sz w:val="24"/>
        </w:rPr>
        <w:t>交银施罗德</w:t>
      </w:r>
      <w:r>
        <w:rPr>
          <w:rFonts w:hint="eastAsia" w:hAnsi="宋体"/>
          <w:sz w:val="24"/>
          <w:lang w:eastAsia="zh-CN"/>
        </w:rPr>
        <w:t>港股消费混合型证券投资基金（QDII）</w:t>
      </w:r>
    </w:p>
    <w:p>
      <w:pPr>
        <w:adjustRightInd w:val="0"/>
        <w:snapToGrid w:val="0"/>
        <w:spacing w:line="360" w:lineRule="auto"/>
        <w:ind w:firstLine="480" w:firstLineChars="200"/>
        <w:rPr>
          <w:rFonts w:hAnsi="宋体"/>
          <w:sz w:val="24"/>
        </w:rPr>
      </w:pPr>
      <w:r>
        <w:rPr>
          <w:rFonts w:hAnsi="宋体"/>
          <w:sz w:val="24"/>
        </w:rPr>
        <w:t>2、基金类型</w:t>
      </w:r>
    </w:p>
    <w:p>
      <w:pPr>
        <w:adjustRightInd w:val="0"/>
        <w:snapToGrid w:val="0"/>
        <w:spacing w:line="360" w:lineRule="auto"/>
        <w:ind w:firstLine="480" w:firstLineChars="200"/>
        <w:rPr>
          <w:rFonts w:hAnsi="宋体"/>
          <w:sz w:val="24"/>
        </w:rPr>
      </w:pPr>
      <w:r>
        <w:rPr>
          <w:rFonts w:hint="eastAsia" w:hAnsi="宋体"/>
          <w:sz w:val="24"/>
        </w:rPr>
        <w:t>混合型证券投资基金、QDII基金</w:t>
      </w:r>
    </w:p>
    <w:p>
      <w:pPr>
        <w:adjustRightInd w:val="0"/>
        <w:snapToGrid w:val="0"/>
        <w:spacing w:line="360" w:lineRule="auto"/>
        <w:ind w:firstLine="480" w:firstLineChars="200"/>
        <w:rPr>
          <w:rFonts w:hAnsi="宋体"/>
          <w:sz w:val="24"/>
        </w:rPr>
      </w:pPr>
      <w:r>
        <w:rPr>
          <w:rFonts w:hAnsi="宋体"/>
          <w:sz w:val="24"/>
        </w:rPr>
        <w:t>3、运作方式</w:t>
      </w:r>
    </w:p>
    <w:p>
      <w:pPr>
        <w:adjustRightInd w:val="0"/>
        <w:snapToGrid w:val="0"/>
        <w:spacing w:line="360" w:lineRule="auto"/>
        <w:ind w:firstLine="480" w:firstLineChars="200"/>
        <w:rPr>
          <w:rFonts w:hAnsi="宋体"/>
          <w:sz w:val="24"/>
        </w:rPr>
      </w:pPr>
      <w:r>
        <w:rPr>
          <w:rFonts w:hint="eastAsia" w:hAnsi="宋体"/>
          <w:sz w:val="24"/>
        </w:rPr>
        <w:t>契约型开放式</w:t>
      </w:r>
    </w:p>
    <w:p>
      <w:pPr>
        <w:adjustRightInd w:val="0"/>
        <w:snapToGrid w:val="0"/>
        <w:spacing w:line="360" w:lineRule="auto"/>
        <w:ind w:firstLine="480" w:firstLineChars="200"/>
        <w:rPr>
          <w:rFonts w:hAnsi="宋体"/>
          <w:sz w:val="24"/>
        </w:rPr>
      </w:pPr>
      <w:r>
        <w:rPr>
          <w:rFonts w:hAnsi="宋体"/>
          <w:sz w:val="24"/>
        </w:rPr>
        <w:t>4、基金存续期限</w:t>
      </w:r>
    </w:p>
    <w:p>
      <w:pPr>
        <w:adjustRightInd w:val="0"/>
        <w:snapToGrid w:val="0"/>
        <w:spacing w:line="360" w:lineRule="auto"/>
        <w:ind w:firstLine="480" w:firstLineChars="200"/>
        <w:rPr>
          <w:rFonts w:hAnsi="宋体"/>
          <w:sz w:val="24"/>
        </w:rPr>
      </w:pPr>
      <w:r>
        <w:rPr>
          <w:rFonts w:hAnsi="宋体"/>
          <w:sz w:val="24"/>
        </w:rPr>
        <w:t>不定期</w:t>
      </w:r>
    </w:p>
    <w:p>
      <w:pPr>
        <w:adjustRightInd w:val="0"/>
        <w:snapToGrid w:val="0"/>
        <w:spacing w:line="360" w:lineRule="auto"/>
        <w:ind w:firstLine="480" w:firstLineChars="200"/>
        <w:rPr>
          <w:rFonts w:hAnsi="宋体"/>
          <w:sz w:val="24"/>
        </w:rPr>
      </w:pPr>
      <w:r>
        <w:rPr>
          <w:rFonts w:hAnsi="宋体"/>
          <w:sz w:val="24"/>
        </w:rPr>
        <w:t>5、基金份额发售面值</w:t>
      </w:r>
    </w:p>
    <w:p>
      <w:pPr>
        <w:adjustRightInd w:val="0"/>
        <w:snapToGrid w:val="0"/>
        <w:spacing w:line="360" w:lineRule="auto"/>
        <w:ind w:firstLine="480" w:firstLineChars="200"/>
        <w:rPr>
          <w:rFonts w:hAnsi="宋体"/>
          <w:sz w:val="24"/>
        </w:rPr>
      </w:pPr>
      <w:r>
        <w:rPr>
          <w:rFonts w:hAnsi="宋体"/>
          <w:sz w:val="24"/>
        </w:rPr>
        <w:t>本基金基金份额发售面值为人民币1.00元。</w:t>
      </w:r>
    </w:p>
    <w:p>
      <w:pPr>
        <w:adjustRightInd w:val="0"/>
        <w:snapToGrid w:val="0"/>
        <w:spacing w:line="360" w:lineRule="auto"/>
        <w:ind w:firstLine="480" w:firstLineChars="200"/>
        <w:rPr>
          <w:rFonts w:hint="eastAsia" w:hAnsi="宋体"/>
          <w:sz w:val="24"/>
          <w:lang w:val="en-US" w:eastAsia="zh-CN"/>
        </w:rPr>
      </w:pPr>
      <w:r>
        <w:rPr>
          <w:rFonts w:hint="eastAsia" w:hAnsi="宋体"/>
          <w:sz w:val="24"/>
          <w:lang w:val="en-US" w:eastAsia="zh-CN"/>
        </w:rPr>
        <w:t>6、基金份额类别</w:t>
      </w:r>
    </w:p>
    <w:p>
      <w:pPr>
        <w:numPr>
          <w:ilvl w:val="-1"/>
          <w:numId w:val="0"/>
        </w:numPr>
        <w:adjustRightInd w:val="0"/>
        <w:snapToGrid w:val="0"/>
        <w:spacing w:line="360" w:lineRule="auto"/>
        <w:ind w:firstLine="480" w:firstLineChars="200"/>
        <w:rPr>
          <w:rFonts w:hint="eastAsia" w:hAnsi="宋体"/>
          <w:sz w:val="24"/>
        </w:rPr>
      </w:pP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pPr>
        <w:numPr>
          <w:ilvl w:val="-1"/>
          <w:numId w:val="0"/>
        </w:numPr>
        <w:adjustRightInd w:val="0"/>
        <w:snapToGrid w:val="0"/>
        <w:spacing w:line="360" w:lineRule="auto"/>
        <w:ind w:firstLine="480" w:firstLineChars="200"/>
        <w:rPr>
          <w:rFonts w:hAnsi="宋体"/>
          <w:sz w:val="24"/>
        </w:rPr>
      </w:pP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rFonts w:hAnsi="宋体"/>
          <w:sz w:val="24"/>
        </w:rPr>
      </w:pPr>
      <w:r>
        <w:rPr>
          <w:rFonts w:hint="eastAsia" w:hAnsi="宋体"/>
          <w:sz w:val="24"/>
          <w:lang w:val="en-US" w:eastAsia="zh-CN"/>
        </w:rPr>
        <w:t>7</w:t>
      </w:r>
      <w:r>
        <w:rPr>
          <w:rFonts w:hint="eastAsia" w:hAnsi="宋体"/>
          <w:sz w:val="24"/>
        </w:rPr>
        <w:t>、</w:t>
      </w:r>
      <w:r>
        <w:rPr>
          <w:rFonts w:hAnsi="宋体"/>
          <w:sz w:val="24"/>
        </w:rPr>
        <w:t>基金代码及基金简称</w:t>
      </w:r>
    </w:p>
    <w:p>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lang w:eastAsia="zh-CN"/>
        </w:rPr>
        <w:t>（</w:t>
      </w:r>
      <w:r>
        <w:rPr>
          <w:rFonts w:hint="eastAsia" w:hAnsi="宋体"/>
          <w:sz w:val="24"/>
          <w:lang w:val="en-US" w:eastAsia="zh-CN"/>
        </w:rPr>
        <w:t>1</w:t>
      </w:r>
      <w:r>
        <w:rPr>
          <w:rFonts w:hint="eastAsia" w:hAnsi="宋体"/>
          <w:sz w:val="24"/>
          <w:lang w:eastAsia="zh-CN"/>
        </w:rPr>
        <w:t>）</w:t>
      </w:r>
      <w:r>
        <w:rPr>
          <w:rFonts w:hint="eastAsia" w:hAnsi="宋体"/>
          <w:sz w:val="24"/>
          <w:lang w:val="en-US" w:eastAsia="zh-CN"/>
        </w:rPr>
        <w:t>A类基金份额</w:t>
      </w:r>
      <w:r>
        <w:rPr>
          <w:rFonts w:hint="eastAsia" w:hAnsi="宋体"/>
          <w:sz w:val="24"/>
        </w:rPr>
        <w:t>基金代码：</w:t>
      </w:r>
      <w:r>
        <w:rPr>
          <w:rFonts w:hint="eastAsia" w:hAnsi="宋体"/>
          <w:sz w:val="24"/>
          <w:highlight w:val="none"/>
          <w:lang w:val="en-US" w:eastAsia="zh-CN"/>
        </w:rPr>
        <w:t>027450</w:t>
      </w:r>
      <w:r>
        <w:rPr>
          <w:rFonts w:hint="eastAsia" w:hAnsi="宋体"/>
          <w:sz w:val="24"/>
          <w:highlight w:val="none"/>
        </w:rPr>
        <w:t>；基金简称：交银港股消费混合（QDII）A</w:t>
      </w:r>
    </w:p>
    <w:p>
      <w:pPr>
        <w:adjustRightInd w:val="0"/>
        <w:snapToGrid w:val="0"/>
        <w:spacing w:line="360" w:lineRule="auto"/>
        <w:ind w:firstLine="480" w:firstLineChars="200"/>
        <w:rPr>
          <w:rFonts w:hint="eastAsia" w:hAnsi="宋体"/>
          <w:sz w:val="24"/>
          <w:lang w:val="en-US" w:eastAsia="zh-CN"/>
        </w:rPr>
      </w:pPr>
      <w:r>
        <w:rPr>
          <w:rFonts w:hint="eastAsia" w:hAnsi="宋体"/>
          <w:sz w:val="24"/>
          <w:highlight w:val="none"/>
          <w:lang w:val="en-US" w:eastAsia="zh-CN"/>
        </w:rPr>
        <w:t>（2）C类基金份额基金代码：</w:t>
      </w:r>
      <w:r>
        <w:rPr>
          <w:rFonts w:hint="default" w:hAnsi="宋体"/>
          <w:sz w:val="24"/>
          <w:highlight w:val="none"/>
          <w:lang w:val="en-US" w:eastAsia="zh-CN"/>
        </w:rPr>
        <w:t>02745</w:t>
      </w:r>
      <w:r>
        <w:rPr>
          <w:rFonts w:hint="eastAsia" w:hAnsi="宋体"/>
          <w:sz w:val="24"/>
          <w:highlight w:val="none"/>
          <w:lang w:val="en-US" w:eastAsia="zh-CN"/>
        </w:rPr>
        <w:t>1</w:t>
      </w:r>
      <w:r>
        <w:rPr>
          <w:rFonts w:hint="eastAsia" w:hAnsi="宋体"/>
          <w:sz w:val="24"/>
          <w:lang w:val="en-US" w:eastAsia="zh-CN"/>
        </w:rPr>
        <w:t>；基金简称：交银港股消费混合（QDII）C</w:t>
      </w:r>
    </w:p>
    <w:p>
      <w:pPr>
        <w:adjustRightInd w:val="0"/>
        <w:snapToGrid w:val="0"/>
        <w:spacing w:line="360" w:lineRule="auto"/>
        <w:ind w:firstLine="480" w:firstLineChars="200"/>
        <w:rPr>
          <w:rFonts w:hAnsi="宋体"/>
          <w:sz w:val="24"/>
        </w:rPr>
      </w:pPr>
      <w:r>
        <w:rPr>
          <w:rFonts w:hint="eastAsia" w:hAnsi="宋体"/>
          <w:sz w:val="24"/>
          <w:lang w:val="en-US" w:eastAsia="zh-CN"/>
        </w:rPr>
        <w:t>8</w:t>
      </w:r>
      <w:r>
        <w:rPr>
          <w:rFonts w:hAnsi="宋体"/>
          <w:sz w:val="24"/>
        </w:rPr>
        <w:t>、发售对象</w:t>
      </w:r>
    </w:p>
    <w:p>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符合法律法规规定的可投资于证券投资基金的个人投资者、机构投资者、合格境外投资者以及法律法规或中国证监会允许购买证券投资基金的其他投资人。</w:t>
      </w:r>
    </w:p>
    <w:p>
      <w:pPr>
        <w:adjustRightInd w:val="0"/>
        <w:snapToGrid w:val="0"/>
        <w:spacing w:line="360" w:lineRule="auto"/>
        <w:ind w:firstLine="480" w:firstLineChars="200"/>
        <w:rPr>
          <w:rFonts w:hAnsi="宋体"/>
          <w:sz w:val="24"/>
        </w:rPr>
      </w:pPr>
      <w:r>
        <w:rPr>
          <w:rFonts w:hint="eastAsia" w:hAnsi="宋体"/>
          <w:sz w:val="24"/>
          <w:lang w:val="en-US" w:eastAsia="zh-CN"/>
        </w:rPr>
        <w:t>9</w:t>
      </w:r>
      <w:r>
        <w:rPr>
          <w:rFonts w:hAnsi="宋体"/>
          <w:sz w:val="24"/>
        </w:rPr>
        <w:t>、销售机构</w:t>
      </w:r>
    </w:p>
    <w:p>
      <w:pPr>
        <w:adjustRightInd w:val="0"/>
        <w:snapToGrid w:val="0"/>
        <w:spacing w:line="360" w:lineRule="auto"/>
        <w:ind w:firstLine="480" w:firstLineChars="200"/>
        <w:rPr>
          <w:rFonts w:hAnsi="宋体"/>
          <w:sz w:val="24"/>
        </w:rPr>
      </w:pPr>
      <w:r>
        <w:rPr>
          <w:rFonts w:hAnsi="宋体"/>
          <w:sz w:val="24"/>
        </w:rPr>
        <w:t>（1）直销机构：</w:t>
      </w:r>
    </w:p>
    <w:p>
      <w:pPr>
        <w:adjustRightInd w:val="0"/>
        <w:snapToGrid w:val="0"/>
        <w:spacing w:line="360" w:lineRule="auto"/>
        <w:ind w:firstLine="480" w:firstLineChars="200"/>
        <w:rPr>
          <w:rFonts w:hAnsi="宋体"/>
          <w:sz w:val="24"/>
        </w:rPr>
      </w:pPr>
      <w:r>
        <w:rPr>
          <w:rFonts w:hAnsi="宋体"/>
          <w:sz w:val="24"/>
        </w:rPr>
        <w:t>本基金直销机构为本</w:t>
      </w:r>
      <w:r>
        <w:rPr>
          <w:rFonts w:hint="eastAsia" w:hAnsi="宋体"/>
          <w:sz w:val="24"/>
        </w:rPr>
        <w:t>公司直销</w:t>
      </w:r>
      <w:r>
        <w:rPr>
          <w:rFonts w:hAnsi="宋体"/>
          <w:sz w:val="24"/>
        </w:rPr>
        <w:t>柜台以及本</w:t>
      </w:r>
      <w:r>
        <w:rPr>
          <w:rFonts w:hint="eastAsia" w:hAnsi="宋体"/>
          <w:sz w:val="24"/>
        </w:rPr>
        <w:t>公司</w:t>
      </w:r>
      <w:r>
        <w:rPr>
          <w:rFonts w:hAnsi="宋体"/>
          <w:sz w:val="24"/>
        </w:rPr>
        <w:t>的网上直销交易平台。募集期间个人投资者可以通过本</w:t>
      </w:r>
      <w:r>
        <w:rPr>
          <w:rFonts w:hint="eastAsia" w:hAnsi="宋体"/>
          <w:sz w:val="24"/>
        </w:rPr>
        <w:t>公司</w:t>
      </w:r>
      <w:r>
        <w:rPr>
          <w:rFonts w:hAnsi="宋体"/>
          <w:sz w:val="24"/>
        </w:rPr>
        <w:t>网上直销交易平台办理开户和</w:t>
      </w:r>
      <w:r>
        <w:rPr>
          <w:rFonts w:hint="eastAsia" w:hAnsi="宋体"/>
          <w:sz w:val="24"/>
        </w:rPr>
        <w:t>本基金</w:t>
      </w:r>
      <w:r>
        <w:rPr>
          <w:rFonts w:hAnsi="宋体"/>
          <w:sz w:val="24"/>
        </w:rPr>
        <w:t>认购业务。</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除基金管理人之外的其他销售机构：</w:t>
      </w:r>
    </w:p>
    <w:p>
      <w:pPr>
        <w:adjustRightInd w:val="0"/>
        <w:snapToGrid w:val="0"/>
        <w:spacing w:line="360" w:lineRule="auto"/>
        <w:ind w:firstLine="480" w:firstLineChars="200"/>
        <w:rPr>
          <w:rFonts w:hAnsi="宋体"/>
          <w:sz w:val="24"/>
        </w:rPr>
      </w:pPr>
      <w:r>
        <w:rPr>
          <w:rFonts w:hint="eastAsia" w:hAnsi="宋体"/>
          <w:sz w:val="24"/>
        </w:rPr>
        <w:t>本基金的其他销售机构名单详见本公告“九、本次募集当事人或中介机构”项下“（三）销售机构”中“</w:t>
      </w:r>
      <w:r>
        <w:rPr>
          <w:rFonts w:hAnsi="宋体"/>
          <w:sz w:val="24"/>
        </w:rPr>
        <w:t>2</w:t>
      </w:r>
      <w:r>
        <w:rPr>
          <w:rFonts w:hint="eastAsia" w:hAnsi="宋体"/>
          <w:sz w:val="24"/>
        </w:rPr>
        <w:t>、除基金管理人之外的其他销售机构”章节。</w:t>
      </w:r>
    </w:p>
    <w:p>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pPr>
        <w:adjustRightInd w:val="0"/>
        <w:snapToGrid w:val="0"/>
        <w:spacing w:line="360" w:lineRule="auto"/>
        <w:ind w:firstLine="480" w:firstLineChars="200"/>
        <w:rPr>
          <w:rFonts w:hAnsi="宋体"/>
          <w:sz w:val="24"/>
        </w:rPr>
      </w:pPr>
      <w:r>
        <w:rPr>
          <w:rFonts w:hint="eastAsia" w:hAnsi="宋体"/>
          <w:sz w:val="24"/>
          <w:lang w:val="en-US" w:eastAsia="zh-CN"/>
        </w:rPr>
        <w:t>10</w:t>
      </w:r>
      <w:r>
        <w:rPr>
          <w:rFonts w:hAnsi="宋体"/>
          <w:sz w:val="24"/>
        </w:rPr>
        <w:t>、募集时间安排与基金合同生效</w:t>
      </w:r>
    </w:p>
    <w:p>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hAnsi="宋体"/>
          <w:sz w:val="24"/>
        </w:rPr>
        <w:t>2026年</w:t>
      </w:r>
      <w:r>
        <w:rPr>
          <w:rFonts w:hint="eastAsia" w:hAnsi="宋体"/>
          <w:sz w:val="24"/>
          <w:lang w:val="en-US" w:eastAsia="zh-CN"/>
        </w:rPr>
        <w:t>7月27日</w:t>
      </w:r>
      <w:r>
        <w:rPr>
          <w:rFonts w:hint="eastAsia" w:hAnsi="宋体"/>
          <w:sz w:val="24"/>
        </w:rPr>
        <w:t>起至2026年</w:t>
      </w:r>
      <w:r>
        <w:rPr>
          <w:rFonts w:hint="eastAsia" w:hAnsi="宋体"/>
          <w:sz w:val="24"/>
          <w:lang w:val="en-US" w:eastAsia="zh-CN"/>
        </w:rPr>
        <w:t>8</w:t>
      </w:r>
      <w:r>
        <w:rPr>
          <w:rFonts w:hint="eastAsia" w:hAnsi="宋体"/>
          <w:sz w:val="24"/>
        </w:rPr>
        <w:t>月</w:t>
      </w:r>
      <w:r>
        <w:rPr>
          <w:rFonts w:hint="eastAsia" w:hAnsi="宋体"/>
          <w:sz w:val="24"/>
          <w:lang w:val="en-US" w:eastAsia="zh-CN"/>
        </w:rPr>
        <w:t>14</w:t>
      </w:r>
      <w:r>
        <w:rPr>
          <w:rFonts w:hint="eastAsia" w:hAnsi="宋体"/>
          <w:sz w:val="24"/>
        </w:rPr>
        <w:t>日</w:t>
      </w:r>
      <w:r>
        <w:rPr>
          <w:rFonts w:hAnsi="宋体"/>
          <w:sz w:val="24"/>
          <w:highlight w:val="none"/>
        </w:rPr>
        <w:t>止，</w:t>
      </w:r>
      <w:r>
        <w:rPr>
          <w:rFonts w:hAnsi="宋体"/>
          <w:sz w:val="24"/>
        </w:rPr>
        <w:t>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pPr>
        <w:adjustRightInd w:val="0"/>
        <w:snapToGrid w:val="0"/>
        <w:spacing w:line="360" w:lineRule="auto"/>
        <w:ind w:firstLine="480" w:firstLineChars="200"/>
        <w:rPr>
          <w:rFonts w:hAnsi="宋体"/>
          <w:sz w:val="24"/>
        </w:rPr>
      </w:pPr>
      <w:r>
        <w:rPr>
          <w:rFonts w:hint="eastAsia" w:hAnsi="宋体"/>
          <w:sz w:val="24"/>
          <w:lang w:val="en-US" w:eastAsia="zh-CN"/>
        </w:rPr>
        <w:t>11</w:t>
      </w:r>
      <w:r>
        <w:rPr>
          <w:rFonts w:hAnsi="宋体"/>
          <w:sz w:val="24"/>
        </w:rPr>
        <w:t>、认购期利息的处理方式</w:t>
      </w:r>
    </w:p>
    <w:p>
      <w:pPr>
        <w:adjustRightInd w:val="0"/>
        <w:snapToGrid w:val="0"/>
        <w:spacing w:line="360" w:lineRule="auto"/>
        <w:ind w:firstLine="480" w:firstLineChars="200"/>
        <w:rPr>
          <w:rFonts w:hAnsi="宋体"/>
          <w:sz w:val="24"/>
        </w:rPr>
      </w:pPr>
      <w:r>
        <w:rPr>
          <w:rFonts w:hint="eastAsia" w:hAnsi="宋体"/>
          <w:sz w:val="24"/>
        </w:rPr>
        <w:t>本基金基金合同生效前，投资人的有效认购款项只能存入专门账户，任何人不得动用。有效认购款项在募集期间产生的利息将折算为基金份额归基金份额持有人所有。</w:t>
      </w:r>
      <w:bookmarkStart w:id="0" w:name="_Hlt90801570"/>
      <w:bookmarkEnd w:id="0"/>
      <w:bookmarkStart w:id="1" w:name="_Hlt91264042"/>
      <w:bookmarkEnd w:id="1"/>
      <w:bookmarkStart w:id="2" w:name="_Hlt91264078"/>
      <w:bookmarkEnd w:id="2"/>
      <w:bookmarkStart w:id="3" w:name="_Hlt90455312"/>
      <w:bookmarkEnd w:id="3"/>
      <w:bookmarkStart w:id="4" w:name="_Hlt91148053"/>
      <w:bookmarkEnd w:id="4"/>
    </w:p>
    <w:p>
      <w:pPr>
        <w:adjustRightInd w:val="0"/>
        <w:snapToGrid w:val="0"/>
        <w:spacing w:line="360" w:lineRule="auto"/>
        <w:ind w:firstLine="480" w:firstLineChars="200"/>
        <w:rPr>
          <w:rFonts w:hAnsi="宋体"/>
          <w:sz w:val="24"/>
        </w:rPr>
      </w:pPr>
      <w:r>
        <w:rPr>
          <w:rFonts w:hint="eastAsia" w:hAnsi="宋体"/>
          <w:sz w:val="24"/>
        </w:rPr>
        <w:t>认购利息折算的基金份额精确到小数点后两位，小数点两位以后的部分截位，由此误差产生的收益或损失由基金财产承担，其中有效认购资金的利息及利息折算的基金份额以登记机构的记录为准。</w:t>
      </w:r>
    </w:p>
    <w:p>
      <w:pPr>
        <w:adjustRightInd w:val="0"/>
        <w:snapToGrid w:val="0"/>
        <w:spacing w:line="360" w:lineRule="auto"/>
        <w:ind w:firstLine="480" w:firstLineChars="200"/>
        <w:rPr>
          <w:kern w:val="0"/>
          <w:sz w:val="24"/>
          <w:szCs w:val="24"/>
        </w:rPr>
      </w:pPr>
      <w:r>
        <w:rPr>
          <w:rFonts w:hint="eastAsia" w:hAnsi="宋体"/>
          <w:sz w:val="24"/>
          <w:lang w:val="en-US" w:eastAsia="zh-CN"/>
        </w:rPr>
        <w:t>12</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pPr>
        <w:adjustRightInd w:val="0"/>
        <w:snapToGrid w:val="0"/>
        <w:spacing w:line="360" w:lineRule="auto"/>
        <w:ind w:firstLine="480" w:firstLineChars="200"/>
        <w:rPr>
          <w:kern w:val="0"/>
          <w:sz w:val="24"/>
          <w:szCs w:val="24"/>
        </w:rPr>
      </w:pPr>
      <w:r>
        <w:rPr>
          <w:kern w:val="0"/>
          <w:sz w:val="24"/>
          <w:szCs w:val="24"/>
        </w:rPr>
        <w:t>（1）</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认购价格为1.00元/份。</w:t>
      </w:r>
    </w:p>
    <w:p>
      <w:pPr>
        <w:adjustRightInd w:val="0"/>
        <w:snapToGrid w:val="0"/>
        <w:spacing w:line="360" w:lineRule="auto"/>
        <w:ind w:firstLine="480" w:firstLineChars="200"/>
        <w:rPr>
          <w:kern w:val="0"/>
          <w:sz w:val="24"/>
          <w:szCs w:val="24"/>
        </w:rPr>
      </w:pPr>
      <w:r>
        <w:rPr>
          <w:kern w:val="0"/>
          <w:sz w:val="24"/>
          <w:szCs w:val="24"/>
        </w:rPr>
        <w:t>（2）认购费率</w:t>
      </w:r>
    </w:p>
    <w:p>
      <w:pPr>
        <w:widowControl/>
        <w:adjustRightInd w:val="0"/>
        <w:snapToGrid w:val="0"/>
        <w:spacing w:line="360" w:lineRule="auto"/>
        <w:ind w:firstLine="480" w:firstLineChars="200"/>
        <w:rPr>
          <w:rFonts w:hint="eastAsia"/>
          <w:sz w:val="24"/>
          <w:szCs w:val="24"/>
        </w:rPr>
      </w:pPr>
      <w:r>
        <w:rPr>
          <w:rFonts w:hint="eastAsia"/>
          <w:sz w:val="24"/>
          <w:szCs w:val="24"/>
        </w:rPr>
        <w:t>本基金基金份额分为A类基金份额和C类基金份额。基金投资者认购A类基金份额在认购时支付认购费用（其中，通过直销机构认购时不支付认购费用），基金投资者认购C类基金份额不支付认购费用。</w:t>
      </w:r>
    </w:p>
    <w:p>
      <w:pPr>
        <w:widowControl/>
        <w:adjustRightInd w:val="0"/>
        <w:snapToGrid w:val="0"/>
        <w:spacing w:line="360" w:lineRule="auto"/>
        <w:ind w:firstLine="480" w:firstLineChars="200"/>
        <w:rPr>
          <w:rFonts w:hint="eastAsia"/>
          <w:sz w:val="24"/>
          <w:szCs w:val="24"/>
        </w:rPr>
      </w:pPr>
      <w:r>
        <w:rPr>
          <w:rFonts w:hint="eastAsia"/>
          <w:sz w:val="24"/>
          <w:szCs w:val="24"/>
        </w:rPr>
        <w:t>通过直销机构认购本基金A类基金份额不收取认购费；通过其他销售机构认购本基金A类基金份额的，认购费用由认购A类基金份额的投资人承担，募集期内投资人可以多次认购本基金，认购费用按A类基金份额的每笔认购申请单独计算。认购费用不列入基金财产，主要用于基金的市场推广、销售等募集期间发生的各项费用。</w:t>
      </w:r>
    </w:p>
    <w:p>
      <w:pPr>
        <w:widowControl/>
        <w:adjustRightInd w:val="0"/>
        <w:snapToGrid w:val="0"/>
        <w:spacing w:line="360" w:lineRule="auto"/>
        <w:ind w:firstLine="480" w:firstLineChars="200"/>
        <w:rPr>
          <w:kern w:val="0"/>
          <w:sz w:val="24"/>
          <w:szCs w:val="24"/>
        </w:rPr>
      </w:pPr>
      <w:r>
        <w:rPr>
          <w:rFonts w:hint="eastAsia"/>
          <w:sz w:val="24"/>
          <w:szCs w:val="24"/>
        </w:rPr>
        <w:t>通过其他销售机构认购本基金A类基金份额的认购费率如下表：</w:t>
      </w:r>
    </w:p>
    <w:tbl>
      <w:tblPr>
        <w:tblStyle w:val="51"/>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b/>
                <w:sz w:val="24"/>
                <w:szCs w:val="24"/>
              </w:rPr>
              <w:t>认购金额（含认购费）</w:t>
            </w:r>
          </w:p>
        </w:tc>
        <w:tc>
          <w:tcPr>
            <w:tcW w:w="3598"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b/>
                <w:sz w:val="24"/>
                <w:szCs w:val="24"/>
              </w:rPr>
              <w:t>A类基金份额认购费率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lang w:val="en-US" w:eastAsia="zh-CN"/>
              </w:rPr>
              <w:t>5</w:t>
            </w:r>
            <w:r>
              <w:rPr>
                <w:rFonts w:hint="eastAsia"/>
                <w:sz w:val="24"/>
                <w:szCs w:val="24"/>
              </w:rPr>
              <w:t>00万元以下</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lang w:val="en-US" w:eastAsia="zh-CN"/>
              </w:rPr>
              <w:t>0.8</w:t>
            </w:r>
            <w:r>
              <w:rPr>
                <w:sz w:val="24"/>
                <w:szCs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500万元以上（含500万元）</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每笔交易1000元</w:t>
            </w:r>
          </w:p>
        </w:tc>
      </w:tr>
    </w:tbl>
    <w:p>
      <w:pPr>
        <w:adjustRightInd w:val="0"/>
        <w:snapToGrid w:val="0"/>
        <w:spacing w:line="360" w:lineRule="auto"/>
        <w:ind w:firstLine="480" w:firstLineChars="200"/>
        <w:rPr>
          <w:sz w:val="24"/>
          <w:szCs w:val="24"/>
        </w:rPr>
      </w:pPr>
    </w:p>
    <w:p>
      <w:pPr>
        <w:adjustRightInd w:val="0"/>
        <w:snapToGrid w:val="0"/>
        <w:spacing w:line="360" w:lineRule="auto"/>
        <w:ind w:firstLine="480" w:firstLineChars="200"/>
        <w:rPr>
          <w:sz w:val="24"/>
          <w:szCs w:val="24"/>
        </w:rPr>
      </w:pPr>
      <w:r>
        <w:rPr>
          <w:rFonts w:hint="eastAsia"/>
          <w:sz w:val="24"/>
          <w:szCs w:val="24"/>
        </w:rPr>
        <w:t>（3）认购份额的计算</w:t>
      </w:r>
    </w:p>
    <w:p>
      <w:pPr>
        <w:adjustRightInd w:val="0"/>
        <w:snapToGrid w:val="0"/>
        <w:spacing w:line="360" w:lineRule="auto"/>
        <w:ind w:firstLine="480" w:firstLineChars="200"/>
        <w:rPr>
          <w:rFonts w:hint="eastAsia"/>
          <w:sz w:val="24"/>
          <w:szCs w:val="24"/>
        </w:rPr>
      </w:pPr>
      <w:r>
        <w:rPr>
          <w:rFonts w:hint="eastAsia"/>
          <w:sz w:val="24"/>
          <w:szCs w:val="24"/>
        </w:rPr>
        <w:t>基金认购采用金额认购的方式。</w:t>
      </w:r>
    </w:p>
    <w:p>
      <w:pPr>
        <w:adjustRightInd w:val="0"/>
        <w:snapToGrid w:val="0"/>
        <w:spacing w:line="360" w:lineRule="auto"/>
        <w:ind w:firstLine="480" w:firstLineChars="200"/>
        <w:rPr>
          <w:rFonts w:hint="eastAsia"/>
          <w:sz w:val="24"/>
          <w:szCs w:val="24"/>
        </w:rPr>
      </w:pPr>
      <w:r>
        <w:rPr>
          <w:rFonts w:hint="eastAsia"/>
          <w:sz w:val="24"/>
          <w:szCs w:val="24"/>
        </w:rPr>
        <w:t>1）A类基金份额的认购</w:t>
      </w:r>
    </w:p>
    <w:p>
      <w:pPr>
        <w:adjustRightInd w:val="0"/>
        <w:snapToGrid w:val="0"/>
        <w:spacing w:line="360" w:lineRule="auto"/>
        <w:ind w:firstLine="480" w:firstLineChars="200"/>
        <w:rPr>
          <w:rFonts w:hint="eastAsia"/>
          <w:sz w:val="24"/>
          <w:szCs w:val="24"/>
        </w:rPr>
      </w:pPr>
      <w:r>
        <w:rPr>
          <w:rFonts w:hint="eastAsia"/>
          <w:sz w:val="24"/>
          <w:szCs w:val="24"/>
        </w:rPr>
        <w:t>基金的认购金额包括认购费用和净认购金额。计算公式为：</w:t>
      </w:r>
    </w:p>
    <w:p>
      <w:pPr>
        <w:adjustRightInd w:val="0"/>
        <w:snapToGrid w:val="0"/>
        <w:spacing w:line="360" w:lineRule="auto"/>
        <w:ind w:firstLine="480" w:firstLineChars="200"/>
        <w:rPr>
          <w:rFonts w:hint="eastAsia"/>
          <w:sz w:val="24"/>
          <w:szCs w:val="24"/>
        </w:rPr>
      </w:pPr>
      <w:r>
        <w:rPr>
          <w:rFonts w:hint="eastAsia"/>
          <w:sz w:val="24"/>
          <w:szCs w:val="24"/>
        </w:rPr>
        <w:t>认购总金额=申请总金额</w:t>
      </w:r>
    </w:p>
    <w:p>
      <w:pPr>
        <w:adjustRightInd w:val="0"/>
        <w:snapToGrid w:val="0"/>
        <w:spacing w:line="360" w:lineRule="auto"/>
        <w:ind w:firstLine="480" w:firstLineChars="200"/>
        <w:rPr>
          <w:rFonts w:hint="eastAsia"/>
          <w:sz w:val="24"/>
          <w:szCs w:val="24"/>
        </w:rPr>
      </w:pPr>
      <w:r>
        <w:rPr>
          <w:rFonts w:hint="eastAsia"/>
          <w:sz w:val="24"/>
          <w:szCs w:val="24"/>
        </w:rPr>
        <w:t>净认购金额=认购总金额/（1+认购费率）</w:t>
      </w:r>
    </w:p>
    <w:p>
      <w:pPr>
        <w:adjustRightInd w:val="0"/>
        <w:snapToGrid w:val="0"/>
        <w:spacing w:line="360" w:lineRule="auto"/>
        <w:ind w:firstLine="480" w:firstLineChars="200"/>
        <w:rPr>
          <w:rFonts w:hint="eastAsia"/>
          <w:sz w:val="24"/>
          <w:szCs w:val="24"/>
        </w:rPr>
      </w:pPr>
      <w:r>
        <w:rPr>
          <w:rFonts w:hint="eastAsia"/>
          <w:sz w:val="24"/>
          <w:szCs w:val="24"/>
        </w:rPr>
        <w:t>（注：①对于适用固定金额认购费用的认购，净认购金额＝认购总金额－固定认购费用金额；②对于通过直销机构认购A类基金份额的，认购费率均为0）</w:t>
      </w:r>
    </w:p>
    <w:p>
      <w:pPr>
        <w:adjustRightInd w:val="0"/>
        <w:snapToGrid w:val="0"/>
        <w:spacing w:line="360" w:lineRule="auto"/>
        <w:ind w:firstLine="480" w:firstLineChars="200"/>
        <w:rPr>
          <w:rFonts w:hint="eastAsia"/>
          <w:sz w:val="24"/>
          <w:szCs w:val="24"/>
        </w:rPr>
      </w:pPr>
      <w:r>
        <w:rPr>
          <w:rFonts w:hint="eastAsia"/>
          <w:sz w:val="24"/>
          <w:szCs w:val="24"/>
        </w:rPr>
        <w:t>认购费用=认购总金额-净认购金额</w:t>
      </w:r>
    </w:p>
    <w:p>
      <w:pPr>
        <w:adjustRightInd w:val="0"/>
        <w:snapToGrid w:val="0"/>
        <w:spacing w:line="360" w:lineRule="auto"/>
        <w:ind w:firstLine="480" w:firstLineChars="200"/>
        <w:rPr>
          <w:rFonts w:hint="eastAsia"/>
          <w:sz w:val="24"/>
          <w:szCs w:val="24"/>
        </w:rPr>
      </w:pPr>
      <w:r>
        <w:rPr>
          <w:rFonts w:hint="eastAsia"/>
          <w:sz w:val="24"/>
          <w:szCs w:val="24"/>
        </w:rPr>
        <w:t>（注：对于适用固定金额认购费用的认购，认购费用＝固定认购费用金额）</w:t>
      </w:r>
    </w:p>
    <w:p>
      <w:pPr>
        <w:adjustRightInd w:val="0"/>
        <w:snapToGrid w:val="0"/>
        <w:spacing w:line="360" w:lineRule="auto"/>
        <w:ind w:firstLine="480" w:firstLineChars="200"/>
        <w:rPr>
          <w:rFonts w:hint="eastAsia"/>
          <w:sz w:val="24"/>
          <w:szCs w:val="24"/>
        </w:rPr>
      </w:pPr>
      <w:r>
        <w:rPr>
          <w:rFonts w:hint="eastAsia"/>
          <w:sz w:val="24"/>
          <w:szCs w:val="24"/>
        </w:rPr>
        <w:t>认购份额=净认购金额/基金份额初始面值+认购资金利息/基金份额初始面值</w:t>
      </w:r>
    </w:p>
    <w:p>
      <w:pPr>
        <w:adjustRightInd w:val="0"/>
        <w:snapToGrid w:val="0"/>
        <w:spacing w:line="360" w:lineRule="auto"/>
        <w:ind w:firstLine="480" w:firstLineChars="200"/>
        <w:rPr>
          <w:rFonts w:hint="eastAsia"/>
          <w:sz w:val="24"/>
          <w:szCs w:val="24"/>
        </w:rPr>
      </w:pPr>
      <w:r>
        <w:rPr>
          <w:rFonts w:hint="eastAsia"/>
          <w:sz w:val="24"/>
          <w:szCs w:val="24"/>
        </w:rPr>
        <w:t>认购份额的计算保留到小数点后2位，小数点2位以后的部分四舍五入，由此误差产生的收益或损失由基金财产承担。</w:t>
      </w:r>
    </w:p>
    <w:p>
      <w:pPr>
        <w:adjustRightInd w:val="0"/>
        <w:snapToGrid w:val="0"/>
        <w:spacing w:line="360" w:lineRule="auto"/>
        <w:ind w:firstLine="480" w:firstLineChars="200"/>
        <w:rPr>
          <w:rFonts w:hint="eastAsia"/>
          <w:sz w:val="24"/>
          <w:szCs w:val="24"/>
        </w:rPr>
      </w:pPr>
      <w:r>
        <w:rPr>
          <w:rFonts w:hint="eastAsia"/>
          <w:sz w:val="24"/>
          <w:szCs w:val="24"/>
        </w:rPr>
        <w:t>例一：某投资者通过直销机构认购本基金A类基金份额100,000.00元，且该认购申请被全额确认，假定该笔认购金额产生的利息为10.00元，认购费率为0，则可认购A类基金份额为：</w:t>
      </w:r>
    </w:p>
    <w:p>
      <w:pPr>
        <w:adjustRightInd w:val="0"/>
        <w:snapToGrid w:val="0"/>
        <w:spacing w:line="360" w:lineRule="auto"/>
        <w:ind w:firstLine="480" w:firstLineChars="200"/>
        <w:rPr>
          <w:rFonts w:hint="eastAsia"/>
          <w:sz w:val="24"/>
          <w:szCs w:val="24"/>
        </w:rPr>
      </w:pPr>
      <w:r>
        <w:rPr>
          <w:rFonts w:hint="eastAsia"/>
          <w:sz w:val="24"/>
          <w:szCs w:val="24"/>
        </w:rPr>
        <w:t>认购总金额=100,000.00元</w:t>
      </w:r>
    </w:p>
    <w:p>
      <w:pPr>
        <w:adjustRightInd w:val="0"/>
        <w:snapToGrid w:val="0"/>
        <w:spacing w:line="360" w:lineRule="auto"/>
        <w:ind w:firstLine="480" w:firstLineChars="200"/>
        <w:rPr>
          <w:rFonts w:hint="eastAsia"/>
          <w:sz w:val="24"/>
          <w:szCs w:val="24"/>
        </w:rPr>
      </w:pPr>
      <w:r>
        <w:rPr>
          <w:rFonts w:hint="eastAsia"/>
          <w:sz w:val="24"/>
          <w:szCs w:val="24"/>
        </w:rPr>
        <w:t>净认购金额＝100,000.00/（1＋0）＝100,000.00元</w:t>
      </w:r>
    </w:p>
    <w:p>
      <w:pPr>
        <w:adjustRightInd w:val="0"/>
        <w:snapToGrid w:val="0"/>
        <w:spacing w:line="360" w:lineRule="auto"/>
        <w:ind w:firstLine="480" w:firstLineChars="200"/>
        <w:rPr>
          <w:rFonts w:hint="eastAsia"/>
          <w:sz w:val="24"/>
          <w:szCs w:val="24"/>
        </w:rPr>
      </w:pPr>
      <w:r>
        <w:rPr>
          <w:rFonts w:hint="eastAsia"/>
          <w:sz w:val="24"/>
          <w:szCs w:val="24"/>
        </w:rPr>
        <w:t>认购费用＝100,000.00-100,000.00=0.00元</w:t>
      </w:r>
    </w:p>
    <w:p>
      <w:pPr>
        <w:adjustRightInd w:val="0"/>
        <w:snapToGrid w:val="0"/>
        <w:spacing w:line="360" w:lineRule="auto"/>
        <w:ind w:firstLine="480" w:firstLineChars="200"/>
        <w:rPr>
          <w:rFonts w:hint="eastAsia"/>
          <w:sz w:val="24"/>
          <w:szCs w:val="24"/>
        </w:rPr>
      </w:pPr>
      <w:r>
        <w:rPr>
          <w:rFonts w:hint="eastAsia"/>
          <w:sz w:val="24"/>
          <w:szCs w:val="24"/>
        </w:rPr>
        <w:t>认购份额＝100,000.00/1.00＋10.00/1.00＝100,010.00份</w:t>
      </w:r>
    </w:p>
    <w:p>
      <w:pPr>
        <w:adjustRightInd w:val="0"/>
        <w:snapToGrid w:val="0"/>
        <w:spacing w:line="360" w:lineRule="auto"/>
        <w:ind w:firstLine="480" w:firstLineChars="200"/>
        <w:rPr>
          <w:rFonts w:hint="eastAsia"/>
          <w:sz w:val="24"/>
          <w:szCs w:val="24"/>
        </w:rPr>
      </w:pPr>
      <w:r>
        <w:rPr>
          <w:rFonts w:hint="eastAsia"/>
          <w:sz w:val="24"/>
          <w:szCs w:val="24"/>
        </w:rPr>
        <w:t>即：若该投资者通过直销机构认购本基金A类基金份额100,000.00元，且该认购申请被全额确认，假定该笔认购金额产生的利息为10.00元，则可得到100,010.00份A类基金份额。</w:t>
      </w:r>
    </w:p>
    <w:p>
      <w:pPr>
        <w:adjustRightInd w:val="0"/>
        <w:snapToGrid w:val="0"/>
        <w:spacing w:line="360" w:lineRule="auto"/>
        <w:ind w:firstLine="480" w:firstLineChars="200"/>
        <w:rPr>
          <w:rFonts w:hint="eastAsia"/>
          <w:sz w:val="24"/>
          <w:szCs w:val="24"/>
        </w:rPr>
      </w:pPr>
      <w:r>
        <w:rPr>
          <w:rFonts w:hint="eastAsia"/>
          <w:sz w:val="24"/>
          <w:szCs w:val="24"/>
        </w:rPr>
        <w:t>例二：某投资者通过其他销售机构认购本基金A类基金份额100,000.00元，且该认购申请被全额确认，假定该笔认购金额产生的利息为10.00元，认购费率为0.8%，则可认购基金份额为：</w:t>
      </w:r>
    </w:p>
    <w:p>
      <w:pPr>
        <w:adjustRightInd w:val="0"/>
        <w:snapToGrid w:val="0"/>
        <w:spacing w:line="360" w:lineRule="auto"/>
        <w:ind w:firstLine="480" w:firstLineChars="200"/>
        <w:rPr>
          <w:rFonts w:hint="eastAsia"/>
          <w:sz w:val="24"/>
          <w:szCs w:val="24"/>
        </w:rPr>
      </w:pPr>
      <w:r>
        <w:rPr>
          <w:rFonts w:hint="eastAsia"/>
          <w:sz w:val="24"/>
          <w:szCs w:val="24"/>
        </w:rPr>
        <w:t>认购总金额=100,000.00元</w:t>
      </w:r>
    </w:p>
    <w:p>
      <w:pPr>
        <w:adjustRightInd w:val="0"/>
        <w:snapToGrid w:val="0"/>
        <w:spacing w:line="360" w:lineRule="auto"/>
        <w:ind w:firstLine="480" w:firstLineChars="200"/>
        <w:rPr>
          <w:rFonts w:hint="eastAsia"/>
          <w:sz w:val="24"/>
          <w:szCs w:val="24"/>
        </w:rPr>
      </w:pPr>
      <w:r>
        <w:rPr>
          <w:rFonts w:hint="eastAsia"/>
          <w:sz w:val="24"/>
          <w:szCs w:val="24"/>
        </w:rPr>
        <w:t>净认购金额＝100,000.00/（1＋0.8%）＝99,206.35元</w:t>
      </w:r>
    </w:p>
    <w:p>
      <w:pPr>
        <w:adjustRightInd w:val="0"/>
        <w:snapToGrid w:val="0"/>
        <w:spacing w:line="360" w:lineRule="auto"/>
        <w:ind w:firstLine="480" w:firstLineChars="200"/>
        <w:rPr>
          <w:rFonts w:hint="eastAsia"/>
          <w:sz w:val="24"/>
          <w:szCs w:val="24"/>
        </w:rPr>
      </w:pPr>
      <w:r>
        <w:rPr>
          <w:rFonts w:hint="eastAsia"/>
          <w:sz w:val="24"/>
          <w:szCs w:val="24"/>
        </w:rPr>
        <w:t>认购费用＝100,000.00-99,206.35＝793.65元</w:t>
      </w:r>
    </w:p>
    <w:p>
      <w:pPr>
        <w:adjustRightInd w:val="0"/>
        <w:snapToGrid w:val="0"/>
        <w:spacing w:line="360" w:lineRule="auto"/>
        <w:ind w:firstLine="480" w:firstLineChars="200"/>
        <w:rPr>
          <w:rFonts w:hint="eastAsia"/>
          <w:sz w:val="24"/>
          <w:szCs w:val="24"/>
        </w:rPr>
      </w:pPr>
      <w:r>
        <w:rPr>
          <w:rFonts w:hint="eastAsia"/>
          <w:sz w:val="24"/>
          <w:szCs w:val="24"/>
        </w:rPr>
        <w:t>认购份额＝99,206.35/1.00＋10.00/1.00＝99,216.35份</w:t>
      </w:r>
    </w:p>
    <w:p>
      <w:pPr>
        <w:adjustRightInd w:val="0"/>
        <w:snapToGrid w:val="0"/>
        <w:spacing w:line="360" w:lineRule="auto"/>
        <w:ind w:firstLine="480" w:firstLineChars="200"/>
        <w:rPr>
          <w:rFonts w:hint="eastAsia"/>
          <w:sz w:val="24"/>
          <w:szCs w:val="24"/>
        </w:rPr>
      </w:pPr>
      <w:r>
        <w:rPr>
          <w:rFonts w:hint="eastAsia"/>
          <w:sz w:val="24"/>
          <w:szCs w:val="24"/>
        </w:rPr>
        <w:t>即：若该投资者通过其他销售机构认购本基金A类基金份额100,000.00元，且该认购申请被全额确认，假定该笔认购金额产生的利息为10.00元，则投资100,000元本金可得到99,216.35份A类基金份额。</w:t>
      </w:r>
    </w:p>
    <w:p>
      <w:pPr>
        <w:adjustRightInd w:val="0"/>
        <w:snapToGrid w:val="0"/>
        <w:spacing w:line="360" w:lineRule="auto"/>
        <w:ind w:firstLine="480" w:firstLineChars="200"/>
        <w:rPr>
          <w:rFonts w:hint="eastAsia"/>
          <w:sz w:val="24"/>
          <w:szCs w:val="24"/>
        </w:rPr>
      </w:pPr>
      <w:r>
        <w:rPr>
          <w:rFonts w:hint="eastAsia"/>
          <w:sz w:val="24"/>
          <w:szCs w:val="24"/>
        </w:rPr>
        <w:t>2） C类基金份额的认购</w:t>
      </w:r>
    </w:p>
    <w:p>
      <w:pPr>
        <w:adjustRightInd w:val="0"/>
        <w:snapToGrid w:val="0"/>
        <w:spacing w:line="360" w:lineRule="auto"/>
        <w:ind w:firstLine="480" w:firstLineChars="200"/>
        <w:rPr>
          <w:rFonts w:hint="eastAsia"/>
          <w:sz w:val="24"/>
          <w:szCs w:val="24"/>
        </w:rPr>
      </w:pPr>
      <w:r>
        <w:rPr>
          <w:rFonts w:hint="eastAsia"/>
          <w:sz w:val="24"/>
          <w:szCs w:val="24"/>
        </w:rPr>
        <w:t>如果投资者选择认购本基金的C类基金份额，则认购份额的计算方式如下：</w:t>
      </w:r>
    </w:p>
    <w:p>
      <w:pPr>
        <w:adjustRightInd w:val="0"/>
        <w:snapToGrid w:val="0"/>
        <w:spacing w:line="360" w:lineRule="auto"/>
        <w:ind w:firstLine="480" w:firstLineChars="200"/>
        <w:rPr>
          <w:rFonts w:hint="eastAsia"/>
          <w:sz w:val="24"/>
          <w:szCs w:val="24"/>
        </w:rPr>
      </w:pPr>
      <w:r>
        <w:rPr>
          <w:rFonts w:hint="eastAsia"/>
          <w:sz w:val="24"/>
          <w:szCs w:val="24"/>
        </w:rPr>
        <w:t>认购总金额 = 申请总金额</w:t>
      </w:r>
    </w:p>
    <w:p>
      <w:pPr>
        <w:adjustRightInd w:val="0"/>
        <w:snapToGrid w:val="0"/>
        <w:spacing w:line="360" w:lineRule="auto"/>
        <w:ind w:firstLine="480" w:firstLineChars="200"/>
        <w:rPr>
          <w:rFonts w:hint="eastAsia"/>
          <w:sz w:val="24"/>
          <w:szCs w:val="24"/>
        </w:rPr>
      </w:pPr>
      <w:r>
        <w:rPr>
          <w:rFonts w:hint="eastAsia"/>
          <w:sz w:val="24"/>
          <w:szCs w:val="24"/>
        </w:rPr>
        <w:t>认购份额 = 认购总金额/基金份额初始面值＋认购利息/基金份额初始面值。</w:t>
      </w:r>
    </w:p>
    <w:p>
      <w:pPr>
        <w:adjustRightInd w:val="0"/>
        <w:snapToGrid w:val="0"/>
        <w:spacing w:line="360" w:lineRule="auto"/>
        <w:ind w:firstLine="480" w:firstLineChars="200"/>
        <w:rPr>
          <w:rFonts w:hint="eastAsia"/>
          <w:sz w:val="24"/>
          <w:szCs w:val="24"/>
        </w:rPr>
      </w:pPr>
      <w:r>
        <w:rPr>
          <w:rFonts w:hint="eastAsia"/>
          <w:sz w:val="24"/>
          <w:szCs w:val="24"/>
        </w:rPr>
        <w:t>认购份额计算结果保留到小数点后2位，小数点2位以后的部分四舍五入，由此误差产生的收益或损失由基金财产承担。</w:t>
      </w:r>
    </w:p>
    <w:p>
      <w:pPr>
        <w:adjustRightInd w:val="0"/>
        <w:snapToGrid w:val="0"/>
        <w:spacing w:line="360" w:lineRule="auto"/>
        <w:ind w:firstLine="480" w:firstLineChars="200"/>
        <w:rPr>
          <w:rFonts w:hint="eastAsia"/>
          <w:sz w:val="24"/>
          <w:szCs w:val="24"/>
        </w:rPr>
      </w:pPr>
      <w:r>
        <w:rPr>
          <w:rFonts w:hint="eastAsia"/>
          <w:sz w:val="24"/>
          <w:szCs w:val="24"/>
        </w:rPr>
        <w:t>例三：某投资者认购本基金C类基金份额100,000.00元，且该认购申请被全额确认。假定该笔认购金额产生利息50.00元。则认购份额为：</w:t>
      </w:r>
    </w:p>
    <w:p>
      <w:pPr>
        <w:adjustRightInd w:val="0"/>
        <w:snapToGrid w:val="0"/>
        <w:spacing w:line="360" w:lineRule="auto"/>
        <w:ind w:firstLine="480" w:firstLineChars="200"/>
        <w:rPr>
          <w:rFonts w:hint="eastAsia"/>
          <w:sz w:val="24"/>
          <w:szCs w:val="24"/>
        </w:rPr>
      </w:pPr>
      <w:r>
        <w:rPr>
          <w:rFonts w:hint="eastAsia"/>
          <w:sz w:val="24"/>
          <w:szCs w:val="24"/>
        </w:rPr>
        <w:t>认购总金额=100,000.00元</w:t>
      </w:r>
    </w:p>
    <w:p>
      <w:pPr>
        <w:adjustRightInd w:val="0"/>
        <w:snapToGrid w:val="0"/>
        <w:spacing w:line="360" w:lineRule="auto"/>
        <w:ind w:firstLine="480" w:firstLineChars="200"/>
        <w:rPr>
          <w:rFonts w:hint="eastAsia"/>
          <w:sz w:val="24"/>
          <w:szCs w:val="24"/>
        </w:rPr>
      </w:pPr>
      <w:r>
        <w:rPr>
          <w:rFonts w:hint="eastAsia"/>
          <w:sz w:val="24"/>
          <w:szCs w:val="24"/>
        </w:rPr>
        <w:t>认购份额＝100,000.00/1.00＋50.00/1.00＝100,050.00份</w:t>
      </w:r>
    </w:p>
    <w:p>
      <w:pPr>
        <w:adjustRightInd w:val="0"/>
        <w:snapToGrid w:val="0"/>
        <w:spacing w:line="360" w:lineRule="auto"/>
        <w:ind w:firstLine="480" w:firstLineChars="200"/>
        <w:rPr>
          <w:sz w:val="24"/>
          <w:szCs w:val="24"/>
        </w:rPr>
      </w:pPr>
      <w:r>
        <w:rPr>
          <w:rFonts w:hint="eastAsia"/>
          <w:sz w:val="24"/>
          <w:szCs w:val="24"/>
        </w:rPr>
        <w:t>即：若该投资者认购本基金C类基金份额100,000.00元，且该认购申请被全额确认。假定该笔认购金额产生利息50.00元，可得到100,050.00份C类基金份额。</w:t>
      </w:r>
    </w:p>
    <w:p>
      <w:pPr>
        <w:adjustRightInd w:val="0"/>
        <w:snapToGrid w:val="0"/>
        <w:spacing w:line="360" w:lineRule="auto"/>
        <w:ind w:firstLine="480" w:firstLineChars="200"/>
        <w:rPr>
          <w:sz w:val="24"/>
        </w:rPr>
      </w:pPr>
    </w:p>
    <w:p>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pPr>
        <w:adjustRightInd w:val="0"/>
        <w:snapToGrid w:val="0"/>
        <w:spacing w:line="360" w:lineRule="auto"/>
        <w:ind w:firstLine="480" w:firstLineChars="200"/>
        <w:rPr>
          <w:kern w:val="0"/>
          <w:sz w:val="24"/>
        </w:rPr>
      </w:pPr>
      <w:r>
        <w:rPr>
          <w:rFonts w:hint="eastAsia"/>
          <w:kern w:val="0"/>
          <w:sz w:val="24"/>
        </w:rPr>
        <w:t>2、直销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pPr>
        <w:adjustRightInd w:val="0"/>
        <w:snapToGrid w:val="0"/>
        <w:spacing w:line="360" w:lineRule="auto"/>
        <w:ind w:firstLine="480" w:firstLineChars="20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pPr>
        <w:adjustRightInd w:val="0"/>
        <w:snapToGrid w:val="0"/>
        <w:spacing w:line="360" w:lineRule="auto"/>
        <w:ind w:firstLine="480" w:firstLineChars="200"/>
        <w:rPr>
          <w:rFonts w:hAnsi="宋体"/>
          <w:kern w:val="0"/>
          <w:sz w:val="24"/>
        </w:rPr>
      </w:pPr>
      <w:r>
        <w:rPr>
          <w:kern w:val="0"/>
          <w:sz w:val="24"/>
        </w:rPr>
        <w:t>4</w:t>
      </w:r>
      <w:r>
        <w:rPr>
          <w:rFonts w:hint="eastAsia"/>
          <w:kern w:val="0"/>
          <w:sz w:val="24"/>
        </w:rPr>
        <w:t>、</w:t>
      </w:r>
      <w:r>
        <w:rPr>
          <w:rFonts w:hint="eastAsia" w:hAnsi="宋体"/>
          <w:kern w:val="0"/>
          <w:sz w:val="24"/>
        </w:rPr>
        <w:t>投资人在募集期内可以多次认购基金份额，认购申请一经基金登记机构受理不得撤销</w:t>
      </w:r>
      <w:r>
        <w:rPr>
          <w:rFonts w:hAnsi="宋体"/>
          <w:kern w:val="0"/>
          <w:sz w:val="24"/>
        </w:rPr>
        <w:t>。</w:t>
      </w:r>
    </w:p>
    <w:p>
      <w:pPr>
        <w:adjustRightInd w:val="0"/>
        <w:snapToGrid w:val="0"/>
        <w:spacing w:line="360" w:lineRule="auto"/>
        <w:ind w:firstLine="480" w:firstLineChars="200"/>
        <w:rPr>
          <w:rFonts w:hAnsi="宋体"/>
          <w:kern w:val="0"/>
          <w:sz w:val="24"/>
        </w:rPr>
      </w:pPr>
      <w:r>
        <w:rPr>
          <w:kern w:val="0"/>
          <w:sz w:val="24"/>
        </w:rPr>
        <w:t>5</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pPr>
        <w:keepNext/>
        <w:keepLines/>
        <w:adjustRightInd w:val="0"/>
        <w:snapToGrid w:val="0"/>
        <w:spacing w:before="240" w:after="156" w:afterLines="50" w:line="360" w:lineRule="auto"/>
        <w:jc w:val="center"/>
        <w:outlineLvl w:val="0"/>
        <w:rPr>
          <w:b/>
          <w:sz w:val="24"/>
        </w:rPr>
      </w:pPr>
      <w:r>
        <w:rPr>
          <w:rFonts w:hint="eastAsia"/>
          <w:b/>
          <w:sz w:val="24"/>
        </w:rPr>
        <w:t>三、个人投资者的开户与认购程序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（一）直销机构</w:t>
      </w:r>
    </w:p>
    <w:p>
      <w:pPr>
        <w:adjustRightInd w:val="0"/>
        <w:snapToGrid w:val="0"/>
        <w:spacing w:line="360" w:lineRule="auto"/>
        <w:ind w:firstLine="482" w:firstLineChars="200"/>
        <w:rPr>
          <w:rFonts w:hAnsi="宋体"/>
          <w:b/>
          <w:sz w:val="24"/>
        </w:rPr>
      </w:pPr>
      <w:r>
        <w:rPr>
          <w:rFonts w:hAnsi="宋体"/>
          <w:b/>
          <w:sz w:val="24"/>
        </w:rPr>
        <w:t>1</w:t>
      </w:r>
      <w:r>
        <w:rPr>
          <w:rFonts w:hint="eastAsia" w:hAnsi="宋体"/>
          <w:b/>
          <w:sz w:val="24"/>
        </w:rPr>
        <w:t>、直销柜台</w:t>
      </w:r>
    </w:p>
    <w:p>
      <w:pPr>
        <w:adjustRightInd w:val="0"/>
        <w:snapToGrid w:val="0"/>
        <w:spacing w:line="360" w:lineRule="auto"/>
        <w:ind w:firstLine="480" w:firstLineChars="200"/>
        <w:rPr>
          <w:rFonts w:hAnsi="宋体"/>
          <w:sz w:val="24"/>
        </w:rPr>
      </w:pPr>
      <w:r>
        <w:rPr>
          <w:rFonts w:hint="eastAsia" w:hAnsi="宋体"/>
          <w:sz w:val="24"/>
        </w:rPr>
        <w:t>如果个人投资者首次认购金额在</w:t>
      </w:r>
      <w:r>
        <w:rPr>
          <w:rFonts w:hAnsi="宋体"/>
          <w:sz w:val="24"/>
        </w:rPr>
        <w:t>100</w:t>
      </w:r>
      <w:r>
        <w:rPr>
          <w:rFonts w:hint="eastAsia" w:hAnsi="宋体"/>
          <w:sz w:val="24"/>
        </w:rPr>
        <w:t>万元（含</w:t>
      </w:r>
      <w:r>
        <w:rPr>
          <w:rFonts w:hAnsi="宋体"/>
          <w:sz w:val="24"/>
        </w:rPr>
        <w:t>100</w:t>
      </w:r>
      <w:r>
        <w:rPr>
          <w:rFonts w:hint="eastAsia" w:hAnsi="宋体"/>
          <w:sz w:val="24"/>
        </w:rPr>
        <w:t>万元）以上，可以选择到本公司直销柜台办理认购。</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）个人投资者办理开户和认购申请需本人亲自到直销网点并提供下列资料：</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）基金</w:t>
      </w:r>
      <w:r>
        <w:rPr>
          <w:rFonts w:hAnsi="宋体"/>
          <w:sz w:val="24"/>
        </w:rPr>
        <w:t>投资者风险测评问卷</w:t>
      </w:r>
      <w:r>
        <w:rPr>
          <w:rFonts w:hint="eastAsia" w:hAnsi="宋体"/>
          <w:sz w:val="24"/>
        </w:rPr>
        <w:t>（</w:t>
      </w:r>
      <w:r>
        <w:rPr>
          <w:rFonts w:hAnsi="宋体"/>
          <w:sz w:val="24"/>
        </w:rPr>
        <w:t>个人）</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）证券投资基金投资人权益须知；</w:t>
      </w:r>
    </w:p>
    <w:p>
      <w:pPr>
        <w:adjustRightInd w:val="0"/>
        <w:snapToGrid w:val="0"/>
        <w:spacing w:line="360" w:lineRule="auto"/>
        <w:ind w:firstLine="480" w:firstLineChars="200"/>
        <w:rPr>
          <w:rFonts w:hAnsi="宋体"/>
          <w:sz w:val="24"/>
        </w:rPr>
      </w:pPr>
      <w:r>
        <w:rPr>
          <w:rFonts w:hAnsi="宋体"/>
          <w:sz w:val="24"/>
        </w:rPr>
        <w:t>3</w:t>
      </w:r>
      <w:r>
        <w:rPr>
          <w:rFonts w:hint="eastAsia" w:hAnsi="宋体"/>
          <w:sz w:val="24"/>
        </w:rPr>
        <w:t>）上海</w:t>
      </w:r>
      <w:r>
        <w:rPr>
          <w:rFonts w:hAnsi="宋体"/>
          <w:sz w:val="24"/>
        </w:rPr>
        <w:t>A</w:t>
      </w:r>
      <w:r>
        <w:rPr>
          <w:rFonts w:hint="eastAsia" w:hAnsi="宋体"/>
          <w:sz w:val="24"/>
        </w:rPr>
        <w:t>股股东代码卡或证券投资基金账户代码卡复印件（如有）；</w:t>
      </w:r>
    </w:p>
    <w:p>
      <w:pPr>
        <w:adjustRightInd w:val="0"/>
        <w:snapToGrid w:val="0"/>
        <w:spacing w:line="360" w:lineRule="auto"/>
        <w:ind w:firstLine="480" w:firstLineChars="200"/>
        <w:rPr>
          <w:rFonts w:hAnsi="宋体"/>
          <w:sz w:val="24"/>
        </w:rPr>
      </w:pPr>
      <w:r>
        <w:rPr>
          <w:rFonts w:hAnsi="宋体"/>
          <w:sz w:val="24"/>
        </w:rPr>
        <w:t>4</w:t>
      </w:r>
      <w:r>
        <w:rPr>
          <w:rFonts w:hint="eastAsia" w:hAnsi="宋体"/>
          <w:sz w:val="24"/>
        </w:rPr>
        <w:t>）有效身份证件的复印件正反面；</w:t>
      </w:r>
    </w:p>
    <w:p>
      <w:pPr>
        <w:adjustRightInd w:val="0"/>
        <w:snapToGrid w:val="0"/>
        <w:spacing w:line="360" w:lineRule="auto"/>
        <w:ind w:firstLine="480" w:firstLineChars="200"/>
        <w:rPr>
          <w:rFonts w:hAnsi="宋体"/>
          <w:sz w:val="24"/>
        </w:rPr>
      </w:pPr>
      <w:r>
        <w:rPr>
          <w:rFonts w:hAnsi="宋体"/>
          <w:sz w:val="24"/>
        </w:rPr>
        <w:t>5</w:t>
      </w:r>
      <w:r>
        <w:rPr>
          <w:rFonts w:hint="eastAsia" w:hAnsi="宋体"/>
          <w:sz w:val="24"/>
        </w:rPr>
        <w:t>）同名的银行卡复印件（银行卡复印件需要正反面签字，反面签名栏需有签字）；</w:t>
      </w:r>
    </w:p>
    <w:p>
      <w:pPr>
        <w:adjustRightInd w:val="0"/>
        <w:snapToGrid w:val="0"/>
        <w:spacing w:line="360" w:lineRule="auto"/>
        <w:ind w:firstLine="480" w:firstLineChars="200"/>
        <w:rPr>
          <w:rFonts w:hAnsi="宋体"/>
          <w:sz w:val="24"/>
        </w:rPr>
      </w:pPr>
      <w:r>
        <w:rPr>
          <w:rFonts w:hAnsi="宋体"/>
          <w:sz w:val="24"/>
        </w:rPr>
        <w:t>6</w:t>
      </w:r>
      <w:r>
        <w:rPr>
          <w:rFonts w:hint="eastAsia" w:hAnsi="宋体"/>
          <w:sz w:val="24"/>
        </w:rPr>
        <w:t>）填妥的《开放式基金账户业务申请表》两份；</w:t>
      </w:r>
    </w:p>
    <w:p>
      <w:pPr>
        <w:adjustRightInd w:val="0"/>
        <w:snapToGrid w:val="0"/>
        <w:spacing w:line="360" w:lineRule="auto"/>
        <w:ind w:firstLine="480" w:firstLineChars="200"/>
        <w:rPr>
          <w:rFonts w:hAnsi="宋体"/>
          <w:sz w:val="24"/>
        </w:rPr>
      </w:pPr>
      <w:r>
        <w:rPr>
          <w:rFonts w:hAnsi="宋体"/>
          <w:sz w:val="24"/>
        </w:rPr>
        <w:t>7</w:t>
      </w:r>
      <w:r>
        <w:rPr>
          <w:rFonts w:hint="eastAsia" w:hAnsi="宋体"/>
          <w:sz w:val="24"/>
        </w:rPr>
        <w:t>）填妥的《传真委托协议书》两份（如需开通）；</w:t>
      </w:r>
    </w:p>
    <w:p>
      <w:pPr>
        <w:adjustRightInd w:val="0"/>
        <w:snapToGrid w:val="0"/>
        <w:spacing w:line="360" w:lineRule="auto"/>
        <w:ind w:firstLine="480" w:firstLineChars="200"/>
        <w:rPr>
          <w:rFonts w:hAnsi="宋体"/>
          <w:sz w:val="24"/>
        </w:rPr>
      </w:pPr>
      <w:r>
        <w:rPr>
          <w:rFonts w:hAnsi="宋体"/>
          <w:sz w:val="24"/>
        </w:rPr>
        <w:t>8</w:t>
      </w:r>
      <w:r>
        <w:rPr>
          <w:rFonts w:hint="eastAsia" w:hAnsi="宋体"/>
          <w:sz w:val="24"/>
        </w:rPr>
        <w:t>）填妥的《开放式基金电话交易协议书》两份（如需开通）；</w:t>
      </w:r>
    </w:p>
    <w:p>
      <w:pPr>
        <w:adjustRightInd w:val="0"/>
        <w:snapToGrid w:val="0"/>
        <w:spacing w:line="360" w:lineRule="auto"/>
        <w:ind w:firstLine="480" w:firstLineChars="200"/>
        <w:rPr>
          <w:rFonts w:hAnsi="宋体"/>
          <w:sz w:val="24"/>
        </w:rPr>
      </w:pPr>
      <w:r>
        <w:rPr>
          <w:rFonts w:hAnsi="宋体"/>
          <w:sz w:val="24"/>
        </w:rPr>
        <w:t>9</w:t>
      </w:r>
      <w:r>
        <w:rPr>
          <w:rFonts w:hint="eastAsia" w:hAnsi="宋体"/>
          <w:sz w:val="24"/>
        </w:rPr>
        <w:t>）填妥</w:t>
      </w:r>
      <w:r>
        <w:rPr>
          <w:rFonts w:hAnsi="宋体"/>
          <w:sz w:val="24"/>
        </w:rPr>
        <w:t>的《</w:t>
      </w:r>
      <w:r>
        <w:rPr>
          <w:rFonts w:hint="eastAsia" w:hAnsi="宋体"/>
          <w:sz w:val="24"/>
        </w:rPr>
        <w:t>CRS个人税收</w:t>
      </w:r>
      <w:r>
        <w:rPr>
          <w:rFonts w:hAnsi="宋体"/>
          <w:sz w:val="24"/>
        </w:rPr>
        <w:t>居民身份声明文件》</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10</w:t>
      </w:r>
      <w:r>
        <w:rPr>
          <w:rFonts w:hint="eastAsia" w:hAnsi="宋体"/>
          <w:sz w:val="24"/>
        </w:rPr>
        <w:t>）填妥</w:t>
      </w:r>
      <w:r>
        <w:rPr>
          <w:rFonts w:hAnsi="宋体"/>
          <w:sz w:val="24"/>
        </w:rPr>
        <w:t>的《</w:t>
      </w:r>
      <w:r>
        <w:rPr>
          <w:rFonts w:hint="eastAsia" w:hAnsi="宋体"/>
          <w:sz w:val="24"/>
        </w:rPr>
        <w:t>受益人</w:t>
      </w:r>
      <w:r>
        <w:rPr>
          <w:rFonts w:hAnsi="宋体"/>
          <w:sz w:val="24"/>
        </w:rPr>
        <w:t>非美国个人身份声明</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）如非本人亲自办理，则还须提供代理人身份证件原件及复印件（签名）和本人的授权委托书；</w:t>
      </w:r>
    </w:p>
    <w:p>
      <w:pPr>
        <w:adjustRightInd w:val="0"/>
        <w:snapToGrid w:val="0"/>
        <w:spacing w:line="360" w:lineRule="auto"/>
        <w:ind w:firstLine="480" w:firstLineChars="200"/>
        <w:rPr>
          <w:rFonts w:hAnsi="宋体"/>
          <w:sz w:val="24"/>
        </w:rPr>
      </w:pPr>
      <w:r>
        <w:rPr>
          <w:rFonts w:hAnsi="宋体"/>
          <w:sz w:val="24"/>
        </w:rPr>
        <w:t>12</w:t>
      </w:r>
      <w:r>
        <w:rPr>
          <w:rFonts w:hint="eastAsia" w:hAnsi="宋体"/>
          <w:sz w:val="24"/>
        </w:rPr>
        <w:t>）以上表格复印有效，但需客户本人亲笔签名。</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）认购资金的划拨程序：</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）个人投资者开户后，在办理认购手续前，应将足额资金通过银行系统汇入本公司指定的下列银行账户，并确保交易日下午</w:t>
      </w:r>
      <w:r>
        <w:rPr>
          <w:rFonts w:hAnsi="宋体"/>
          <w:sz w:val="24"/>
        </w:rPr>
        <w:t>16:00</w:t>
      </w:r>
      <w:r>
        <w:rPr>
          <w:rFonts w:hint="eastAsia" w:hAnsi="宋体"/>
          <w:sz w:val="24"/>
        </w:rPr>
        <w:t>之前到账：</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开户行：交通银行股份有限公司上海市分行交银大厦支行</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310066577018150012847</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开户行：中国工商银行股份有限公司上海市分行营业部</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1001202919025740042</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adjustRightInd w:val="0"/>
        <w:snapToGrid w:val="0"/>
        <w:spacing w:line="360" w:lineRule="auto"/>
        <w:ind w:firstLine="480" w:firstLineChars="200"/>
        <w:rPr>
          <w:sz w:val="24"/>
        </w:rPr>
      </w:pP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int="eastAsia" w:hAnsi="宋体"/>
          <w:sz w:val="24"/>
        </w:rPr>
        <w:t>交银</w:t>
      </w:r>
      <w:r>
        <w:rPr>
          <w:rFonts w:hint="eastAsia" w:hAnsi="宋体"/>
          <w:sz w:val="24"/>
          <w:lang w:val="en-US" w:eastAsia="zh-CN"/>
        </w:rPr>
        <w:t>港股消费</w:t>
      </w:r>
      <w:r>
        <w:rPr>
          <w:rFonts w:hint="eastAsia" w:hAnsi="宋体"/>
          <w:sz w:val="24"/>
        </w:rPr>
        <w:t>混合</w:t>
      </w:r>
      <w:r>
        <w:rPr>
          <w:rFonts w:hint="eastAsia" w:hAnsi="宋体"/>
          <w:sz w:val="24"/>
          <w:lang w:eastAsia="zh-CN"/>
        </w:rPr>
        <w:t>（</w:t>
      </w:r>
      <w:r>
        <w:rPr>
          <w:rFonts w:hint="eastAsia" w:hAnsi="宋体"/>
          <w:sz w:val="24"/>
          <w:lang w:val="en-US" w:eastAsia="zh-CN"/>
        </w:rPr>
        <w:t>QDII</w:t>
      </w:r>
      <w:r>
        <w:rPr>
          <w:rFonts w:hint="eastAsia" w:hAnsi="宋体"/>
          <w:sz w:val="24"/>
          <w:lang w:eastAsia="zh-CN"/>
        </w:rPr>
        <w:t>）</w:t>
      </w:r>
      <w:r>
        <w:rPr>
          <w:sz w:val="24"/>
        </w:rPr>
        <w:t>”</w:t>
      </w:r>
      <w:r>
        <w:rPr>
          <w:rFonts w:hint="eastAsia"/>
          <w:sz w:val="24"/>
        </w:rPr>
        <w:t>；</w:t>
      </w:r>
    </w:p>
    <w:p>
      <w:pPr>
        <w:adjustRightInd w:val="0"/>
        <w:snapToGrid w:val="0"/>
        <w:spacing w:line="360" w:lineRule="auto"/>
        <w:ind w:firstLine="480" w:firstLineChars="20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Ansi="宋体"/>
          <w:b/>
          <w:sz w:val="24"/>
        </w:rPr>
        <w:t>2</w:t>
      </w:r>
      <w:r>
        <w:rPr>
          <w:rFonts w:hint="eastAsia" w:hAnsi="宋体"/>
          <w:b/>
          <w:sz w:val="24"/>
        </w:rPr>
        <w:t>、网上直销交易平台</w:t>
      </w:r>
    </w:p>
    <w:p>
      <w:pPr>
        <w:adjustRightInd w:val="0"/>
        <w:snapToGrid w:val="0"/>
        <w:spacing w:line="360" w:lineRule="auto"/>
        <w:ind w:firstLine="480" w:firstLineChars="200"/>
        <w:rPr>
          <w:sz w:val="24"/>
          <w:szCs w:val="24"/>
        </w:rPr>
      </w:pPr>
      <w:r>
        <w:rPr>
          <w:rFonts w:hint="eastAsia" w:hAnsi="宋体"/>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r>
        <w:fldChar w:fldCharType="begin"/>
      </w:r>
      <w:r>
        <w:instrText xml:space="preserve"> HYPERLINK "http://www.fund001.com，www.bocomschroder.com" </w:instrText>
      </w:r>
      <w:r>
        <w:fldChar w:fldCharType="separate"/>
      </w:r>
      <w:r>
        <w:rPr>
          <w:rFonts w:hAnsi="宋体"/>
        </w:rPr>
        <w:t>www.fund001.com</w:t>
      </w:r>
      <w:r>
        <w:rPr>
          <w:rFonts w:hAnsi="宋体"/>
        </w:rPr>
        <w:fldChar w:fldCharType="end"/>
      </w:r>
      <w:r>
        <w:rPr>
          <w:rFonts w:hint="eastAsia"/>
          <w:sz w:val="24"/>
          <w:szCs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四、机构投资者的开户与认购程序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（一）直销柜台</w:t>
      </w:r>
    </w:p>
    <w:p>
      <w:pPr>
        <w:adjustRightInd w:val="0"/>
        <w:snapToGrid w:val="0"/>
        <w:spacing w:line="360" w:lineRule="auto"/>
        <w:ind w:firstLine="480" w:firstLineChars="20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pPr>
        <w:adjustRightInd w:val="0"/>
        <w:snapToGrid w:val="0"/>
        <w:spacing w:line="360" w:lineRule="auto"/>
        <w:ind w:firstLine="480" w:firstLineChars="20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pPr>
        <w:adjustRightInd w:val="0"/>
        <w:snapToGrid w:val="0"/>
        <w:spacing w:line="360" w:lineRule="auto"/>
        <w:ind w:firstLine="480" w:firstLineChars="200"/>
        <w:rPr>
          <w:sz w:val="24"/>
        </w:rPr>
      </w:pPr>
      <w:r>
        <w:rPr>
          <w:sz w:val="24"/>
        </w:rPr>
        <w:t>2</w:t>
      </w:r>
      <w:r>
        <w:rPr>
          <w:rFonts w:hint="eastAsia"/>
          <w:sz w:val="24"/>
        </w:rPr>
        <w:t>、一般机构投资者办理开户和认购申请时，应由指定经办人赴直销网点或寄送、传真并提供下列资料：</w:t>
      </w:r>
    </w:p>
    <w:p>
      <w:pPr>
        <w:adjustRightInd w:val="0"/>
        <w:snapToGrid w:val="0"/>
        <w:spacing w:line="360" w:lineRule="auto"/>
        <w:ind w:firstLine="480" w:firstLineChars="200"/>
        <w:rPr>
          <w:sz w:val="24"/>
        </w:rPr>
      </w:pPr>
      <w:r>
        <w:rPr>
          <w:rFonts w:hint="eastAsia"/>
          <w:sz w:val="24"/>
        </w:rPr>
        <w:t>1）加盖公章或者预留印鉴章、经办人签字的《基金投资者风险测评问卷（机构）》；</w:t>
      </w:r>
    </w:p>
    <w:p>
      <w:pPr>
        <w:adjustRightInd w:val="0"/>
        <w:snapToGrid w:val="0"/>
        <w:spacing w:line="360" w:lineRule="auto"/>
        <w:ind w:firstLine="480" w:firstLineChars="200"/>
        <w:rPr>
          <w:sz w:val="24"/>
        </w:rPr>
      </w:pPr>
      <w:r>
        <w:rPr>
          <w:rFonts w:hint="eastAsia"/>
          <w:sz w:val="24"/>
        </w:rPr>
        <w:t>2）加盖公章、经办人签字的《证券投资基金投资人权益须知》；</w:t>
      </w:r>
    </w:p>
    <w:p>
      <w:pPr>
        <w:adjustRightInd w:val="0"/>
        <w:snapToGrid w:val="0"/>
        <w:spacing w:line="360" w:lineRule="auto"/>
        <w:ind w:firstLine="480" w:firstLineChars="200"/>
        <w:rPr>
          <w:sz w:val="24"/>
        </w:rPr>
      </w:pPr>
      <w:r>
        <w:rPr>
          <w:rFonts w:hint="eastAsia"/>
          <w:sz w:val="24"/>
        </w:rPr>
        <w:t>3）加盖公章的上海A股股东代码卡或证券投资基金账户代码卡复印件（如有）；</w:t>
      </w:r>
    </w:p>
    <w:p>
      <w:pPr>
        <w:adjustRightInd w:val="0"/>
        <w:snapToGrid w:val="0"/>
        <w:spacing w:line="360" w:lineRule="auto"/>
        <w:ind w:firstLine="480" w:firstLineChars="200"/>
        <w:rPr>
          <w:sz w:val="24"/>
        </w:rPr>
      </w:pPr>
      <w:r>
        <w:rPr>
          <w:rFonts w:hint="eastAsia"/>
          <w:sz w:val="24"/>
        </w:rPr>
        <w:t>4）加盖公章的企业法人营业执照复印件副本（三证合一版本）；事业法人、社会团体或其他组织请提供民政部门或主管部门颁发的加盖单位公章的注册登记证书复印件（需有最新的年检记录）；</w:t>
      </w:r>
    </w:p>
    <w:p>
      <w:pPr>
        <w:adjustRightInd w:val="0"/>
        <w:snapToGrid w:val="0"/>
        <w:spacing w:line="360" w:lineRule="auto"/>
        <w:ind w:firstLine="480" w:firstLineChars="200"/>
        <w:rPr>
          <w:sz w:val="24"/>
        </w:rPr>
      </w:pPr>
      <w:r>
        <w:rPr>
          <w:rFonts w:hint="eastAsia"/>
          <w:sz w:val="24"/>
        </w:rPr>
        <w:t>5）加盖公章、法人章、经办人签字的《CRS机构税收居民身份声明文件》（如机构类型为消极非金融机构，需要额外提供加盖公章、法人章、经办人签字的《CRS机构控制人税收居民身份声明文件》）；</w:t>
      </w:r>
    </w:p>
    <w:p>
      <w:pPr>
        <w:adjustRightInd w:val="0"/>
        <w:snapToGrid w:val="0"/>
        <w:spacing w:line="360" w:lineRule="auto"/>
        <w:ind w:firstLine="480" w:firstLineChars="200"/>
        <w:rPr>
          <w:sz w:val="24"/>
        </w:rPr>
      </w:pPr>
      <w:r>
        <w:rPr>
          <w:rFonts w:hint="eastAsia"/>
          <w:sz w:val="24"/>
        </w:rPr>
        <w:t>6）加盖公章、法人章、经办人签字的《机构客户纳税身份声明文件》；</w:t>
      </w:r>
    </w:p>
    <w:p>
      <w:pPr>
        <w:adjustRightInd w:val="0"/>
        <w:snapToGrid w:val="0"/>
        <w:spacing w:line="360" w:lineRule="auto"/>
        <w:ind w:firstLine="480" w:firstLineChars="200"/>
        <w:rPr>
          <w:sz w:val="24"/>
        </w:rPr>
      </w:pPr>
      <w:r>
        <w:rPr>
          <w:rFonts w:hint="eastAsia"/>
          <w:sz w:val="24"/>
        </w:rPr>
        <w:t>7）加盖公章、法人章、经办人签字的《交银施罗德基金业务授权委托书》；</w:t>
      </w:r>
    </w:p>
    <w:p>
      <w:pPr>
        <w:adjustRightInd w:val="0"/>
        <w:snapToGrid w:val="0"/>
        <w:spacing w:line="360" w:lineRule="auto"/>
        <w:ind w:firstLine="480" w:firstLineChars="200"/>
        <w:rPr>
          <w:sz w:val="24"/>
        </w:rPr>
      </w:pPr>
      <w:r>
        <w:rPr>
          <w:rFonts w:hint="eastAsia"/>
          <w:sz w:val="24"/>
        </w:rPr>
        <w:t>8）加盖公章的经办人、法定代表人有效身份证件复印件（正反面）；</w:t>
      </w:r>
    </w:p>
    <w:p>
      <w:pPr>
        <w:adjustRightInd w:val="0"/>
        <w:snapToGrid w:val="0"/>
        <w:spacing w:line="360" w:lineRule="auto"/>
        <w:ind w:firstLine="480" w:firstLineChars="200"/>
        <w:rPr>
          <w:sz w:val="24"/>
        </w:rPr>
      </w:pPr>
      <w:r>
        <w:rPr>
          <w:rFonts w:hint="eastAsia"/>
          <w:sz w:val="24"/>
        </w:rPr>
        <w:t>9）印鉴卡一式两份（一份机构留存，一份本直销柜台留存，预留印鉴盖章人的盖公章证件需要提供）；</w:t>
      </w:r>
    </w:p>
    <w:p>
      <w:pPr>
        <w:adjustRightInd w:val="0"/>
        <w:snapToGrid w:val="0"/>
        <w:spacing w:line="360" w:lineRule="auto"/>
        <w:ind w:firstLine="480" w:firstLineChars="200"/>
        <w:rPr>
          <w:sz w:val="24"/>
        </w:rPr>
      </w:pPr>
      <w:r>
        <w:rPr>
          <w:rFonts w:hint="eastAsia"/>
          <w:sz w:val="24"/>
        </w:rPr>
        <w:t>10）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pPr>
        <w:adjustRightInd w:val="0"/>
        <w:snapToGrid w:val="0"/>
        <w:spacing w:line="360" w:lineRule="auto"/>
        <w:ind w:firstLine="480" w:firstLineChars="200"/>
        <w:rPr>
          <w:sz w:val="24"/>
        </w:rPr>
      </w:pPr>
      <w:r>
        <w:rPr>
          <w:rFonts w:hint="eastAsia"/>
          <w:sz w:val="24"/>
        </w:rPr>
        <w:t>11）加盖公章、法人章、经办人签字并填妥的《开放式基金账户业务申请表》两份；</w:t>
      </w:r>
    </w:p>
    <w:p>
      <w:pPr>
        <w:adjustRightInd w:val="0"/>
        <w:snapToGrid w:val="0"/>
        <w:spacing w:line="360" w:lineRule="auto"/>
        <w:ind w:firstLine="480" w:firstLineChars="200"/>
        <w:rPr>
          <w:sz w:val="24"/>
        </w:rPr>
      </w:pPr>
      <w:r>
        <w:rPr>
          <w:rFonts w:hint="eastAsia"/>
          <w:sz w:val="24"/>
        </w:rPr>
        <w:t>12）加盖公章并填妥的《传真委托协议书》两份并加盖公章（如需开通）。</w:t>
      </w:r>
    </w:p>
    <w:p>
      <w:pPr>
        <w:adjustRightInd w:val="0"/>
        <w:snapToGrid w:val="0"/>
        <w:spacing w:line="360" w:lineRule="auto"/>
        <w:ind w:firstLine="480" w:firstLineChars="200"/>
        <w:rPr>
          <w:sz w:val="24"/>
        </w:rPr>
      </w:pPr>
      <w:r>
        <w:rPr>
          <w:rFonts w:hint="eastAsia"/>
          <w:sz w:val="24"/>
        </w:rPr>
        <w:t>13）加盖公章的公司股权架构信息、高管信息的文件</w:t>
      </w:r>
    </w:p>
    <w:p>
      <w:pPr>
        <w:adjustRightInd w:val="0"/>
        <w:snapToGrid w:val="0"/>
        <w:spacing w:line="360" w:lineRule="auto"/>
        <w:ind w:firstLine="480" w:firstLineChars="200"/>
        <w:rPr>
          <w:sz w:val="24"/>
        </w:rPr>
      </w:pPr>
      <w:r>
        <w:rPr>
          <w:rFonts w:hint="eastAsia"/>
          <w:sz w:val="24"/>
        </w:rPr>
        <w:t>14）加盖公章的公司金融许可证/业务许可证等证明</w:t>
      </w:r>
    </w:p>
    <w:p>
      <w:pPr>
        <w:adjustRightInd w:val="0"/>
        <w:snapToGrid w:val="0"/>
        <w:spacing w:line="360" w:lineRule="auto"/>
        <w:ind w:firstLine="480" w:firstLineChars="200"/>
        <w:rPr>
          <w:sz w:val="24"/>
        </w:rPr>
      </w:pPr>
      <w:r>
        <w:rPr>
          <w:rFonts w:hint="eastAsia"/>
          <w:sz w:val="24"/>
        </w:rPr>
        <w:t>15）加盖公章的受益所有人信息登记表，并更具表单填写内容提供相关人员加盖公章的身份证正反面复印件及说明文件</w:t>
      </w:r>
    </w:p>
    <w:p>
      <w:pPr>
        <w:adjustRightInd w:val="0"/>
        <w:snapToGrid w:val="0"/>
        <w:spacing w:line="360" w:lineRule="auto"/>
        <w:ind w:firstLine="480" w:firstLineChars="20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pPr>
        <w:adjustRightInd w:val="0"/>
        <w:snapToGrid w:val="0"/>
        <w:spacing w:line="360" w:lineRule="auto"/>
        <w:ind w:left="420" w:leftChars="20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pPr>
        <w:adjustRightInd w:val="0"/>
        <w:snapToGrid w:val="0"/>
        <w:spacing w:line="360" w:lineRule="auto"/>
        <w:ind w:firstLine="480" w:firstLineChars="20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开户行：交通银行股份有限公司上海市分行交银大厦支行</w:t>
      </w:r>
    </w:p>
    <w:p>
      <w:pPr>
        <w:adjustRightInd w:val="0"/>
        <w:snapToGrid w:val="0"/>
        <w:spacing w:line="360" w:lineRule="auto"/>
        <w:ind w:firstLine="480" w:firstLineChars="200"/>
        <w:rPr>
          <w:sz w:val="24"/>
        </w:rPr>
      </w:pPr>
      <w:r>
        <w:rPr>
          <w:rFonts w:hint="eastAsia"/>
          <w:sz w:val="24"/>
        </w:rPr>
        <w:t>账号：</w:t>
      </w:r>
      <w:r>
        <w:rPr>
          <w:sz w:val="24"/>
        </w:rPr>
        <w:t>310066577018150012847</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开户行：中国工商银行股份有限公司上海市分行营业部</w:t>
      </w:r>
    </w:p>
    <w:p>
      <w:pPr>
        <w:adjustRightInd w:val="0"/>
        <w:snapToGrid w:val="0"/>
        <w:spacing w:line="360" w:lineRule="auto"/>
        <w:ind w:firstLine="480" w:firstLineChars="200"/>
        <w:rPr>
          <w:sz w:val="24"/>
        </w:rPr>
      </w:pPr>
      <w:r>
        <w:rPr>
          <w:rFonts w:hint="eastAsia"/>
          <w:sz w:val="24"/>
        </w:rPr>
        <w:t>账号：</w:t>
      </w:r>
      <w:r>
        <w:rPr>
          <w:sz w:val="24"/>
        </w:rPr>
        <w:t>1001202919025740042</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tabs>
          <w:tab w:val="left" w:pos="6804"/>
        </w:tabs>
        <w:adjustRightInd w:val="0"/>
        <w:snapToGrid w:val="0"/>
        <w:spacing w:line="360" w:lineRule="auto"/>
        <w:ind w:firstLine="480" w:firstLineChars="200"/>
        <w:rPr>
          <w:sz w:val="24"/>
        </w:rPr>
      </w:pPr>
      <w:r>
        <w:rPr>
          <w:rFonts w:hint="eastAsia"/>
          <w:sz w:val="24"/>
        </w:rPr>
        <w:t>（</w:t>
      </w: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int="eastAsia" w:hAnsi="宋体"/>
          <w:sz w:val="24"/>
        </w:rPr>
        <w:t>交银</w:t>
      </w:r>
      <w:r>
        <w:rPr>
          <w:rFonts w:hint="eastAsia" w:hAnsi="宋体"/>
          <w:sz w:val="24"/>
          <w:lang w:val="en-US" w:eastAsia="zh-CN"/>
        </w:rPr>
        <w:t>港股消费</w:t>
      </w:r>
      <w:r>
        <w:rPr>
          <w:rFonts w:hint="eastAsia" w:hAnsi="宋体"/>
          <w:sz w:val="24"/>
        </w:rPr>
        <w:t>混合</w:t>
      </w:r>
      <w:r>
        <w:rPr>
          <w:rFonts w:hint="eastAsia" w:hAnsi="宋体"/>
          <w:sz w:val="24"/>
          <w:lang w:eastAsia="zh-CN"/>
        </w:rPr>
        <w:t>（</w:t>
      </w:r>
      <w:r>
        <w:rPr>
          <w:rFonts w:hint="eastAsia" w:hAnsi="宋体"/>
          <w:sz w:val="24"/>
          <w:lang w:val="en-US" w:eastAsia="zh-CN"/>
        </w:rPr>
        <w:t>QDII</w:t>
      </w:r>
      <w:r>
        <w:rPr>
          <w:rFonts w:hint="eastAsia" w:hAnsi="宋体"/>
          <w:sz w:val="24"/>
          <w:lang w:eastAsia="zh-CN"/>
        </w:rPr>
        <w:t>）</w:t>
      </w:r>
      <w:r>
        <w:rPr>
          <w:sz w:val="24"/>
        </w:rPr>
        <w:t>”</w:t>
      </w:r>
      <w:r>
        <w:rPr>
          <w:rFonts w:hint="eastAsia"/>
          <w:sz w:val="24"/>
        </w:rPr>
        <w:t>；</w:t>
      </w:r>
    </w:p>
    <w:p>
      <w:pPr>
        <w:adjustRightInd w:val="0"/>
        <w:snapToGrid w:val="0"/>
        <w:spacing w:line="360" w:lineRule="auto"/>
        <w:ind w:firstLine="480" w:firstLineChars="20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五、清算与交割</w:t>
      </w:r>
    </w:p>
    <w:p>
      <w:pPr>
        <w:adjustRightInd w:val="0"/>
        <w:snapToGrid w:val="0"/>
        <w:spacing w:line="360" w:lineRule="auto"/>
        <w:ind w:firstLine="480" w:firstLineChars="20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pPr>
        <w:adjustRightInd w:val="0"/>
        <w:snapToGrid w:val="0"/>
        <w:spacing w:line="360" w:lineRule="auto"/>
        <w:ind w:firstLine="480" w:firstLineChars="200"/>
        <w:rPr>
          <w:rFonts w:ascii="宋体" w:hAnsi="宋体"/>
          <w:sz w:val="24"/>
        </w:rPr>
      </w:pPr>
      <w:r>
        <w:rPr>
          <w:sz w:val="24"/>
        </w:rPr>
        <w:t>2</w:t>
      </w:r>
      <w:r>
        <w:rPr>
          <w:rFonts w:hint="eastAsia"/>
          <w:sz w:val="24"/>
        </w:rPr>
        <w:t>、本基金权益登记由本基金登记机构在募集期结束后完成。</w:t>
      </w:r>
    </w:p>
    <w:p>
      <w:pPr>
        <w:keepNext/>
        <w:keepLines/>
        <w:adjustRightInd w:val="0"/>
        <w:snapToGrid w:val="0"/>
        <w:spacing w:before="240" w:after="156" w:afterLines="50" w:line="360" w:lineRule="auto"/>
        <w:jc w:val="center"/>
        <w:outlineLvl w:val="0"/>
        <w:rPr>
          <w:b/>
          <w:sz w:val="24"/>
        </w:rPr>
      </w:pPr>
      <w:r>
        <w:rPr>
          <w:rFonts w:hint="eastAsia"/>
          <w:b/>
          <w:sz w:val="24"/>
        </w:rPr>
        <w:t>六、退款</w:t>
      </w:r>
    </w:p>
    <w:p>
      <w:pPr>
        <w:adjustRightInd w:val="0"/>
        <w:snapToGrid w:val="0"/>
        <w:spacing w:line="360" w:lineRule="auto"/>
        <w:ind w:firstLine="480" w:firstLineChars="20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pPr>
        <w:adjustRightInd w:val="0"/>
        <w:snapToGrid w:val="0"/>
        <w:spacing w:line="360" w:lineRule="auto"/>
        <w:ind w:firstLine="480" w:firstLineChars="20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七、基金的验资与生效</w:t>
      </w:r>
    </w:p>
    <w:p>
      <w:pPr>
        <w:adjustRightInd w:val="0"/>
        <w:snapToGrid w:val="0"/>
        <w:spacing w:line="360" w:lineRule="auto"/>
        <w:ind w:firstLine="480" w:firstLineChars="200"/>
        <w:rPr>
          <w:sz w:val="24"/>
        </w:rPr>
      </w:pPr>
      <w:r>
        <w:rPr>
          <w:rFonts w:hint="eastAsia"/>
          <w:sz w:val="24"/>
        </w:rPr>
        <w:t>本基金募集期满，达到合同规定的条件，基金合同方可生效。</w:t>
      </w:r>
    </w:p>
    <w:p>
      <w:pPr>
        <w:adjustRightInd w:val="0"/>
        <w:snapToGrid w:val="0"/>
        <w:spacing w:line="360" w:lineRule="auto"/>
        <w:ind w:firstLine="480" w:firstLineChars="20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pPr>
        <w:adjustRightInd w:val="0"/>
        <w:snapToGrid w:val="0"/>
        <w:spacing w:line="360" w:lineRule="auto"/>
        <w:ind w:firstLine="480" w:firstLineChars="200"/>
        <w:rPr>
          <w:sz w:val="24"/>
        </w:rPr>
      </w:pPr>
      <w:r>
        <w:rPr>
          <w:sz w:val="24"/>
        </w:rPr>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pPr>
        <w:adjustRightInd w:val="0"/>
        <w:snapToGrid w:val="0"/>
        <w:spacing w:line="360" w:lineRule="auto"/>
        <w:ind w:firstLine="480" w:firstLineChars="200"/>
        <w:rPr>
          <w:sz w:val="24"/>
        </w:rPr>
      </w:pPr>
      <w:r>
        <w:rPr>
          <w:sz w:val="24"/>
        </w:rPr>
        <w:t>3</w:t>
      </w:r>
      <w:r>
        <w:rPr>
          <w:rFonts w:hint="eastAsia"/>
          <w:sz w:val="24"/>
        </w:rPr>
        <w:t>、基金管理人应当在收到中国证监会确认文件的次日对基金合同生效事宜予以公告。</w:t>
      </w:r>
    </w:p>
    <w:p>
      <w:pPr>
        <w:keepNext/>
        <w:keepLines/>
        <w:adjustRightInd w:val="0"/>
        <w:snapToGrid w:val="0"/>
        <w:spacing w:before="312" w:beforeLines="100" w:after="156" w:afterLines="50" w:line="360" w:lineRule="auto"/>
        <w:jc w:val="center"/>
        <w:outlineLvl w:val="0"/>
        <w:rPr>
          <w:b/>
          <w:sz w:val="24"/>
        </w:rPr>
      </w:pPr>
      <w:r>
        <w:rPr>
          <w:rFonts w:hint="eastAsia"/>
          <w:b/>
          <w:sz w:val="24"/>
        </w:rPr>
        <w:t>八、基金合同生效前的费用处理</w:t>
      </w:r>
    </w:p>
    <w:p>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pPr>
        <w:keepNext/>
        <w:keepLines/>
        <w:adjustRightInd w:val="0"/>
        <w:snapToGrid w:val="0"/>
        <w:spacing w:before="312" w:beforeLines="100" w:after="156" w:afterLines="50" w:line="360" w:lineRule="auto"/>
        <w:jc w:val="center"/>
        <w:outlineLvl w:val="0"/>
        <w:rPr>
          <w:b/>
          <w:sz w:val="24"/>
        </w:rPr>
      </w:pPr>
      <w:r>
        <w:rPr>
          <w:rFonts w:hint="eastAsia"/>
          <w:b/>
          <w:sz w:val="24"/>
        </w:rPr>
        <w:t>九、本次募集当事人或中介机构</w:t>
      </w:r>
    </w:p>
    <w:p>
      <w:pPr>
        <w:adjustRightInd w:val="0"/>
        <w:snapToGrid w:val="0"/>
        <w:spacing w:line="360" w:lineRule="auto"/>
        <w:ind w:firstLine="482" w:firstLineChars="200"/>
        <w:rPr>
          <w:rFonts w:hAnsi="宋体"/>
          <w:b/>
          <w:sz w:val="24"/>
        </w:rPr>
      </w:pPr>
      <w:r>
        <w:rPr>
          <w:rFonts w:hint="eastAsia" w:hAnsi="宋体"/>
          <w:b/>
          <w:sz w:val="24"/>
        </w:rPr>
        <w:t>（一）基金管理人</w:t>
      </w:r>
    </w:p>
    <w:p>
      <w:pPr>
        <w:adjustRightInd w:val="0"/>
        <w:snapToGrid w:val="0"/>
        <w:spacing w:line="360" w:lineRule="auto"/>
        <w:ind w:firstLine="480" w:firstLineChars="200"/>
        <w:rPr>
          <w:sz w:val="24"/>
        </w:rPr>
      </w:pPr>
      <w:r>
        <w:rPr>
          <w:rFonts w:hint="eastAsia"/>
          <w:sz w:val="24"/>
        </w:rPr>
        <w:t>名称：交银施罗德基金管理有限公司</w:t>
      </w:r>
    </w:p>
    <w:p>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sz w:val="24"/>
        </w:rPr>
        <w:t>邮政编码：</w:t>
      </w:r>
      <w:r>
        <w:rPr>
          <w:sz w:val="24"/>
        </w:rPr>
        <w:t>200120</w:t>
      </w:r>
    </w:p>
    <w:p>
      <w:pPr>
        <w:adjustRightInd w:val="0"/>
        <w:snapToGrid w:val="0"/>
        <w:spacing w:line="360" w:lineRule="auto"/>
        <w:ind w:firstLine="480" w:firstLineChars="200"/>
        <w:rPr>
          <w:sz w:val="24"/>
        </w:rPr>
      </w:pPr>
      <w:r>
        <w:rPr>
          <w:rFonts w:hint="eastAsia"/>
          <w:sz w:val="24"/>
        </w:rPr>
        <w:t>法定代表人：袁庆伟（代任）</w:t>
      </w:r>
    </w:p>
    <w:p>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pPr>
        <w:adjustRightInd w:val="0"/>
        <w:snapToGrid w:val="0"/>
        <w:spacing w:line="360" w:lineRule="auto"/>
        <w:ind w:firstLine="480" w:firstLineChars="200"/>
        <w:rPr>
          <w:sz w:val="24"/>
        </w:rPr>
      </w:pPr>
      <w:r>
        <w:rPr>
          <w:rFonts w:hint="eastAsia"/>
          <w:sz w:val="24"/>
        </w:rPr>
        <w:t>联系人：何佳妮</w:t>
      </w:r>
    </w:p>
    <w:p>
      <w:pPr>
        <w:adjustRightInd w:val="0"/>
        <w:snapToGrid w:val="0"/>
        <w:spacing w:line="360" w:lineRule="auto"/>
        <w:ind w:firstLine="482" w:firstLineChars="200"/>
        <w:rPr>
          <w:rFonts w:hAnsi="宋体"/>
          <w:b/>
          <w:sz w:val="24"/>
        </w:rPr>
      </w:pPr>
      <w:r>
        <w:rPr>
          <w:rFonts w:hint="eastAsia" w:hAnsi="宋体"/>
          <w:b/>
          <w:sz w:val="24"/>
        </w:rPr>
        <w:t>（二）基金托管人</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名称：中国农业银行股份有限公司</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住所：北京市东城区建国门内大街69号</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办公地址：北京市西城区复兴门内大街28号凯晨世贸中心东座九层</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法定代表人：谷澍</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成立日期：2009年1月15日</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批准设立机关和批准设立文号：中国银监会银监复[2009]13号</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基金托管资格批文及文号：中国证监会证监基字[1998]23号</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注册资本：34,998,303.4万元人民币</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存续期间：持续经营</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联系电话：010-66060069</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传真：010-68121816</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联系人：任航</w:t>
      </w:r>
    </w:p>
    <w:p>
      <w:pPr>
        <w:adjustRightInd w:val="0"/>
        <w:snapToGrid w:val="0"/>
        <w:spacing w:line="360" w:lineRule="auto"/>
        <w:ind w:firstLine="482" w:firstLineChars="200"/>
        <w:rPr>
          <w:rFonts w:hAnsi="宋体"/>
          <w:b/>
          <w:sz w:val="24"/>
        </w:rPr>
      </w:pPr>
      <w:r>
        <w:rPr>
          <w:rFonts w:hint="eastAsia" w:hAnsi="宋体"/>
          <w:b/>
          <w:sz w:val="24"/>
        </w:rPr>
        <w:t>（三）销售机构</w:t>
      </w:r>
    </w:p>
    <w:p>
      <w:pPr>
        <w:widowControl/>
        <w:adjustRightInd w:val="0"/>
        <w:snapToGrid w:val="0"/>
        <w:spacing w:line="360" w:lineRule="auto"/>
        <w:ind w:firstLine="480" w:firstLineChars="200"/>
        <w:rPr>
          <w:kern w:val="0"/>
          <w:sz w:val="24"/>
        </w:rPr>
      </w:pPr>
      <w:r>
        <w:rPr>
          <w:kern w:val="0"/>
          <w:sz w:val="24"/>
        </w:rPr>
        <w:t>1</w:t>
      </w:r>
      <w:r>
        <w:rPr>
          <w:rFonts w:hint="eastAsia"/>
          <w:kern w:val="0"/>
          <w:sz w:val="24"/>
        </w:rPr>
        <w:t>、直销机构</w:t>
      </w:r>
    </w:p>
    <w:p>
      <w:pPr>
        <w:widowControl/>
        <w:adjustRightInd w:val="0"/>
        <w:snapToGrid w:val="0"/>
        <w:spacing w:line="360" w:lineRule="auto"/>
        <w:ind w:firstLine="480" w:firstLineChars="20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kern w:val="0"/>
          <w:sz w:val="24"/>
        </w:rPr>
        <w:t>法定代表人：</w:t>
      </w:r>
      <w:r>
        <w:rPr>
          <w:rFonts w:hint="eastAsia"/>
          <w:sz w:val="24"/>
        </w:rPr>
        <w:t>袁庆伟（代任）</w:t>
      </w:r>
    </w:p>
    <w:p>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pPr>
        <w:widowControl/>
        <w:adjustRightInd w:val="0"/>
        <w:snapToGrid w:val="0"/>
        <w:spacing w:line="360" w:lineRule="auto"/>
        <w:ind w:firstLine="480" w:firstLineChars="200"/>
        <w:rPr>
          <w:kern w:val="0"/>
          <w:sz w:val="24"/>
        </w:rPr>
      </w:pPr>
      <w:r>
        <w:rPr>
          <w:rFonts w:hint="eastAsia"/>
          <w:kern w:val="0"/>
          <w:sz w:val="24"/>
        </w:rPr>
        <w:t>联系人：傅鲸</w:t>
      </w:r>
    </w:p>
    <w:p>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pPr>
        <w:widowControl/>
        <w:adjustRightInd w:val="0"/>
        <w:snapToGrid w:val="0"/>
        <w:spacing w:line="360" w:lineRule="auto"/>
        <w:ind w:firstLine="480" w:firstLineChars="20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57"/>
          <w:color w:val="auto"/>
          <w:sz w:val="24"/>
          <w:szCs w:val="24"/>
          <w:u w:val="none"/>
        </w:rPr>
        <w:t>www.fund001.com</w:t>
      </w:r>
      <w:r>
        <w:rPr>
          <w:rFonts w:hint="eastAsia"/>
          <w:kern w:val="0"/>
          <w:sz w:val="24"/>
        </w:rPr>
        <w:t>。</w:t>
      </w:r>
    </w:p>
    <w:p>
      <w:pPr>
        <w:widowControl/>
        <w:adjustRightInd w:val="0"/>
        <w:snapToGrid w:val="0"/>
        <w:spacing w:line="360" w:lineRule="auto"/>
        <w:ind w:firstLine="480" w:firstLineChars="200"/>
        <w:rPr>
          <w:rFonts w:hint="eastAsia" w:eastAsia="宋体"/>
          <w:kern w:val="0"/>
          <w:sz w:val="24"/>
          <w:lang w:val="en-US" w:eastAsia="zh-CN"/>
        </w:rPr>
      </w:pPr>
      <w:r>
        <w:rPr>
          <w:kern w:val="0"/>
          <w:sz w:val="24"/>
        </w:rPr>
        <w:t>2</w:t>
      </w:r>
      <w:r>
        <w:rPr>
          <w:rFonts w:hint="eastAsia"/>
          <w:kern w:val="0"/>
          <w:sz w:val="24"/>
        </w:rPr>
        <w:t>、除基金管理人之外的其他销售机构</w:t>
      </w:r>
      <w:r>
        <w:rPr>
          <w:rFonts w:hint="eastAsia"/>
          <w:kern w:val="0"/>
          <w:sz w:val="24"/>
          <w:lang w:val="en-US" w:eastAsia="zh-CN"/>
        </w:rPr>
        <w:tab/>
      </w:r>
    </w:p>
    <w:p>
      <w:pPr>
        <w:widowControl/>
        <w:adjustRightInd w:val="0"/>
        <w:snapToGrid w:val="0"/>
        <w:spacing w:line="360" w:lineRule="auto"/>
        <w:ind w:firstLine="480" w:firstLineChars="200"/>
        <w:rPr>
          <w:rFonts w:hint="eastAsia"/>
          <w:kern w:val="0"/>
          <w:sz w:val="24"/>
        </w:rPr>
      </w:pPr>
      <w:r>
        <w:rPr>
          <w:rFonts w:hint="eastAsia"/>
          <w:kern w:val="0"/>
          <w:sz w:val="24"/>
        </w:rPr>
        <w:t>（1）名称：中国农业银行股份有限公司</w:t>
      </w:r>
    </w:p>
    <w:p>
      <w:pPr>
        <w:widowControl/>
        <w:adjustRightInd w:val="0"/>
        <w:snapToGrid w:val="0"/>
        <w:spacing w:line="360" w:lineRule="auto"/>
        <w:ind w:firstLine="480" w:firstLineChars="200"/>
        <w:rPr>
          <w:rFonts w:hint="eastAsia"/>
          <w:kern w:val="0"/>
          <w:sz w:val="24"/>
        </w:rPr>
      </w:pPr>
      <w:r>
        <w:rPr>
          <w:rFonts w:hint="eastAsia"/>
          <w:kern w:val="0"/>
          <w:sz w:val="24"/>
        </w:rPr>
        <w:t>住所：北京市东城区建国门内大街69号</w:t>
      </w:r>
    </w:p>
    <w:p>
      <w:pPr>
        <w:widowControl/>
        <w:adjustRightInd w:val="0"/>
        <w:snapToGrid w:val="0"/>
        <w:spacing w:line="360" w:lineRule="auto"/>
        <w:ind w:firstLine="480" w:firstLineChars="200"/>
        <w:rPr>
          <w:rFonts w:hint="eastAsia"/>
          <w:kern w:val="0"/>
          <w:sz w:val="24"/>
        </w:rPr>
      </w:pPr>
      <w:r>
        <w:rPr>
          <w:rFonts w:hint="eastAsia"/>
          <w:kern w:val="0"/>
          <w:sz w:val="24"/>
        </w:rPr>
        <w:t>办公地址：北京市西城区复兴门内大街28号凯晨世贸中心东座九层</w:t>
      </w:r>
    </w:p>
    <w:p>
      <w:pPr>
        <w:widowControl/>
        <w:adjustRightInd w:val="0"/>
        <w:snapToGrid w:val="0"/>
        <w:spacing w:line="360" w:lineRule="auto"/>
        <w:ind w:firstLine="480" w:firstLineChars="200"/>
        <w:rPr>
          <w:rFonts w:hint="eastAsia"/>
          <w:kern w:val="0"/>
          <w:sz w:val="24"/>
        </w:rPr>
      </w:pPr>
      <w:r>
        <w:rPr>
          <w:rFonts w:hint="eastAsia"/>
          <w:kern w:val="0"/>
          <w:sz w:val="24"/>
        </w:rPr>
        <w:t>法定代表人：谷澍</w:t>
      </w:r>
    </w:p>
    <w:p>
      <w:pPr>
        <w:widowControl/>
        <w:adjustRightInd w:val="0"/>
        <w:snapToGrid w:val="0"/>
        <w:spacing w:line="360" w:lineRule="auto"/>
        <w:ind w:firstLine="480" w:firstLineChars="200"/>
        <w:rPr>
          <w:rFonts w:hint="eastAsia"/>
          <w:kern w:val="0"/>
          <w:sz w:val="24"/>
        </w:rPr>
      </w:pPr>
      <w:r>
        <w:rPr>
          <w:rFonts w:hint="eastAsia"/>
          <w:kern w:val="0"/>
          <w:sz w:val="24"/>
        </w:rPr>
        <w:t>联系电话：010-66060069</w:t>
      </w:r>
    </w:p>
    <w:p>
      <w:pPr>
        <w:widowControl/>
        <w:adjustRightInd w:val="0"/>
        <w:snapToGrid w:val="0"/>
        <w:spacing w:line="360" w:lineRule="auto"/>
        <w:ind w:firstLine="480" w:firstLineChars="200"/>
        <w:rPr>
          <w:rFonts w:hint="eastAsia"/>
          <w:kern w:val="0"/>
          <w:sz w:val="24"/>
        </w:rPr>
      </w:pPr>
      <w:r>
        <w:rPr>
          <w:rFonts w:hint="eastAsia"/>
          <w:kern w:val="0"/>
          <w:sz w:val="24"/>
        </w:rPr>
        <w:t>传真：010-68121816</w:t>
      </w:r>
    </w:p>
    <w:p>
      <w:pPr>
        <w:widowControl/>
        <w:adjustRightInd w:val="0"/>
        <w:snapToGrid w:val="0"/>
        <w:spacing w:line="360" w:lineRule="auto"/>
        <w:ind w:firstLine="480" w:firstLineChars="200"/>
        <w:rPr>
          <w:rFonts w:hint="eastAsia"/>
          <w:kern w:val="0"/>
          <w:sz w:val="24"/>
        </w:rPr>
      </w:pPr>
      <w:r>
        <w:rPr>
          <w:rFonts w:hint="eastAsia"/>
          <w:kern w:val="0"/>
          <w:sz w:val="24"/>
        </w:rPr>
        <w:t>联系人：秦一楠</w:t>
      </w:r>
    </w:p>
    <w:p>
      <w:pPr>
        <w:widowControl/>
        <w:adjustRightInd w:val="0"/>
        <w:snapToGrid w:val="0"/>
        <w:spacing w:line="360" w:lineRule="auto"/>
        <w:ind w:firstLine="480" w:firstLineChars="200"/>
        <w:rPr>
          <w:rFonts w:hint="eastAsia"/>
          <w:kern w:val="0"/>
          <w:sz w:val="24"/>
        </w:rPr>
      </w:pPr>
      <w:r>
        <w:rPr>
          <w:rFonts w:hint="eastAsia"/>
          <w:kern w:val="0"/>
          <w:sz w:val="24"/>
        </w:rPr>
        <w:t>客户服务电话：95599</w:t>
      </w:r>
    </w:p>
    <w:p>
      <w:pPr>
        <w:widowControl/>
        <w:adjustRightInd w:val="0"/>
        <w:snapToGrid w:val="0"/>
        <w:spacing w:line="360" w:lineRule="auto"/>
        <w:ind w:firstLine="480" w:firstLineChars="200"/>
        <w:rPr>
          <w:rFonts w:hint="eastAsia"/>
          <w:kern w:val="0"/>
          <w:sz w:val="24"/>
        </w:rPr>
      </w:pPr>
      <w:r>
        <w:rPr>
          <w:rFonts w:hint="eastAsia"/>
          <w:kern w:val="0"/>
          <w:sz w:val="24"/>
        </w:rPr>
        <w:t>网址：www.abchina.com</w:t>
      </w:r>
    </w:p>
    <w:p>
      <w:pPr>
        <w:widowControl/>
        <w:adjustRightInd w:val="0"/>
        <w:snapToGrid w:val="0"/>
        <w:spacing w:line="360" w:lineRule="auto"/>
        <w:ind w:firstLine="480" w:firstLineChars="200"/>
        <w:rPr>
          <w:rFonts w:hint="eastAsia"/>
          <w:kern w:val="0"/>
          <w:sz w:val="24"/>
        </w:rPr>
      </w:pPr>
      <w:r>
        <w:rPr>
          <w:rFonts w:hint="eastAsia"/>
          <w:kern w:val="0"/>
          <w:sz w:val="24"/>
        </w:rPr>
        <w:t>（2）名称：交通银行股份有限公司</w:t>
      </w:r>
    </w:p>
    <w:p>
      <w:pPr>
        <w:widowControl/>
        <w:adjustRightInd w:val="0"/>
        <w:snapToGrid w:val="0"/>
        <w:spacing w:line="360" w:lineRule="auto"/>
        <w:ind w:firstLine="480" w:firstLineChars="200"/>
        <w:rPr>
          <w:rFonts w:hint="eastAsia"/>
          <w:kern w:val="0"/>
          <w:sz w:val="24"/>
        </w:rPr>
      </w:pPr>
      <w:r>
        <w:rPr>
          <w:rFonts w:hint="eastAsia"/>
          <w:kern w:val="0"/>
          <w:sz w:val="24"/>
        </w:rPr>
        <w:t>住所：上海市浦东新区银城中路188号</w:t>
      </w:r>
    </w:p>
    <w:p>
      <w:pPr>
        <w:widowControl/>
        <w:adjustRightInd w:val="0"/>
        <w:snapToGrid w:val="0"/>
        <w:spacing w:line="360" w:lineRule="auto"/>
        <w:ind w:firstLine="480" w:firstLineChars="200"/>
        <w:rPr>
          <w:rFonts w:hint="eastAsia"/>
          <w:kern w:val="0"/>
          <w:sz w:val="24"/>
        </w:rPr>
      </w:pPr>
      <w:r>
        <w:rPr>
          <w:rFonts w:hint="eastAsia"/>
          <w:kern w:val="0"/>
          <w:sz w:val="24"/>
        </w:rPr>
        <w:t>办公地址：上海市浦东新区银城中路188号</w:t>
      </w:r>
    </w:p>
    <w:p>
      <w:pPr>
        <w:widowControl/>
        <w:adjustRightInd w:val="0"/>
        <w:snapToGrid w:val="0"/>
        <w:spacing w:line="360" w:lineRule="auto"/>
        <w:ind w:firstLine="480" w:firstLineChars="200"/>
        <w:rPr>
          <w:rFonts w:hint="eastAsia"/>
          <w:kern w:val="0"/>
          <w:sz w:val="24"/>
        </w:rPr>
      </w:pPr>
      <w:r>
        <w:rPr>
          <w:rFonts w:hint="eastAsia"/>
          <w:kern w:val="0"/>
          <w:sz w:val="24"/>
        </w:rPr>
        <w:t>法定代表人：任德奇</w:t>
      </w:r>
    </w:p>
    <w:p>
      <w:pPr>
        <w:widowControl/>
        <w:adjustRightInd w:val="0"/>
        <w:snapToGrid w:val="0"/>
        <w:spacing w:line="360" w:lineRule="auto"/>
        <w:ind w:firstLine="480" w:firstLineChars="200"/>
        <w:rPr>
          <w:rFonts w:hint="eastAsia"/>
          <w:kern w:val="0"/>
          <w:sz w:val="24"/>
        </w:rPr>
      </w:pPr>
      <w:r>
        <w:rPr>
          <w:rFonts w:hint="eastAsia"/>
          <w:kern w:val="0"/>
          <w:sz w:val="24"/>
        </w:rPr>
        <w:t>电话：（021）58781234</w:t>
      </w:r>
    </w:p>
    <w:p>
      <w:pPr>
        <w:widowControl/>
        <w:adjustRightInd w:val="0"/>
        <w:snapToGrid w:val="0"/>
        <w:spacing w:line="360" w:lineRule="auto"/>
        <w:ind w:firstLine="480" w:firstLineChars="200"/>
        <w:rPr>
          <w:rFonts w:hint="eastAsia"/>
          <w:kern w:val="0"/>
          <w:sz w:val="24"/>
        </w:rPr>
      </w:pPr>
      <w:r>
        <w:rPr>
          <w:rFonts w:hint="eastAsia"/>
          <w:kern w:val="0"/>
          <w:sz w:val="24"/>
        </w:rPr>
        <w:t>传真：（021）58408483</w:t>
      </w:r>
    </w:p>
    <w:p>
      <w:pPr>
        <w:widowControl/>
        <w:adjustRightInd w:val="0"/>
        <w:snapToGrid w:val="0"/>
        <w:spacing w:line="360" w:lineRule="auto"/>
        <w:ind w:firstLine="480" w:firstLineChars="200"/>
        <w:rPr>
          <w:rFonts w:hint="eastAsia"/>
          <w:kern w:val="0"/>
          <w:sz w:val="24"/>
        </w:rPr>
      </w:pPr>
      <w:r>
        <w:rPr>
          <w:rFonts w:hint="eastAsia"/>
          <w:kern w:val="0"/>
          <w:sz w:val="24"/>
        </w:rPr>
        <w:t>联系人：范瑞波</w:t>
      </w:r>
    </w:p>
    <w:p>
      <w:pPr>
        <w:widowControl/>
        <w:adjustRightInd w:val="0"/>
        <w:snapToGrid w:val="0"/>
        <w:spacing w:line="360" w:lineRule="auto"/>
        <w:ind w:firstLine="480" w:firstLineChars="200"/>
        <w:rPr>
          <w:rFonts w:hint="eastAsia"/>
          <w:kern w:val="0"/>
          <w:sz w:val="24"/>
        </w:rPr>
      </w:pPr>
      <w:r>
        <w:rPr>
          <w:rFonts w:hint="eastAsia"/>
          <w:kern w:val="0"/>
          <w:sz w:val="24"/>
        </w:rPr>
        <w:t>客户服务电话：95559</w:t>
      </w:r>
    </w:p>
    <w:p>
      <w:pPr>
        <w:widowControl/>
        <w:adjustRightInd w:val="0"/>
        <w:snapToGrid w:val="0"/>
        <w:spacing w:line="360" w:lineRule="auto"/>
        <w:ind w:firstLine="480" w:firstLineChars="200"/>
        <w:rPr>
          <w:kern w:val="0"/>
          <w:sz w:val="24"/>
        </w:rPr>
      </w:pPr>
      <w:r>
        <w:rPr>
          <w:rFonts w:hint="eastAsia"/>
          <w:kern w:val="0"/>
          <w:sz w:val="24"/>
        </w:rPr>
        <w:t>网址：www.bankcomm.com</w:t>
      </w:r>
    </w:p>
    <w:p>
      <w:pPr>
        <w:adjustRightInd w:val="0"/>
        <w:snapToGrid w:val="0"/>
        <w:spacing w:line="360" w:lineRule="auto"/>
        <w:ind w:firstLine="480" w:firstLineChars="200"/>
        <w:rPr>
          <w:rFonts w:hAnsi="宋体"/>
          <w:kern w:val="0"/>
          <w:sz w:val="24"/>
        </w:rPr>
      </w:pPr>
      <w:r>
        <w:rPr>
          <w:rFonts w:hAnsi="宋体"/>
          <w:kern w:val="0"/>
          <w:sz w:val="24"/>
        </w:rPr>
        <w:t>基金管理人可根据有关法律法规的要求，选择其它符合要求的机构销售本基金，</w:t>
      </w:r>
      <w:r>
        <w:rPr>
          <w:rFonts w:hint="eastAsia" w:hAnsi="宋体"/>
          <w:kern w:val="0"/>
          <w:sz w:val="24"/>
        </w:rPr>
        <w:t>并在基金管理人网站公示</w:t>
      </w:r>
      <w:r>
        <w:rPr>
          <w:rFonts w:hAnsi="宋体"/>
          <w:kern w:val="0"/>
          <w:sz w:val="24"/>
        </w:rPr>
        <w:t>。</w:t>
      </w:r>
    </w:p>
    <w:p>
      <w:pPr>
        <w:widowControl/>
        <w:adjustRightInd w:val="0"/>
        <w:snapToGrid w:val="0"/>
        <w:spacing w:line="360" w:lineRule="auto"/>
        <w:ind w:firstLine="482" w:firstLineChars="200"/>
        <w:rPr>
          <w:b/>
          <w:kern w:val="0"/>
          <w:sz w:val="24"/>
        </w:rPr>
      </w:pPr>
      <w:r>
        <w:rPr>
          <w:rFonts w:hint="eastAsia"/>
          <w:b/>
          <w:kern w:val="0"/>
          <w:sz w:val="24"/>
        </w:rPr>
        <w:t>（四）登记机构</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住所：中国（上海）自由贸易试验区银城中路188号交通银行大楼二层（裙）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办公地址：上海市浦东新区世纪大道8号国金中心二期21-22楼</w:t>
      </w:r>
    </w:p>
    <w:p>
      <w:pPr>
        <w:widowControl/>
        <w:adjustRightInd w:val="0"/>
        <w:snapToGrid w:val="0"/>
        <w:spacing w:line="360" w:lineRule="auto"/>
        <w:ind w:firstLine="480" w:firstLineChars="200"/>
        <w:rPr>
          <w:kern w:val="0"/>
          <w:sz w:val="24"/>
        </w:rPr>
      </w:pPr>
      <w:r>
        <w:rPr>
          <w:rFonts w:hint="eastAsia"/>
          <w:kern w:val="0"/>
          <w:sz w:val="24"/>
        </w:rPr>
        <w:t>法定代表人：袁庆伟（代任）</w:t>
      </w:r>
    </w:p>
    <w:p>
      <w:pPr>
        <w:widowControl/>
        <w:adjustRightInd w:val="0"/>
        <w:snapToGrid w:val="0"/>
        <w:spacing w:line="360" w:lineRule="auto"/>
        <w:ind w:firstLine="480" w:firstLineChars="200"/>
        <w:rPr>
          <w:kern w:val="0"/>
          <w:sz w:val="24"/>
        </w:rPr>
      </w:pPr>
      <w:r>
        <w:rPr>
          <w:rFonts w:hint="eastAsia"/>
          <w:kern w:val="0"/>
          <w:sz w:val="24"/>
        </w:rPr>
        <w:t>电话：（021）61055461</w:t>
      </w:r>
    </w:p>
    <w:p>
      <w:pPr>
        <w:widowControl/>
        <w:adjustRightInd w:val="0"/>
        <w:snapToGrid w:val="0"/>
        <w:spacing w:line="360" w:lineRule="auto"/>
        <w:ind w:firstLine="480" w:firstLineChars="200"/>
        <w:rPr>
          <w:kern w:val="0"/>
          <w:sz w:val="24"/>
        </w:rPr>
      </w:pPr>
      <w:r>
        <w:rPr>
          <w:rFonts w:hint="eastAsia"/>
          <w:kern w:val="0"/>
          <w:sz w:val="24"/>
        </w:rPr>
        <w:t>传真：（021）61055064</w:t>
      </w:r>
    </w:p>
    <w:p>
      <w:pPr>
        <w:adjustRightInd w:val="0"/>
        <w:snapToGrid w:val="0"/>
        <w:spacing w:line="360" w:lineRule="auto"/>
        <w:ind w:firstLine="480" w:firstLineChars="200"/>
        <w:rPr>
          <w:kern w:val="0"/>
          <w:sz w:val="24"/>
        </w:rPr>
      </w:pPr>
      <w:r>
        <w:rPr>
          <w:rFonts w:hint="eastAsia"/>
          <w:kern w:val="0"/>
          <w:sz w:val="24"/>
        </w:rPr>
        <w:t>联系人：陈方强</w:t>
      </w:r>
    </w:p>
    <w:p>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pPr>
        <w:adjustRightInd w:val="0"/>
        <w:snapToGrid w:val="0"/>
        <w:spacing w:line="360" w:lineRule="auto"/>
        <w:ind w:firstLine="480" w:firstLineChars="200"/>
        <w:rPr>
          <w:kern w:val="0"/>
          <w:sz w:val="24"/>
        </w:rPr>
      </w:pPr>
      <w:r>
        <w:rPr>
          <w:rFonts w:hint="eastAsia"/>
          <w:kern w:val="0"/>
          <w:sz w:val="24"/>
        </w:rPr>
        <w:t>名称：上海市通力律师事务所</w:t>
      </w:r>
    </w:p>
    <w:p>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pPr>
        <w:adjustRightInd w:val="0"/>
        <w:snapToGrid w:val="0"/>
        <w:spacing w:line="360" w:lineRule="auto"/>
        <w:ind w:firstLine="480" w:firstLineChars="200"/>
        <w:rPr>
          <w:kern w:val="0"/>
          <w:sz w:val="24"/>
        </w:rPr>
      </w:pPr>
      <w:r>
        <w:rPr>
          <w:rFonts w:hint="eastAsia"/>
          <w:kern w:val="0"/>
          <w:sz w:val="24"/>
        </w:rPr>
        <w:t>负责人：陈臻</w:t>
      </w:r>
    </w:p>
    <w:p>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pPr>
        <w:adjustRightInd w:val="0"/>
        <w:snapToGrid w:val="0"/>
        <w:spacing w:line="360" w:lineRule="auto"/>
        <w:ind w:firstLine="480" w:firstLineChars="200"/>
        <w:rPr>
          <w:rFonts w:hAnsi="宋体"/>
          <w:kern w:val="0"/>
          <w:sz w:val="24"/>
        </w:rPr>
      </w:pPr>
      <w:bookmarkStart w:id="5" w:name="OLE_LINK3"/>
      <w:bookmarkStart w:id="6" w:name="OLE_LINK4"/>
      <w:r>
        <w:rPr>
          <w:rFonts w:hint="eastAsia"/>
          <w:kern w:val="0"/>
          <w:sz w:val="24"/>
        </w:rPr>
        <w:t>经办律师</w:t>
      </w:r>
      <w:bookmarkEnd w:id="5"/>
      <w:bookmarkEnd w:id="6"/>
      <w:r>
        <w:rPr>
          <w:rFonts w:hint="eastAsia"/>
          <w:kern w:val="0"/>
          <w:sz w:val="24"/>
        </w:rPr>
        <w:t>：</w:t>
      </w:r>
      <w:r>
        <w:rPr>
          <w:rFonts w:hint="eastAsia" w:hAnsi="宋体"/>
          <w:kern w:val="0"/>
          <w:sz w:val="24"/>
        </w:rPr>
        <w:t>丁媛、李晓露</w:t>
      </w:r>
    </w:p>
    <w:p>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pPr>
        <w:widowControl/>
        <w:adjustRightInd w:val="0"/>
        <w:snapToGrid w:val="0"/>
        <w:spacing w:line="360" w:lineRule="auto"/>
        <w:ind w:firstLine="480" w:firstLineChars="200"/>
        <w:rPr>
          <w:rFonts w:hint="eastAsia"/>
          <w:kern w:val="0"/>
          <w:sz w:val="24"/>
        </w:rPr>
      </w:pPr>
      <w:r>
        <w:rPr>
          <w:rFonts w:hint="eastAsia"/>
          <w:kern w:val="0"/>
          <w:sz w:val="24"/>
        </w:rPr>
        <w:t>名称：容诚会计师事务所（特殊普通合伙）</w:t>
      </w:r>
    </w:p>
    <w:p>
      <w:pPr>
        <w:widowControl/>
        <w:adjustRightInd w:val="0"/>
        <w:snapToGrid w:val="0"/>
        <w:spacing w:line="360" w:lineRule="auto"/>
        <w:ind w:firstLine="480" w:firstLineChars="200"/>
        <w:rPr>
          <w:rFonts w:hint="eastAsia"/>
          <w:kern w:val="0"/>
          <w:sz w:val="24"/>
        </w:rPr>
      </w:pPr>
      <w:r>
        <w:rPr>
          <w:rFonts w:hint="eastAsia"/>
          <w:kern w:val="0"/>
          <w:sz w:val="24"/>
        </w:rPr>
        <w:t>注册地址：北京市西城区阜成门外大街22号1幢外经贸大厦901-22至901-26</w:t>
      </w:r>
    </w:p>
    <w:p>
      <w:pPr>
        <w:widowControl/>
        <w:adjustRightInd w:val="0"/>
        <w:snapToGrid w:val="0"/>
        <w:spacing w:line="360" w:lineRule="auto"/>
        <w:ind w:firstLine="480" w:firstLineChars="200"/>
        <w:rPr>
          <w:rFonts w:hint="eastAsia"/>
          <w:kern w:val="0"/>
          <w:sz w:val="24"/>
        </w:rPr>
      </w:pPr>
      <w:r>
        <w:rPr>
          <w:rFonts w:hint="eastAsia"/>
          <w:kern w:val="0"/>
          <w:sz w:val="24"/>
        </w:rPr>
        <w:t>办公地址：北京市西城区阜成门外大街22号1幢外经贸大厦901-22至901-26</w:t>
      </w:r>
    </w:p>
    <w:p>
      <w:pPr>
        <w:widowControl/>
        <w:adjustRightInd w:val="0"/>
        <w:snapToGrid w:val="0"/>
        <w:spacing w:line="360" w:lineRule="auto"/>
        <w:ind w:firstLine="480" w:firstLineChars="200"/>
        <w:rPr>
          <w:rFonts w:hint="eastAsia"/>
          <w:kern w:val="0"/>
          <w:sz w:val="24"/>
        </w:rPr>
      </w:pPr>
      <w:r>
        <w:rPr>
          <w:rFonts w:hint="eastAsia"/>
          <w:kern w:val="0"/>
          <w:sz w:val="24"/>
        </w:rPr>
        <w:t>电话：010-66001391</w:t>
      </w:r>
    </w:p>
    <w:p>
      <w:pPr>
        <w:widowControl/>
        <w:adjustRightInd w:val="0"/>
        <w:snapToGrid w:val="0"/>
        <w:spacing w:line="360" w:lineRule="auto"/>
        <w:ind w:firstLine="480" w:firstLineChars="200"/>
        <w:rPr>
          <w:rFonts w:hint="eastAsia"/>
          <w:kern w:val="0"/>
          <w:sz w:val="24"/>
        </w:rPr>
      </w:pPr>
      <w:r>
        <w:rPr>
          <w:rFonts w:hint="eastAsia"/>
          <w:kern w:val="0"/>
          <w:sz w:val="24"/>
        </w:rPr>
        <w:t>传真：010-66001391</w:t>
      </w:r>
    </w:p>
    <w:p>
      <w:pPr>
        <w:widowControl/>
        <w:adjustRightInd w:val="0"/>
        <w:snapToGrid w:val="0"/>
        <w:spacing w:line="360" w:lineRule="auto"/>
        <w:ind w:firstLine="480" w:firstLineChars="200"/>
        <w:rPr>
          <w:rFonts w:hint="eastAsia"/>
          <w:kern w:val="0"/>
          <w:sz w:val="24"/>
        </w:rPr>
      </w:pPr>
      <w:r>
        <w:rPr>
          <w:rFonts w:hint="eastAsia"/>
          <w:kern w:val="0"/>
          <w:sz w:val="24"/>
        </w:rPr>
        <w:t>执行事务合伙人：肖厚发、刘维</w:t>
      </w:r>
    </w:p>
    <w:p>
      <w:pPr>
        <w:widowControl/>
        <w:adjustRightInd w:val="0"/>
        <w:snapToGrid w:val="0"/>
        <w:spacing w:line="360" w:lineRule="auto"/>
        <w:ind w:firstLine="480" w:firstLineChars="200"/>
        <w:rPr>
          <w:rFonts w:hint="eastAsia"/>
          <w:kern w:val="0"/>
          <w:sz w:val="24"/>
        </w:rPr>
      </w:pPr>
      <w:r>
        <w:rPr>
          <w:rFonts w:hint="eastAsia"/>
          <w:kern w:val="0"/>
          <w:sz w:val="24"/>
        </w:rPr>
        <w:t>经办会计师：沈兆杰、李隐煜</w:t>
      </w:r>
    </w:p>
    <w:p>
      <w:pPr>
        <w:widowControl/>
        <w:adjustRightInd w:val="0"/>
        <w:snapToGrid w:val="0"/>
        <w:spacing w:line="360" w:lineRule="auto"/>
        <w:ind w:firstLine="480" w:firstLineChars="200"/>
        <w:rPr>
          <w:rFonts w:hint="eastAsia"/>
          <w:kern w:val="0"/>
          <w:sz w:val="24"/>
        </w:rPr>
      </w:pPr>
      <w:r>
        <w:rPr>
          <w:rFonts w:hint="eastAsia"/>
          <w:kern w:val="0"/>
          <w:sz w:val="24"/>
        </w:rPr>
        <w:t>联系人：李隐煜</w:t>
      </w:r>
    </w:p>
    <w:p>
      <w:pPr>
        <w:widowControl/>
        <w:adjustRightInd w:val="0"/>
        <w:snapToGrid w:val="0"/>
        <w:spacing w:line="360" w:lineRule="auto"/>
        <w:ind w:firstLine="480" w:firstLineChars="200"/>
        <w:rPr>
          <w:rFonts w:hAnsi="宋体"/>
          <w:kern w:val="0"/>
          <w:sz w:val="24"/>
        </w:rPr>
      </w:pPr>
    </w:p>
    <w:p>
      <w:pPr>
        <w:widowControl/>
        <w:adjustRightInd w:val="0"/>
        <w:snapToGrid w:val="0"/>
        <w:spacing w:line="360" w:lineRule="auto"/>
        <w:ind w:firstLine="480" w:firstLineChars="200"/>
        <w:jc w:val="right"/>
        <w:rPr>
          <w:kern w:val="0"/>
          <w:sz w:val="24"/>
        </w:rPr>
      </w:pPr>
      <w:r>
        <w:rPr>
          <w:kern w:val="0"/>
          <w:sz w:val="24"/>
        </w:rPr>
        <w:t>交银施罗德基金管理有限公司</w:t>
      </w:r>
    </w:p>
    <w:p>
      <w:pPr>
        <w:widowControl/>
        <w:adjustRightInd w:val="0"/>
        <w:snapToGrid w:val="0"/>
        <w:spacing w:line="360" w:lineRule="auto"/>
        <w:ind w:firstLine="480" w:firstLineChars="200"/>
        <w:jc w:val="right"/>
        <w:rPr>
          <w:kern w:val="0"/>
          <w:sz w:val="24"/>
        </w:rPr>
      </w:pPr>
      <w:r>
        <w:rPr>
          <w:rFonts w:hint="eastAsia"/>
          <w:kern w:val="0"/>
          <w:sz w:val="24"/>
        </w:rPr>
        <w:t>二〇</w:t>
      </w:r>
      <w:r>
        <w:rPr>
          <w:rFonts w:hint="eastAsia"/>
          <w:kern w:val="0"/>
          <w:sz w:val="24"/>
          <w:highlight w:val="none"/>
        </w:rPr>
        <w:t>二</w:t>
      </w:r>
      <w:r>
        <w:rPr>
          <w:rFonts w:hint="eastAsia"/>
          <w:kern w:val="0"/>
          <w:sz w:val="24"/>
          <w:highlight w:val="none"/>
          <w:lang w:val="en-US" w:eastAsia="zh-CN"/>
        </w:rPr>
        <w:t>六</w:t>
      </w:r>
      <w:r>
        <w:rPr>
          <w:rFonts w:hint="eastAsia"/>
          <w:kern w:val="0"/>
          <w:sz w:val="24"/>
          <w:highlight w:val="none"/>
        </w:rPr>
        <w:t>年</w:t>
      </w:r>
      <w:r>
        <w:rPr>
          <w:rFonts w:hint="eastAsia"/>
          <w:kern w:val="0"/>
          <w:sz w:val="24"/>
          <w:highlight w:val="none"/>
          <w:lang w:val="en-US" w:eastAsia="zh-CN"/>
        </w:rPr>
        <w:t>七</w:t>
      </w:r>
      <w:r>
        <w:rPr>
          <w:rFonts w:hint="eastAsia"/>
          <w:kern w:val="0"/>
          <w:sz w:val="24"/>
          <w:highlight w:val="none"/>
        </w:rPr>
        <w:t>月</w:t>
      </w:r>
      <w:r>
        <w:rPr>
          <w:rFonts w:hint="eastAsia"/>
          <w:kern w:val="0"/>
          <w:sz w:val="24"/>
          <w:highlight w:val="none"/>
          <w:lang w:val="en-US" w:eastAsia="zh-CN"/>
        </w:rPr>
        <w:t>十三</w:t>
      </w:r>
      <w:r>
        <w:rPr>
          <w:rFonts w:hint="eastAsia"/>
          <w:kern w:val="0"/>
          <w:sz w:val="24"/>
          <w:highlight w:val="none"/>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9</w:t>
    </w:r>
    <w:r>
      <w:rPr>
        <w:lang w:val="zh-CN"/>
      </w:rP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tabs>
        <w:tab w:val="right" w:pos="8280"/>
      </w:tabs>
      <w:spacing w:line="160" w:lineRule="exact"/>
      <w:jc w:val="right"/>
    </w:pPr>
  </w:p>
  <w:p>
    <w:pPr>
      <w:pStyle w:val="32"/>
      <w:pBdr>
        <w:bottom w:val="none" w:color="auto" w:sz="0" w:space="0"/>
      </w:pBdr>
      <w:tabs>
        <w:tab w:val="right" w:pos="8280"/>
      </w:tabs>
      <w:jc w:val="right"/>
      <w:rPr>
        <w:rFonts w:ascii="宋体"/>
      </w:rPr>
    </w:pPr>
    <w:r>
      <w:rPr>
        <w:rFonts w:hint="eastAsia" w:cs="宋体"/>
      </w:rPr>
      <w:t>交银施罗德</w:t>
    </w:r>
    <w:r>
      <w:rPr>
        <w:rFonts w:hint="eastAsia" w:cs="宋体"/>
        <w:lang w:eastAsia="zh-CN"/>
      </w:rPr>
      <w:t>港股消费混合型证券投资基金（QDII）</w:t>
    </w:r>
    <w:r>
      <w:rPr>
        <w:rFonts w:hint="eastAsia" w:cs="宋体"/>
      </w:rPr>
      <w:t>基金份额发售公告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6446"/>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7040"/>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03EB"/>
    <w:rsid w:val="00D618F0"/>
    <w:rsid w:val="00D61F1C"/>
    <w:rsid w:val="00D64E49"/>
    <w:rsid w:val="00D651B0"/>
    <w:rsid w:val="00D67DC8"/>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4655"/>
    <w:rsid w:val="00E65122"/>
    <w:rsid w:val="00E66366"/>
    <w:rsid w:val="00E6647E"/>
    <w:rsid w:val="00E6711A"/>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79C3058"/>
    <w:rsid w:val="0A18181A"/>
    <w:rsid w:val="0A632726"/>
    <w:rsid w:val="0D625A4D"/>
    <w:rsid w:val="0D882FD6"/>
    <w:rsid w:val="10310B80"/>
    <w:rsid w:val="11033725"/>
    <w:rsid w:val="1398420B"/>
    <w:rsid w:val="17EC06F9"/>
    <w:rsid w:val="1B5D7AF7"/>
    <w:rsid w:val="1D3F64EC"/>
    <w:rsid w:val="1EBD3BC2"/>
    <w:rsid w:val="1F563E08"/>
    <w:rsid w:val="202661BC"/>
    <w:rsid w:val="22341357"/>
    <w:rsid w:val="22BF7243"/>
    <w:rsid w:val="289B2774"/>
    <w:rsid w:val="2CD92868"/>
    <w:rsid w:val="302F1E11"/>
    <w:rsid w:val="3086056D"/>
    <w:rsid w:val="314236C1"/>
    <w:rsid w:val="32CC59A1"/>
    <w:rsid w:val="341D5622"/>
    <w:rsid w:val="36DB109D"/>
    <w:rsid w:val="3A0B05CB"/>
    <w:rsid w:val="3FDD6FAB"/>
    <w:rsid w:val="410F0621"/>
    <w:rsid w:val="412B19D8"/>
    <w:rsid w:val="43AF57C2"/>
    <w:rsid w:val="466F413F"/>
    <w:rsid w:val="49201522"/>
    <w:rsid w:val="49517544"/>
    <w:rsid w:val="4C3D2738"/>
    <w:rsid w:val="4C5D1379"/>
    <w:rsid w:val="4D057F90"/>
    <w:rsid w:val="4D667C64"/>
    <w:rsid w:val="4E734CA6"/>
    <w:rsid w:val="4FE43E11"/>
    <w:rsid w:val="4FE9035F"/>
    <w:rsid w:val="53BD34C7"/>
    <w:rsid w:val="55007146"/>
    <w:rsid w:val="551E0609"/>
    <w:rsid w:val="556B00DB"/>
    <w:rsid w:val="56253095"/>
    <w:rsid w:val="56D969DC"/>
    <w:rsid w:val="579F1B62"/>
    <w:rsid w:val="5986658F"/>
    <w:rsid w:val="5A1A21C5"/>
    <w:rsid w:val="5C26165C"/>
    <w:rsid w:val="5DEB6C03"/>
    <w:rsid w:val="61694015"/>
    <w:rsid w:val="639E0296"/>
    <w:rsid w:val="6CD233F7"/>
    <w:rsid w:val="6D063E8C"/>
    <w:rsid w:val="6D114B0E"/>
    <w:rsid w:val="6EA4177D"/>
    <w:rsid w:val="6F1A16E3"/>
    <w:rsid w:val="6F7624C9"/>
    <w:rsid w:val="7DE55C6E"/>
    <w:rsid w:val="7F186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853E8-9BD0-4BD8-A550-F9408876AF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15154</Words>
  <Characters>16622</Characters>
  <Lines>123</Lines>
  <Paragraphs>34</Paragraphs>
  <TotalTime>9</TotalTime>
  <ScaleCrop>false</ScaleCrop>
  <LinksUpToDate>false</LinksUpToDate>
  <CharactersWithSpaces>16639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2021-11-08T01:58:00Z</dcterms:created>
  <dc:creator>zhangminjun</dc:creator>
  <cp:lastModifiedBy>喻秋燕</cp:lastModifiedBy>
  <cp:lastPrinted>2007-06-27T06:13:00Z</cp:lastPrinted>
  <dcterms:modified xsi:type="dcterms:W3CDTF">2026-07-02T03:21:41Z</dcterms:modified>
  <dc:title>募集方案</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CCD66153D0E64FC0A15983FEA68288EC</vt:lpwstr>
  </property>
</Properties>
</file>