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交银施罗德医疗健康混合型发起式证券投资基金（A类份额）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交银医疗健康混合发起A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019345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2023-10-11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徐嘉辰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2023-10-11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2015-12-09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医疗健康主题相关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中证医药卫生指数收益率×70%+恒生指数收益率×5%+中证综合债券指数收益率×25%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详见《交银施罗德医疗健康混合型发起式证券投资基金招募说明书》“基金的投资”。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2、本基金合同于2023年10月11日生效，合同生效当年净值增长率按实际存续期计算。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投资主题风险：本基金投资于医疗健康主题相关股票的比例不低于非现金基金资产的80%，因此本基金的股票投资业绩与本基金界定的符合“医疗健康”主题界定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4）基金合同提前终止风险。1）本基金为发起式基金，《基金合同》生效之日起三年后的对应日，若基金资产净值低于2亿元，基金合同自动终止，且不得通过召开基金份额持有人大会的方式延续《基金合同》期限。2）《基金合同》生效三年后继续存续的，基金存续期内，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●《交银施罗德医疗健康混合型发起式证券投资基金基金合同》、</w:t>
      </w:r>
    </w:p>
    <w:p>
      <w:pPr>
        <w:ind w:firstLine="420"/>
        <w:jc w:val="left"/>
        <w:rPr>
          <w:rFonts w:ascii="仿宋_GB2312" w:eastAsia="仿宋_GB2312"/>
          <w:szCs w:val="21"/>
        </w:rPr>
      </w:pPr>
      <w:r>
        <w:rPr>
          <w:rFonts w:hint="eastAsia" w:ascii="仿宋_GB2312" w:eastAsia="仿宋_GB2312"/>
          <w:szCs w:val="21"/>
        </w:rPr>
        <w:t>《交银施罗德医疗健康混合型发起式证券投资基金托管协议》、</w:t>
      </w:r>
    </w:p>
    <w:p>
      <w:pPr>
        <w:ind w:firstLine="420"/>
        <w:jc w:val="left"/>
        <w:rPr>
          <w:rFonts w:ascii="仿宋_GB2312" w:eastAsia="仿宋_GB2312"/>
          <w:szCs w:val="21"/>
        </w:rPr>
      </w:pPr>
      <w:r>
        <w:rPr>
          <w:rFonts w:hint="eastAsia" w:ascii="仿宋_GB2312" w:eastAsia="仿宋_GB2312"/>
          <w:szCs w:val="21"/>
        </w:rPr>
        <w:t>《交银施罗德医疗健康混合型发起式证券投资基金招募说明书》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8C01ED"/>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B103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828</Words>
  <Characters>4725</Characters>
  <Lines>39</Lines>
  <Paragraphs>11</Paragraphs>
  <TotalTime>3</TotalTime>
  <ScaleCrop>false</ScaleCrop>
  <LinksUpToDate>false</LinksUpToDate>
  <CharactersWithSpaces>5542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2026-06-30T08:27:54Z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A7DC363AABFF4816BCC9A3961420AFB4</vt:lpwstr>
  </property>
</Properties>
</file>