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ED490F">
      <w:pPr>
        <w:rPr>
          <w:sz w:val="32"/>
        </w:rPr>
      </w:pPr>
    </w:p>
    <w:p w:rsidR="00C92FC0" w:rsidRPr="00EB07BC" w:rsidRDefault="00ED490F">
      <w:pPr>
        <w:rPr>
          <w:sz w:val="32"/>
        </w:rPr>
      </w:pPr>
    </w:p>
    <w:p w:rsidR="00C92FC0" w:rsidRPr="00EB07BC" w:rsidRDefault="00ED490F">
      <w:pPr>
        <w:rPr>
          <w:sz w:val="32"/>
        </w:rPr>
      </w:pPr>
    </w:p>
    <w:p w:rsidR="001A2559" w:rsidRDefault="001A255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A2559" w:rsidRDefault="001A255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A2559" w:rsidRDefault="001A255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A2559" w:rsidRDefault="00E41136">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交银施罗德医疗健康混合型发起式证券投资基金</w:t>
      </w:r>
    </w:p>
    <w:p w:rsidR="001A2559" w:rsidRDefault="00E41136">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1A2559" w:rsidRDefault="001A2559">
      <w:pPr>
        <w:snapToGrid w:val="0"/>
        <w:spacing w:line="360" w:lineRule="auto"/>
        <w:jc w:val="center"/>
        <w:rPr>
          <w:rFonts w:ascii="宋体" w:hAnsi="宋体"/>
          <w:b/>
          <w:sz w:val="30"/>
          <w:szCs w:val="30"/>
        </w:rPr>
      </w:pPr>
    </w:p>
    <w:p w:rsidR="001A2559" w:rsidRDefault="001A255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2559" w:rsidRDefault="001A255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2559" w:rsidRDefault="001A255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2559" w:rsidRDefault="001A255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2559" w:rsidRDefault="001A255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2559" w:rsidRDefault="001A255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2559" w:rsidRDefault="00E4113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1A2559" w:rsidRDefault="00E4113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基金托管人：兴业银行股份有限公司</w:t>
      </w:r>
    </w:p>
    <w:p w:rsidR="001A2559" w:rsidRDefault="001A255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2559" w:rsidRDefault="001A255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2559" w:rsidRDefault="00E41136">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1A2559" w:rsidRDefault="001A2559">
      <w:pPr>
        <w:autoSpaceDE w:val="0"/>
        <w:autoSpaceDN w:val="0"/>
        <w:adjustRightInd w:val="0"/>
        <w:snapToGrid w:val="0"/>
        <w:spacing w:line="360" w:lineRule="auto"/>
        <w:ind w:left="1347" w:rightChars="6" w:right="13"/>
        <w:rPr>
          <w:rFonts w:ascii="宋体" w:hAnsi="宋体"/>
          <w:kern w:val="0"/>
          <w:sz w:val="32"/>
          <w:szCs w:val="32"/>
        </w:rPr>
        <w:sectPr w:rsidR="001A255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1A2559" w:rsidRDefault="00E41136">
      <w:pPr>
        <w:pStyle w:val="1"/>
        <w:snapToGrid w:val="0"/>
        <w:spacing w:beforeLines="0" w:before="240" w:after="240"/>
        <w:rPr>
          <w:rFonts w:ascii="宋体" w:hAnsi="宋体"/>
          <w:kern w:val="0"/>
        </w:rPr>
      </w:pPr>
      <w:bookmarkStart w:id="0" w:name="_Toc324920538"/>
      <w:bookmarkStart w:id="1" w:name="_Toc496884613"/>
      <w:bookmarkStart w:id="2" w:name="_Toc234247833"/>
      <w:r>
        <w:rPr>
          <w:rFonts w:ascii="Times New Roman" w:hAnsi="Times New Roman"/>
          <w:kern w:val="0"/>
        </w:rPr>
        <w:lastRenderedPageBreak/>
        <w:t>重要提示</w:t>
      </w:r>
      <w:bookmarkEnd w:id="0"/>
      <w:bookmarkEnd w:id="1"/>
      <w:bookmarkEnd w:id="2"/>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交银施罗德医疗健康混合型发起式证券投资基金（以下简称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2023</w:t>
      </w:r>
      <w:r>
        <w:rPr>
          <w:rFonts w:ascii="Times New Roman" w:hAnsi="Times New Roman"/>
          <w:kern w:val="0"/>
          <w:sz w:val="24"/>
        </w:rPr>
        <w:t>】</w:t>
      </w:r>
      <w:r>
        <w:rPr>
          <w:rFonts w:ascii="Times New Roman" w:hAnsi="Times New Roman"/>
          <w:kern w:val="0"/>
          <w:sz w:val="24"/>
        </w:rPr>
        <w:t>1838</w:t>
      </w:r>
      <w:r>
        <w:rPr>
          <w:rFonts w:ascii="Times New Roman" w:hAnsi="Times New Roman"/>
          <w:kern w:val="0"/>
          <w:sz w:val="24"/>
        </w:rPr>
        <w:t>号文准予募集注册。本基金基金合同于</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日正式生效。</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股指期货的特定风险；投资资产支持证券的特定风险；投资流通受限证券的特定风险；投资港股通标的股票的特定风险；投资科创板股票的特定风险；投资存托凭证的特定风险；本基金法律文件风险收益特征表述与销售机构基金风险评价可能不一致的风险；投资本基金的其他风险等等。</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本基金是一只混合型基金，其预期风险和预期收益理论上高于债券型基金和货币市场基金，低于股票型基金。</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w:t>
      </w:r>
      <w:r>
        <w:rPr>
          <w:rFonts w:ascii="Times New Roman" w:hAnsi="Times New Roman"/>
          <w:kern w:val="0"/>
          <w:sz w:val="24"/>
        </w:rPr>
        <w:lastRenderedPageBreak/>
        <w:t>性风险、信用风险等风险，基金管理人将本着谨慎和控制风险的原则进行资产支持证券投资，请基金份额持有人关注包括投资资产支持证券可能导致的基金净值波动在内的各项风险。</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集中度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w:t>
      </w:r>
      <w:r>
        <w:rPr>
          <w:rFonts w:ascii="Times New Roman" w:hAnsi="Times New Roman"/>
          <w:kern w:val="0"/>
          <w:sz w:val="24"/>
        </w:rPr>
        <w:lastRenderedPageBreak/>
        <w:t>存托凭证或选择不将基金资产投资于存托凭证，基金资产并非必然投资存托凭证。</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本基金为发起式基金，《基金合同》生效之日起三年后的对应日，基金资产净值低于</w:t>
      </w:r>
      <w:r>
        <w:rPr>
          <w:rFonts w:ascii="Times New Roman" w:hAnsi="Times New Roman"/>
          <w:kern w:val="0"/>
          <w:sz w:val="24"/>
        </w:rPr>
        <w:t>2</w:t>
      </w:r>
      <w:r>
        <w:rPr>
          <w:rFonts w:ascii="Times New Roman" w:hAnsi="Times New Roman"/>
          <w:kern w:val="0"/>
          <w:sz w:val="24"/>
        </w:rPr>
        <w:t>亿元，或《基金合同》生效三年后继续存续的，基金存续期内，连续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本基金单一投资者（基金管理人、基金管理人高级管理人员或基金经理等人员作为发起资金提供方除外）持有基金份额数不得超过基金份额总数的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1A2559" w:rsidRDefault="00E4113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1A2559" w:rsidRDefault="001A2559">
      <w:pPr>
        <w:autoSpaceDE w:val="0"/>
        <w:autoSpaceDN w:val="0"/>
        <w:adjustRightInd w:val="0"/>
        <w:snapToGrid w:val="0"/>
        <w:spacing w:before="51" w:line="360" w:lineRule="auto"/>
        <w:ind w:left="120" w:rightChars="6" w:right="13" w:firstLine="480"/>
        <w:rPr>
          <w:rFonts w:ascii="宋体" w:hAnsi="宋体"/>
          <w:kern w:val="0"/>
          <w:szCs w:val="24"/>
        </w:rPr>
        <w:sectPr w:rsidR="001A2559">
          <w:headerReference w:type="default" r:id="rId14"/>
          <w:pgSz w:w="11920" w:h="16840"/>
          <w:pgMar w:top="1440" w:right="1680" w:bottom="280" w:left="1680" w:header="0" w:footer="1073" w:gutter="0"/>
          <w:pgNumType w:start="1"/>
          <w:cols w:space="720"/>
        </w:sectPr>
      </w:pPr>
    </w:p>
    <w:p w:rsidR="00ED490F" w:rsidRPr="00ED490F" w:rsidRDefault="00E41136" w:rsidP="00ED490F">
      <w:pPr>
        <w:pStyle w:val="ad"/>
        <w:snapToGrid w:val="0"/>
        <w:spacing w:after="240" w:line="360" w:lineRule="auto"/>
        <w:jc w:val="center"/>
        <w:rPr>
          <w:rFonts w:ascii="宋体" w:hAnsi="宋体"/>
          <w:noProof/>
          <w:sz w:val="24"/>
        </w:rPr>
      </w:pPr>
      <w:r w:rsidRPr="00ED490F">
        <w:rPr>
          <w:rFonts w:ascii="宋体" w:hAnsi="宋体"/>
          <w:color w:val="000000"/>
          <w:position w:val="-4"/>
          <w:sz w:val="24"/>
          <w:szCs w:val="30"/>
        </w:rPr>
        <w:lastRenderedPageBreak/>
        <w:t>目</w:t>
      </w:r>
      <w:r w:rsidRPr="00ED490F">
        <w:rPr>
          <w:rFonts w:ascii="宋体" w:hAnsi="宋体"/>
          <w:color w:val="000000"/>
          <w:position w:val="-4"/>
          <w:sz w:val="24"/>
          <w:szCs w:val="30"/>
        </w:rPr>
        <w:tab/>
        <w:t>录</w:t>
      </w:r>
      <w:r w:rsidR="00ED490F" w:rsidRPr="00ED490F">
        <w:rPr>
          <w:rFonts w:ascii="宋体" w:hAnsi="宋体"/>
          <w:color w:val="000000"/>
          <w:position w:val="-4"/>
          <w:sz w:val="24"/>
          <w:szCs w:val="30"/>
        </w:rPr>
        <w:fldChar w:fldCharType="begin"/>
      </w:r>
      <w:r w:rsidR="00ED490F" w:rsidRPr="00ED490F">
        <w:rPr>
          <w:rFonts w:ascii="宋体" w:hAnsi="宋体"/>
          <w:color w:val="000000"/>
          <w:position w:val="-4"/>
          <w:sz w:val="24"/>
          <w:szCs w:val="30"/>
        </w:rPr>
        <w:instrText xml:space="preserve"> TOC \o "1-3" \f - \h \t "-1" </w:instrText>
      </w:r>
      <w:r w:rsidR="00ED490F" w:rsidRPr="00ED490F">
        <w:rPr>
          <w:rFonts w:ascii="宋体" w:hAnsi="宋体"/>
          <w:color w:val="000000"/>
          <w:position w:val="-4"/>
          <w:sz w:val="24"/>
          <w:szCs w:val="30"/>
        </w:rPr>
        <w:fldChar w:fldCharType="separate"/>
      </w:r>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33" w:history="1">
        <w:r w:rsidRPr="00ED490F">
          <w:rPr>
            <w:rStyle w:val="aa"/>
            <w:rFonts w:ascii="宋体" w:hAnsi="宋体" w:hint="eastAsia"/>
            <w:noProof/>
            <w:kern w:val="0"/>
            <w:sz w:val="24"/>
          </w:rPr>
          <w:t>重要提示</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_Toc234247833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34" w:history="1">
        <w:r w:rsidRPr="00ED490F">
          <w:rPr>
            <w:rStyle w:val="aa"/>
            <w:rFonts w:ascii="宋体" w:hAnsi="宋体" w:hint="eastAsia"/>
            <w:noProof/>
            <w:sz w:val="24"/>
          </w:rPr>
          <w:t>一、绪言</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_Toc234247834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5</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35" w:history="1">
        <w:r w:rsidRPr="00ED490F">
          <w:rPr>
            <w:rStyle w:val="aa"/>
            <w:rFonts w:ascii="宋体" w:hAnsi="宋体" w:hint="eastAsia"/>
            <w:noProof/>
            <w:sz w:val="24"/>
          </w:rPr>
          <w:t>二、释义</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_Toc234247835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6</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36" w:history="1">
        <w:r w:rsidRPr="00ED490F">
          <w:rPr>
            <w:rStyle w:val="aa"/>
            <w:rFonts w:ascii="宋体" w:hAnsi="宋体" w:hint="eastAsia"/>
            <w:noProof/>
            <w:sz w:val="24"/>
          </w:rPr>
          <w:t>三、基金管理人</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_Toc234247836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11</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37" w:history="1">
        <w:r w:rsidRPr="00ED490F">
          <w:rPr>
            <w:rStyle w:val="aa"/>
            <w:rFonts w:ascii="宋体" w:hAnsi="宋体" w:hint="eastAsia"/>
            <w:noProof/>
            <w:sz w:val="24"/>
          </w:rPr>
          <w:t>四、基金托管人</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_Toc234247837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18</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38" w:history="1">
        <w:r w:rsidRPr="00ED490F">
          <w:rPr>
            <w:rStyle w:val="aa"/>
            <w:rFonts w:ascii="宋体" w:hAnsi="宋体" w:hint="eastAsia"/>
            <w:noProof/>
            <w:sz w:val="24"/>
          </w:rPr>
          <w:t>五、相关服务机构</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_Toc234247838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21</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39" w:history="1">
        <w:r w:rsidRPr="00ED490F">
          <w:rPr>
            <w:rStyle w:val="aa"/>
            <w:rFonts w:ascii="宋体" w:hAnsi="宋体" w:hint="eastAsia"/>
            <w:noProof/>
            <w:sz w:val="24"/>
          </w:rPr>
          <w:t>六、基金的募集</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_Toc234247839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42</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0" w:history="1">
        <w:r w:rsidRPr="00ED490F">
          <w:rPr>
            <w:rStyle w:val="aa"/>
            <w:rFonts w:ascii="宋体" w:hAnsi="宋体" w:hint="eastAsia"/>
            <w:noProof/>
            <w:sz w:val="24"/>
          </w:rPr>
          <w:t>七、基金合同的生效</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_Toc234247840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43</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1" w:history="1">
        <w:r w:rsidRPr="00ED490F">
          <w:rPr>
            <w:rStyle w:val="aa"/>
            <w:rFonts w:ascii="宋体" w:hAnsi="宋体" w:hint="eastAsia"/>
            <w:noProof/>
            <w:sz w:val="24"/>
          </w:rPr>
          <w:t>八、基金份额的申购与赎回</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_Toc234247841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44</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2" w:history="1">
        <w:r w:rsidRPr="00ED490F">
          <w:rPr>
            <w:rStyle w:val="aa"/>
            <w:rFonts w:ascii="宋体" w:hAnsi="宋体" w:hint="eastAsia"/>
            <w:noProof/>
            <w:sz w:val="24"/>
          </w:rPr>
          <w:t>九、基金的转换</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_Toc234247842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58</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3" w:history="1">
        <w:r w:rsidRPr="00ED490F">
          <w:rPr>
            <w:rStyle w:val="aa"/>
            <w:rFonts w:ascii="宋体" w:hAnsi="宋体" w:hint="eastAsia"/>
            <w:noProof/>
            <w:sz w:val="24"/>
          </w:rPr>
          <w:t>十、基金的投资</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_Toc234247843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65</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4" w:history="1">
        <w:r w:rsidRPr="00ED490F">
          <w:rPr>
            <w:rStyle w:val="aa"/>
            <w:rFonts w:ascii="宋体" w:hAnsi="宋体" w:hint="eastAsia"/>
            <w:noProof/>
            <w:sz w:val="24"/>
          </w:rPr>
          <w:t>十一、基金的业绩</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_Toc234247844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77</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5" w:history="1">
        <w:r w:rsidRPr="00ED490F">
          <w:rPr>
            <w:rStyle w:val="aa"/>
            <w:rFonts w:ascii="宋体" w:hAnsi="宋体" w:hint="eastAsia"/>
            <w:noProof/>
            <w:sz w:val="24"/>
          </w:rPr>
          <w:t>十二、基金的财产</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_Toc234247845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80</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6" w:history="1">
        <w:r w:rsidRPr="00ED490F">
          <w:rPr>
            <w:rStyle w:val="aa"/>
            <w:rFonts w:ascii="宋体" w:hAnsi="宋体" w:hint="eastAsia"/>
            <w:noProof/>
            <w:sz w:val="24"/>
          </w:rPr>
          <w:t>十三、基金资产的估值</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_Toc234247846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81</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7" w:history="1">
        <w:r w:rsidRPr="00ED490F">
          <w:rPr>
            <w:rStyle w:val="aa"/>
            <w:rFonts w:ascii="宋体" w:hAnsi="宋体" w:hint="eastAsia"/>
            <w:noProof/>
            <w:sz w:val="24"/>
          </w:rPr>
          <w:t>十四、基金收益与分配</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_Toc234247847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87</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8" w:history="1">
        <w:r w:rsidRPr="00ED490F">
          <w:rPr>
            <w:rStyle w:val="aa"/>
            <w:rFonts w:ascii="宋体" w:hAnsi="宋体" w:hint="eastAsia"/>
            <w:noProof/>
            <w:sz w:val="24"/>
          </w:rPr>
          <w:t>十五、基金的费用与税收</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_Toc234247848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89</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49" w:history="1">
        <w:r w:rsidRPr="00ED490F">
          <w:rPr>
            <w:rStyle w:val="aa"/>
            <w:rFonts w:ascii="宋体" w:hAnsi="宋体" w:hint="eastAsia"/>
            <w:noProof/>
            <w:sz w:val="24"/>
          </w:rPr>
          <w:t>十六、基金的会计与审计</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_Toc234247849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92</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0" w:history="1">
        <w:r w:rsidRPr="00ED490F">
          <w:rPr>
            <w:rStyle w:val="aa"/>
            <w:rFonts w:ascii="宋体" w:hAnsi="宋体" w:hint="eastAsia"/>
            <w:noProof/>
            <w:sz w:val="24"/>
          </w:rPr>
          <w:t>十七、基金的信息披露</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_Toc234247850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93</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1" w:history="1">
        <w:r w:rsidRPr="00ED490F">
          <w:rPr>
            <w:rStyle w:val="aa"/>
            <w:rFonts w:ascii="宋体" w:hAnsi="宋体" w:hint="eastAsia"/>
            <w:noProof/>
            <w:sz w:val="24"/>
          </w:rPr>
          <w:t>十八、侧袋机制</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_Toc234247851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100</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2" w:history="1">
        <w:r w:rsidRPr="00ED490F">
          <w:rPr>
            <w:rStyle w:val="aa"/>
            <w:rFonts w:ascii="宋体" w:hAnsi="宋体" w:hint="eastAsia"/>
            <w:noProof/>
            <w:sz w:val="24"/>
          </w:rPr>
          <w:t>十九、风险揭示</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_Toc234247852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103</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3" w:history="1">
        <w:r w:rsidRPr="00ED490F">
          <w:rPr>
            <w:rStyle w:val="aa"/>
            <w:rFonts w:ascii="宋体" w:hAnsi="宋体" w:hint="eastAsia"/>
            <w:noProof/>
            <w:sz w:val="24"/>
          </w:rPr>
          <w:t>二十、基金合同的变更、终止与基金财产的清算</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_Toc234247853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113</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4" w:history="1">
        <w:r w:rsidRPr="00ED490F">
          <w:rPr>
            <w:rStyle w:val="aa"/>
            <w:rFonts w:ascii="宋体" w:hAnsi="宋体" w:hint="eastAsia"/>
            <w:noProof/>
            <w:sz w:val="24"/>
          </w:rPr>
          <w:t>二十一、基金合同内容摘要</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_Toc234247854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115</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5" w:history="1">
        <w:r w:rsidRPr="00ED490F">
          <w:rPr>
            <w:rStyle w:val="aa"/>
            <w:rFonts w:ascii="宋体" w:hAnsi="宋体" w:hint="eastAsia"/>
            <w:noProof/>
            <w:sz w:val="24"/>
          </w:rPr>
          <w:t>二十二、托管协议的内容摘要</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_Toc234247855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132</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6" w:history="1">
        <w:r w:rsidRPr="00ED490F">
          <w:rPr>
            <w:rStyle w:val="aa"/>
            <w:rFonts w:ascii="宋体" w:hAnsi="宋体" w:hint="eastAsia"/>
            <w:noProof/>
            <w:sz w:val="24"/>
          </w:rPr>
          <w:t>二十三、对基金份额持有人的服务</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_Toc234247856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154</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7" w:history="1">
        <w:r w:rsidRPr="00ED490F">
          <w:rPr>
            <w:rStyle w:val="aa"/>
            <w:rFonts w:ascii="宋体" w:hAnsi="宋体" w:hint="eastAsia"/>
            <w:noProof/>
            <w:sz w:val="24"/>
          </w:rPr>
          <w:t>二十四、其他应披露事项</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_Toc234247857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156</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8" w:history="1">
        <w:r w:rsidRPr="00ED490F">
          <w:rPr>
            <w:rStyle w:val="aa"/>
            <w:rFonts w:ascii="宋体" w:hAnsi="宋体" w:hint="eastAsia"/>
            <w:noProof/>
            <w:sz w:val="24"/>
          </w:rPr>
          <w:t>二十五、招募说明书的存放及查阅方式</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_Toc234247858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158</w:t>
        </w:r>
        <w:r w:rsidRPr="00ED490F">
          <w:rPr>
            <w:rFonts w:ascii="宋体" w:hAnsi="宋体"/>
            <w:noProof/>
            <w:sz w:val="24"/>
          </w:rPr>
          <w:fldChar w:fldCharType="end"/>
        </w:r>
      </w:hyperlink>
    </w:p>
    <w:p w:rsidR="00ED490F" w:rsidRPr="00ED490F" w:rsidRDefault="00ED490F" w:rsidP="00ED490F">
      <w:pPr>
        <w:pStyle w:val="10"/>
        <w:tabs>
          <w:tab w:val="right" w:leader="dot" w:pos="8550"/>
        </w:tabs>
        <w:spacing w:line="360" w:lineRule="auto"/>
        <w:rPr>
          <w:rFonts w:ascii="宋体" w:hAnsi="宋体" w:cstheme="minorBidi"/>
          <w:noProof/>
          <w:sz w:val="24"/>
        </w:rPr>
      </w:pPr>
      <w:hyperlink w:anchor="_Toc234247859" w:history="1">
        <w:r w:rsidRPr="00ED490F">
          <w:rPr>
            <w:rStyle w:val="aa"/>
            <w:rFonts w:ascii="宋体" w:hAnsi="宋体" w:hint="eastAsia"/>
            <w:noProof/>
            <w:sz w:val="24"/>
          </w:rPr>
          <w:t>二十六、备查文件</w:t>
        </w:r>
        <w:r w:rsidRPr="00ED490F">
          <w:rPr>
            <w:rFonts w:ascii="宋体" w:hAnsi="宋体"/>
            <w:noProof/>
            <w:sz w:val="24"/>
          </w:rPr>
          <w:tab/>
        </w:r>
        <w:r w:rsidRPr="00ED490F">
          <w:rPr>
            <w:rFonts w:ascii="宋体" w:hAnsi="宋体"/>
            <w:noProof/>
            <w:sz w:val="24"/>
          </w:rPr>
          <w:fldChar w:fldCharType="begin"/>
        </w:r>
        <w:r w:rsidRPr="00ED490F">
          <w:rPr>
            <w:rFonts w:ascii="宋体" w:hAnsi="宋体"/>
            <w:noProof/>
            <w:sz w:val="24"/>
          </w:rPr>
          <w:instrText xml:space="preserve"> PAGEREF _Toc234247859 \h </w:instrText>
        </w:r>
        <w:r w:rsidRPr="00ED490F">
          <w:rPr>
            <w:rFonts w:ascii="宋体" w:hAnsi="宋体"/>
            <w:noProof/>
            <w:sz w:val="24"/>
          </w:rPr>
        </w:r>
        <w:r w:rsidRPr="00ED490F">
          <w:rPr>
            <w:rFonts w:ascii="宋体" w:hAnsi="宋体"/>
            <w:noProof/>
            <w:sz w:val="24"/>
          </w:rPr>
          <w:fldChar w:fldCharType="separate"/>
        </w:r>
        <w:r w:rsidRPr="00ED490F">
          <w:rPr>
            <w:rFonts w:ascii="宋体" w:hAnsi="宋体"/>
            <w:noProof/>
            <w:sz w:val="24"/>
          </w:rPr>
          <w:t>159</w:t>
        </w:r>
        <w:r w:rsidRPr="00ED490F">
          <w:rPr>
            <w:rFonts w:ascii="宋体" w:hAnsi="宋体"/>
            <w:noProof/>
            <w:sz w:val="24"/>
          </w:rPr>
          <w:fldChar w:fldCharType="end"/>
        </w:r>
      </w:hyperlink>
    </w:p>
    <w:p w:rsidR="001A2559" w:rsidRPr="00ED490F" w:rsidRDefault="00ED490F" w:rsidP="00ED490F">
      <w:pPr>
        <w:pStyle w:val="ad"/>
        <w:snapToGrid w:val="0"/>
        <w:spacing w:after="240" w:line="360" w:lineRule="auto"/>
        <w:jc w:val="center"/>
        <w:rPr>
          <w:rFonts w:ascii="宋体" w:hAnsi="宋体"/>
          <w:color w:val="000000"/>
          <w:sz w:val="24"/>
        </w:rPr>
      </w:pPr>
      <w:r w:rsidRPr="00ED490F">
        <w:rPr>
          <w:rFonts w:ascii="宋体" w:hAnsi="宋体"/>
          <w:color w:val="000000"/>
          <w:position w:val="-4"/>
          <w:sz w:val="24"/>
          <w:szCs w:val="30"/>
        </w:rPr>
        <w:fldChar w:fldCharType="end"/>
      </w:r>
      <w:bookmarkStart w:id="3" w:name="_GoBack"/>
      <w:bookmarkEnd w:id="3"/>
    </w:p>
    <w:p w:rsidR="001A2559" w:rsidRDefault="001A2559">
      <w:pPr>
        <w:autoSpaceDE w:val="0"/>
        <w:autoSpaceDN w:val="0"/>
        <w:adjustRightInd w:val="0"/>
        <w:snapToGrid w:val="0"/>
        <w:spacing w:line="360" w:lineRule="auto"/>
        <w:ind w:left="120" w:rightChars="6" w:right="13"/>
        <w:rPr>
          <w:rFonts w:ascii="宋体" w:hAnsi="宋体"/>
          <w:kern w:val="0"/>
          <w:szCs w:val="24"/>
        </w:rPr>
        <w:sectPr w:rsidR="001A2559">
          <w:pgSz w:w="11920" w:h="16840"/>
          <w:pgMar w:top="1480" w:right="1680" w:bottom="280" w:left="1680" w:header="0" w:footer="1073" w:gutter="0"/>
          <w:cols w:space="720"/>
        </w:sectPr>
      </w:pPr>
    </w:p>
    <w:p w:rsidR="001A2559" w:rsidRDefault="00E41136">
      <w:pPr>
        <w:pStyle w:val="1"/>
        <w:snapToGrid w:val="0"/>
        <w:spacing w:beforeLines="0" w:before="240" w:after="240"/>
        <w:rPr>
          <w:rFonts w:ascii="宋体" w:hAnsi="宋体"/>
          <w:szCs w:val="30"/>
        </w:rPr>
      </w:pPr>
      <w:bookmarkStart w:id="4" w:name="_Toc234247834"/>
      <w:r>
        <w:rPr>
          <w:rFonts w:ascii="Times New Roman" w:hAnsi="Times New Roman"/>
          <w:sz w:val="30"/>
        </w:rPr>
        <w:lastRenderedPageBreak/>
        <w:t>一、绪言</w:t>
      </w:r>
      <w:bookmarkEnd w:id="4"/>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医疗健康混合型发起式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医疗健康混合型发起式证券投资基金基金合同》（以下简称“基金合同”）编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5" w:name="_Toc234247835"/>
      <w:r>
        <w:rPr>
          <w:rFonts w:ascii="Times New Roman" w:hAnsi="Times New Roman"/>
          <w:sz w:val="30"/>
        </w:rPr>
        <w:lastRenderedPageBreak/>
        <w:t>二、释义</w:t>
      </w:r>
      <w:bookmarkEnd w:id="5"/>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1、基金或本基金：指交银施罗德医疗健康混合型发起式证券投资基金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3、基金托管人：指兴业银行股份有限公司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4、基金合同或《基金合同》：指《交银施罗德医疗健康混合型发起式证券投资基金基金合同》及对基金合同的任何有效修订和补充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5、托管协议：指基金管理人与基金托管人就本基金签订之《交银施罗德医疗健康混合型发起式证券投资基金托管协议》及对该托管协议的任何有效修订和补充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6、招募说明书、《招募说明书》或本招募说明书：指《交银施罗德医疗健康混合型发起式证券投资基金招募说明书》及其更新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7、基金产品资料概要：指《交银施罗德医疗健康混合型发起式证券投资基金基金产品资料概要》及其更新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8、基金份额发售公告：指《交银施罗德医疗健康混合型发起式证券投资基金基金份额发售公告》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16、银行业监督管理机构：指中国人民银行和/或国家金融监督管理总局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17、基金合同当事人：指受基金合同约束，根据基金合同享有权利并承担义务的法律主体，包括基金管理人、基金托管人和基金份额持有人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21、投资人、投资者：指个人投资者、机构投资者、合格境外投资者、发起资金提供方以及法律法规或中国证监会允许购买证券投资基金的其他投资人的合称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w:t>
      </w:r>
      <w:r>
        <w:rPr>
          <w:rFonts w:ascii="宋体" w:hAnsi="宋体"/>
          <w:sz w:val="24"/>
        </w:rPr>
        <w:lastRenderedPageBreak/>
        <w:t>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38、《业务规则》：指中国证券登记结算有限责任公司相关业务规则及其不时做出的修订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45、巨额赎回：指本基金单个开放日，基金净赎回申请（赎回申请份额总数加</w:t>
      </w:r>
      <w:r>
        <w:rPr>
          <w:rFonts w:ascii="宋体" w:hAnsi="宋体"/>
          <w:sz w:val="24"/>
        </w:rPr>
        <w:lastRenderedPageBreak/>
        <w:t>上基金转换中转出申请份额总数后扣除申购申请份额总数及基金转换中转入申请份额总数后的余额）超过上一开放日基金总份额的10%的情形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49、基金资产净值：指基金资产总值减去基金负债后的价值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50、基金份额净值：指计算日基金资产净值除以计算日基金份额总数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51、基金资产估值：指计算评估基金资产和负债的价值，以确定基金资产净值和基金份额净值的过程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52、港股通：指内地投资者委托内地证券公司，经由内地证券交易所在香港设立的证券交易服务公司，向香港联合交易所进行申报，买卖规定范围内的香港联合交易所上市的股票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54、A类基金份额：指在投资人认购/申购时收取认购/申购费用、赎回时收取赎回费用且不从本类别基金资产中计提销售服务费的基金份额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55、C类基金份额：指在投资人认购/申购时不收取认购/申购费用、赎回时收取赎回费用，并从本类别基金资产中计提销售服务费的基金份额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发起式基金：指符合《运作办法》和中国证监会规定的相关条件而募集、运作，由基金管理人、基金管理人股东、基金管理人高级管理人员或基金经理（指基金管理人员工中依法具有基金经理资格者，包括但不限于本基金的基金经理，下同）等人员承诺认购一定金额并持有一定期限的证券投资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发起资金：指基金管理人的股东资金、基金管理人固有资金、基金管理人高级管理人员或基金经理等人员参与认购的资金。发起资金认购本基金的金额不低于1000万元人民币，且发起资金认购的基金份额持有期限自基金合同生效日起不低于三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58、发起资金提供方：指以发起资金认购本基金且承诺以发起资金认购的基金份额持有期限自基金合同生效之日起不少于三年的基金管理人股东、基金管理人、</w:t>
      </w:r>
      <w:r>
        <w:rPr>
          <w:rFonts w:ascii="宋体" w:hAnsi="宋体"/>
          <w:sz w:val="24"/>
        </w:rPr>
        <w:lastRenderedPageBreak/>
        <w:t>基金管理人高级管理人员或基金经理等人员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59、规定媒介：指符合中国证监会规定条件的用以进行信息披露的全国性报刊及《信息披露办法》规定的互联网网站（包括基金管理人网站、基金托管人网站、中国证监会基金电子披露网站）等媒介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64、不可抗力：指基金合同当事人不能预见、不能避免且不能克服的客观事件</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6" w:name="_Toc234247836"/>
      <w:r>
        <w:rPr>
          <w:rFonts w:ascii="Times New Roman" w:hAnsi="Times New Roman"/>
          <w:sz w:val="30"/>
        </w:rPr>
        <w:lastRenderedPageBreak/>
        <w:t>三、基金管理人</w:t>
      </w:r>
      <w:bookmarkEnd w:id="6"/>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徐嘉辰先生:澳门大学医药管理硕士、中国药科大学药学学士。11年证券投资行业从业经验。曾任安信证券研究中心医药行业分析师，泰康资产管理有限责任公司医药行业研究员。2018年加入交银施罗德基金管理有限公司，曾任行业分析师，现任基金经理。现任交银施罗德医疗健康混合型发起式证券投资基金(2023年10月11日至今)、交银施罗德均衡成长一年持有期混合型证券投资基金(2025年09月11日至今)的基金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11、以基金管理人名义，代表基金份额持有人利益行使诉讼权利或者实施其他法律行为；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（1）健全性原则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w:t>
      </w:r>
      <w:r>
        <w:rPr>
          <w:rFonts w:ascii="宋体" w:hAnsi="宋体"/>
          <w:sz w:val="24"/>
        </w:rPr>
        <w:lastRenderedPageBreak/>
        <w:t>会报告的其他情形等。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建立、健全了岗位责任制，使每个员工都明确自己的任务、职责，并及时将各自工作领域中的风险隐患上报，以防范和减少风险。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7" w:name="_Toc234247837"/>
      <w:r>
        <w:rPr>
          <w:rFonts w:ascii="Times New Roman" w:hAnsi="Times New Roman"/>
          <w:sz w:val="30"/>
        </w:rPr>
        <w:lastRenderedPageBreak/>
        <w:t>四、基金托管人</w:t>
      </w:r>
      <w:bookmarkEnd w:id="7"/>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名称：兴业银行股份有限公司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办公地址：上海市银城路167号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成立日期：1988年8月22日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批准设立机关和批准设立文号：中国人民银行总行，银复[1988]347号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基金托管业务批准文号：中国证监会证监基金字[2005]74号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注册资本：207.74亿元人民币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2、发展概况及财务状况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成立于1988年8月，是经国务院、中国人民银行批准成立的首批股份制商业银行之一，总行设在福建省福州市，2007年2月5日正式在上海证券交易所挂牌上市（股票代码：601166），注册资本207.74亿元。截至2025年12月31日，兴业银行资产总额达到11.09万亿元，较上年末增长5.58%。开业三十多年来，兴业银行始终坚持“真诚服务，相伴成长”的经营理念，致力于为客户提供全面、优质、高效的金融服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（二）托管业务部部门设置及员工情况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兴业银行股份有限公司总行设资产托管部，下设综合管理处、证券基金处、信托保险处、理财私募处、需求支持处、稽核监察处、投资监督处、运行管理处，共有员工100余人，业务岗位人员均具有基金从业资格。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股份有限公司于2005年4月26日取得基金托管资格。基金托管业务批准文号：证监基金字[2005]74号。截至2026年3月31日，兴业银行共托管证券投资基金883只，托管基金的基金资产净值合计29120.24亿元，基金份额合计25214.35</w:t>
      </w:r>
      <w:r>
        <w:rPr>
          <w:rFonts w:ascii="宋体" w:hAnsi="宋体"/>
          <w:sz w:val="24"/>
        </w:rPr>
        <w:lastRenderedPageBreak/>
        <w:t>亿份。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资产的安全完整，确保有关信息的真实、准确、完整、及时，保护基金份额持有人的合法权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基金托管业务内部控制组织架构由总行内部控制委员会、总行风险管理部门、总行审计部、总行资产托管部、总行运营管理部及分行托管运营机构共同组成。各级内部控制组织依照本行相关制度对本行托管业务风险管理和内部控制实施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（1）全面性原则：内部控制贯穿资产托管业务的全过程，覆盖各项业务和产品，以及从事资产托管业务的各机构和从业人员；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（2）重要性原则：内部控制应当在全面控制的基础上，关注重要业务事项和高风险领域；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（3）独立性原则：开展托管业务的部门和岗位的设置应权责分明、相对独立、相互制衡；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（4）审慎性原则：内控与风险管理必须以防范风险，保证托管资产的安全与完整为出发点，“内控优先”，“制度优先”，审慎发展资产托管业务；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（5）制衡性原则：内部控制应当在治理结构、机构设置及权责分配、业务流程等方面形成相互制约、相互监督，同时兼顾运营效率；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适应性原则：内部控制体系应同所处的环境相适应，以合理的成本实现内控目标，内部制度的制订应当具有前瞻性，并应当根据国家政策、法律及经营管理的需要，适时进行相应修改和完善；内部控制存在的问题应当能够得到及时反馈和纠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（7）成本效益原则：内部控制应当权衡实施成本与预期效益，以适当的成本实现有效控制。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4、内部控制制度及措施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（1）制度建设：建立了明确的岗位职责、科学的业务流程、详细的操作手</w:t>
      </w:r>
      <w:r>
        <w:rPr>
          <w:rFonts w:ascii="宋体" w:hAnsi="宋体"/>
          <w:sz w:val="24"/>
        </w:rPr>
        <w:lastRenderedPageBreak/>
        <w:t>册、严格的人员行为规范等一系列规章制度。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（2）建立健全的组织管理结构：前后台分离，不同部门、岗位相互牵制。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（3）风险识别与评估：稽核监察处指导业务处室进行风险识别、评估，制定并实施风险控制措施。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（4）相对独立的业务操作空间：业务操作区相对独立，实施门禁管理和音像监控。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（5）人员管理：进行定期的业务与职业道德培训，使员工树立风险防范与控制理念，并签订承诺书。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（6）应急预案：制定完备的《应急预案》，并组织员工定期演练；建立异地灾备中心，保证业务不中断。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基金法》、《运作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基金托管人发现基金管理人有重大违规行为，立即报告中国证监会，同时，通知基金管理人限期纠正，并将纠正结果报告中国证监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基金托管人发现基金管理人的指令违反法律、行政法规和其他有关规定，或者违反基金合同约定的，应当拒绝执行，立即通知基金管理人，并及时向中国证监会报告。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8" w:name="_Toc234247838"/>
      <w:r>
        <w:rPr>
          <w:rFonts w:ascii="Times New Roman" w:hAnsi="Times New Roman"/>
          <w:sz w:val="30"/>
        </w:rPr>
        <w:lastRenderedPageBreak/>
        <w:t>五、相关服务机构</w:t>
      </w:r>
      <w:bookmarkEnd w:id="8"/>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（1）名称：兴业银行股份有限公司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（2）名称：交通银行股份有限公司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办公地址：上海市浦东新区银城中路188号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（5）名称：中国银河证券股份有限公司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客户服务电话：400-888-8888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（6）名称：中国中金财富证券有限公司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（7）名称：西部证券股份有限公司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（8）名称：国投证券股份有限公司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（9）名称：中信建投证券股份有限公司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法定代表人：刘成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（10）名称：东方财富证券股份有限公司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（11）名称：国信证券股份有限公司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（12）名称：兴业证券股份有限公司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客户服务电话：95562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（13）名称：华宝证券股份有限公司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（14）名称：招商证券股份有限公司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（15）名称：国新证券股份有限公司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（16）名称：国金证券股份有限公司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办公地址：成都市东城根上街95号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（17）名称：华泰证券股份有限公司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（18）名称：东莞证券股份有限公司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（19）名称：中信证券（山东）有限责任公司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联系人：赵如意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（21）名称：中信证券华南股份有限公司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（22）名称：国泰海通证券股份有限公司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（23）名称：深圳市新兰德证券投资咨询有限公司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办公地址：北京市西城区金融大街35号国际企业大厦C座9层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（24）名称：济安财富（北京）基金销售有限公司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（25）名称：博时财富基金销售有限公司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（26）名称：大连网金基金销售有限公司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传真：（0411-39027835）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（27）名称：阳光人寿保险股份有限公司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（28）名称：玄元保险代理有限公司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（29）名称：上海大智慧基金销售有限公司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（30）名称：和耕传承基金销售有限公司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（31）名称：腾安基金销售（深圳）有限公司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（32）名称：珠海盈米基金销售有限公司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（33）名称：北京度小满基金销售有限公司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法定代表人：葛新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（34）名称：南京苏宁基金销售有限公司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（35）名称：嘉实财富管理有限公司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（36）名称：北京汇成基金销售有限公司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传真：（010）62680827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（37）名称：上海利得基金销售有限公司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（38）名称：上海挖财基金销售有限公司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（39）名称：万家财富基金销售（天津）有限公司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客户服务电话：010-59013895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（40）名称：上海万得基金销售有限公司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（41）名称：格上富信投资顾问有限公司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（42）名称：深圳市金斧子基金销售有限公司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（43）名称：北京雪球基金销售有限公司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住所：北京市朝阳区创远路 34 号院6号楼15层1501室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（44）名称：上海证达通基金销售有限公司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（45）名称：北京创金启富基金销售有限公司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（46）名称：奕丰基金销售有限公司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法定代表人：TEO WEE HOWE</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（47）名称：上海天天基金销售有限公司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（48）名称：和讯信息科技有限公司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（49）名称：诺亚正行基金销售有限公司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（50）名称：上海好买基金销售有限公司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（51）名称：上海长量基金销售有限公司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（52）名称：深圳众禄基金销售股份有限公司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（53）名称：上海基煜基金销售有限公司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住所：上海市崇明县长兴镇路潘园公路1800号2号楼6153室（上海泰和经济发展区）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（54）名称：浙江同花顺基金销售有限公司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（55）名称：宜信普泽（北京）基金销售有限公司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（56）名称：上海联泰基金销售有限公司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法定代表人：尹彬彬</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（57）名称：泛华普益基金销售有限公司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（58）名称：上海中欧财富基金销售有限公司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（59）名称：深圳前海微众银行股份有限公司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（60）名称：中信期货有限公司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（61）名称：北京新浪仓石基金销售有限公司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（62）名称：蚂蚁（杭州）基金销售有限公司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传真：（0571）26698533</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（63）名称：京东肯特瑞基金销售有限公司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传真：（021）31358600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9" w:name="_Toc234247839"/>
      <w:r>
        <w:rPr>
          <w:rFonts w:ascii="Times New Roman" w:hAnsi="Times New Roman"/>
          <w:sz w:val="30"/>
        </w:rPr>
        <w:lastRenderedPageBreak/>
        <w:t>六、基金的募集</w:t>
      </w:r>
      <w:bookmarkEnd w:id="9"/>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本基金由基金管理人依照《基金法》、《运作办法》、《销售办法》、基金合同及其他有关规定，并经中国证监会2023年8月21日证监许可【2023】1838号文准予募集注册。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本基金2023年9月11日至2023年9月28日进行发售，本基金设立募集期共募集119,287,292.75份基金份额，有效认购户数为1,177户。</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0" w:name="_Toc234247840"/>
      <w:r>
        <w:rPr>
          <w:rFonts w:ascii="Times New Roman" w:hAnsi="Times New Roman"/>
          <w:sz w:val="30"/>
        </w:rPr>
        <w:lastRenderedPageBreak/>
        <w:t>七、基金合同的生效</w:t>
      </w:r>
      <w:bookmarkEnd w:id="10"/>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根据有关规定，本基金满足基金合同生效条件，基金合同已于2023年10月11日正式生效。自基金合同生效之日起，本基金管理人正式开始管理本基金。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1" w:name="_Toc234247841"/>
      <w:r>
        <w:rPr>
          <w:rFonts w:ascii="Times New Roman" w:hAnsi="Times New Roman"/>
          <w:sz w:val="30"/>
        </w:rPr>
        <w:lastRenderedPageBreak/>
        <w:t>八、基金份额的申购与赎回</w:t>
      </w:r>
      <w:bookmarkEnd w:id="11"/>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本基金已于2023年11月27日起开放申购业务。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本基金已于2024年1月8日起开放赎回业务。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w:t>
      </w:r>
      <w:r>
        <w:rPr>
          <w:rFonts w:ascii="宋体" w:hAnsi="宋体"/>
          <w:sz w:val="24"/>
        </w:rPr>
        <w:lastRenderedPageBreak/>
        <w:t>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基金交易账户保留的本基金份额余额少于1份时，若当日该账户同时有基金份额减少类业务（如赎回、转换出等）被确认，则基金管理人有权将投资人在该账户保留的本基金份额一次性全部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4、基金管理人可以规定本基金的总规模限额、单个投资人累计持有的基金份额上限，具体规定请参见相关公告。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w:t>
      </w:r>
      <w:r>
        <w:rPr>
          <w:rFonts w:ascii="宋体" w:hAnsi="宋体"/>
          <w:sz w:val="24"/>
        </w:rPr>
        <w:lastRenderedPageBreak/>
        <w:t>基金份额时，申购生效。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本基金A类基金份额的申购费用由申购A类基金份额的基金申购人承担，不列入基金财产，主要用于本基金的市场推广、销售、登记等各项费用。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投资人可以多次申购本基金，A类基金份额的申购费用按A类基金份额每笔申购申请单独计算。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A255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1A255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2559" w:rsidRDefault="001A255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A255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2559" w:rsidRDefault="001A255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1A255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2559" w:rsidRDefault="001A255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1A255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2559" w:rsidRDefault="001A255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1A255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2559" w:rsidRDefault="001A255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A255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1A255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2559" w:rsidRDefault="001A255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A255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2559" w:rsidRDefault="001A255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1A255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2559" w:rsidRDefault="001A255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的有效赎回份额乘以当日该类基金份额的基金份额净值并扣除相应的费用（如有），赎回金额单位为元。赎回金额计算结果按四舍五入方法，保留到小数点后2位，由此产生的收益或损失由基金财产承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本基金采用金额申购的方式。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申购份额=净申购金额/T日A类基金份额净值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例四：某投资者（非养老金客户）投资40,000.00元申购本基金A类基金份额，假设申购当日A类基金份额净值为1.0400元，申购费率为1.5%，则其可得到的申购份额为：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净申购金额=40,000.00/（1+1.5%）=39,408.87元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申购费用=40,000.00-39,408.87=591.13元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申购份额=39,408.87/1.0400=37,893.14份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即：该投资者（非养老金客户）投资40,000.00元申购本基金A类基金份额，假设申购当日A类基金份额净值为1.0400元，则其可得到37,893.14份A类基金份额。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例五：某养老金客户投资1,000,000.00元通过基金管理人的直销柜台申购本基金A类基金份额，假设申购当日A类基金份额净值为1.0400元，申购费率为0.6%，则其可得到的申购份额为：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净申购金额=1,000,000/（1+0.6%）= 994,035.79元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申购费用=1,000,000- 994,035.79 = 5,964.21元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申购份额=994,035.79/1.0400= 955,803.64份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即：该养老金客户投资1,000,000.00元通过基金管理人的直销柜台申购本基金A类基金份额，假设申购当日A类基金份额净值为1.0400元，则其可得到955,803.64份A类基金份额。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申购份额＝100,000.00/1.0400＝96,153.85份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本基金采用“份额赎回”的方式。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例七：某投资者赎回持有的10,000.00份A类基金份额，持有期限为30日，对应的赎回费率为0.5%，假设赎回当日A类基金份额净值是1.0160元，则其可得到的赎</w:t>
      </w:r>
      <w:r>
        <w:rPr>
          <w:rFonts w:ascii="宋体" w:hAnsi="宋体"/>
          <w:sz w:val="24"/>
        </w:rPr>
        <w:lastRenderedPageBreak/>
        <w:t>回金额为：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赎回费用=10,000.00×1.0160×0.5%＝50.80元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即：该投资者赎回本基金10,000.00份A类基金份额，持有期限为30日，对应的赎回费率为0.5%，假设赎回当日A类基金份额净值是1.0160元，则其可得到的赎回金额为10,109.20元。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例八：某投资者赎回持有的10,000.00份C类基金份额，持有时间为20日，对应的赎回费率为0.5%，假设赎回当日C类基金份额净值是1.0160元，则其可得到的赎回金额为：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赎回费用=10,000.00×1.0160×0.5%＝50.80元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即：该投资者赎回本基金10,000份C类基金份额，持有时间为20日，对应的赎回费率为0.5%，假设赎回当日C类基金份额净值是1.0160元，则其可得到的赎回金额为10,109.20元。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2、发生基金合同规定的暂停基金资产估值情况时，基金管理人可暂停接受投资人的申购申请。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基金管理人、基金管理人高级管理人员或基金经理等人员作为发起资金提供方除外）持有基金份额的比例超过50%，或者变相规避50%集中度的。出现上述情形时，基金管理人有权将上述申购申请全部或部分确认失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w:t>
      </w:r>
      <w:r>
        <w:rPr>
          <w:rFonts w:ascii="宋体" w:hAnsi="宋体"/>
          <w:sz w:val="24"/>
        </w:rPr>
        <w:lastRenderedPageBreak/>
        <w:t>理人可暂停接受基金份额持有人的赎回申请。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w:t>
      </w:r>
      <w:r>
        <w:rPr>
          <w:rFonts w:ascii="宋体" w:hAnsi="宋体"/>
          <w:sz w:val="24"/>
        </w:rPr>
        <w:lastRenderedPageBreak/>
        <w:t>依照《信息披露办法》的有关规定，最迟于重新开放日在规定媒介上刊登重新开放申购或赎回的公告；也可以根据实际情况在暂停公告中明确重新开放申购或赎回的时间，届时不再另行发布重新开放的公告。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本基金2023年11月24日刊登公告自2023年11月27日起开通定期定额投资计划业务，具体开通销售机构名单和业务规则参见相关公告。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w:t>
      </w:r>
      <w:r>
        <w:rPr>
          <w:rFonts w:ascii="宋体" w:hAnsi="宋体"/>
          <w:sz w:val="24"/>
        </w:rPr>
        <w:lastRenderedPageBreak/>
        <w:t>金份额的过户登记。基金管理人拟受理基金份额转让业务的，将提前公告，基金份额持有人应根据基金管理人公告的业务规则办理基金份额转让业务。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2" w:name="_Toc234247842"/>
      <w:r>
        <w:rPr>
          <w:rFonts w:ascii="Times New Roman" w:hAnsi="Times New Roman"/>
          <w:sz w:val="30"/>
        </w:rPr>
        <w:lastRenderedPageBreak/>
        <w:t>九、基金的转换</w:t>
      </w:r>
      <w:bookmarkEnd w:id="12"/>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本基金2023年11月24日刊登公告自2023年11月27日起开放日常转换转入业务，2024年1月4日刊登公告自2024年1月8日起开放日常转换转出业务。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基金转换以份额为单位进行申请，申请转换份额精确到小数点后两位，小数点后两位以后的部分四舍五入，误差部分归基金财产。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3" w:name="_Toc234247843"/>
      <w:r>
        <w:rPr>
          <w:rFonts w:ascii="Times New Roman" w:hAnsi="Times New Roman"/>
          <w:sz w:val="30"/>
        </w:rPr>
        <w:lastRenderedPageBreak/>
        <w:t>十、基金的投资</w:t>
      </w:r>
      <w:bookmarkEnd w:id="13"/>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本基金在严格控制风险的前提下，充分发挥专业研究与管理能力，力争为投资者提供长期稳健的投资回报。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医疗健康主题相关股票的比例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（1）“医疗健康”主题界定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随着中国经济的快速持续增长、人口结构变化、居民可支配收入不断提升以及健康意识的觉醒，医疗健康领域相关的需求与日俱增，蕴含巨大的发展潜力和投资价值。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界定的“医疗健康”主题是指：（1）用于疾病预防、诊断、治疗和康复相关的产品和服务的上市公司；（2）涉及医疗健康产品研发、生产、销售等环节的上下游产业链公司；（3）致力于改善国民身心健康、满足居民自我健康管理和提升生活质量的上市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医疗健康”主题覆盖的上市公司主要从以下两个方面进行考量：一方面，本基金基于行业景气、主营业务、公司质地等深入研究，聚焦对长期价值或者成长曲线有影响的边际变化，综合选择主营业务为医疗健康领域相关的上市公司，或者当前非主营业务属于医疗健康领域且未来产品或服务有望成为主要利润来源或重要增长点的公司，及其上下游产业链公司；其次，本基金深度挖掘未来可能应用于医疗健康领域的产品或新兴技术的提供商，以及提供改善国民身心健康、提升居民生活质量的产品、服务或解决方案的优质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政策或市场环境发生变化导致本基金对医疗健康主题相关产业的界定范围发生变动，本基金在履行适当程序后可调整上述界定标准。本基金由于上述原因调整界定范围应及时告知基金托管人，并在更新的招募说明书中进行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（2）个股投资策略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筛选出在公司治理、财务及管理品质上符合基本品质要求的公司，构建备选股票池。主要筛选指标包括：</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将遵循医疗健康主题相关股票的投资策略，优先将基本面健康、业绩向上弹性较大、具有估值优势的港股纳入本基金的股票投资组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w:t>
      </w:r>
      <w:r>
        <w:rPr>
          <w:rFonts w:ascii="宋体" w:hAnsi="宋体"/>
          <w:sz w:val="24"/>
        </w:rPr>
        <w:lastRenderedPageBreak/>
        <w:t>券投资策略等多种策略，以期获取债券市场的长期稳健收益。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健收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（1）股票投资（含存托凭证）占基金资产的比例为60%-95%（其中投资于港股通标的股票的比例占股票资产的0%-50%），投资于医疗健康主题相关股票的比例不低于非现金基金资产的80%；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w:t>
      </w:r>
      <w:r>
        <w:rPr>
          <w:rFonts w:ascii="宋体" w:hAnsi="宋体"/>
          <w:sz w:val="24"/>
        </w:rPr>
        <w:lastRenderedPageBreak/>
        <w:t>内地和香港同时上市的A+H股合计计算），不超过该证券的10％，完全按照有关指数的构成比例进行证券投资的基金品种可以不受此条款规定的比例限制；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（14）本基金参与股指期货交易，则：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（7）法律、行政法规和中国证监会规定禁止的其他活动。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中证医药卫生指数收益率×70%+恒生指数收益率×5%+中证综合债券指数收益率×25%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中证医药卫生指数是由中证指数有限公司编制并发布。该指数为反映沪深A股医药卫生行业的整体表现，将中证800 指数800 只样本股中的全部医药卫生行业成份股编制而成，综合反映了A 股市场的医药卫生行业整体表现。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本基金是一只混合型基金，其预期风险和预期收益理论上高于债券型基金和货币市场基金，低于股票型基金。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本基金托管人兴业银行股份有限公司根据本基金合同规定，于2026年04月20日复核了本报告中的财务指标、净值表现和投资组合报告等内容，保证复核内容不存在虚假记载、误导性陈述或者重大遗漏。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本报告期为2026年01月01日日至03月31日。本报告财务资料未经审计师审计。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148,119,199.51</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89.77</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148,119,199.51</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89.77</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16,668,587.67</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10.10</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207,090.44</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164,994,877.62</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注：本基金本报告期末通过港股通机制投资香港股票的公允价值为61,748,728.60元，占基金资产净值比例为37.91%。</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65,911,752.11</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40.47</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1,542,080.00</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0.95</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14,130,988.80</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8.68</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228,420.00</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O</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4,557,230.00</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2.80</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86,370,470.91</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53.03</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61,307,739.22</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37.64</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440,989.38</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61,748,728.60</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37.91</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09995 HK</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荣昌生物</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66,500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5,625,009.57</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3.45</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688331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荣昌生物</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63,470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8,173,031.90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5.02</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 HK</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信达生物</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164,500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12,331,323.85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7.57</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06990 HK</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科伦博泰生物</w:t>
            </w: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22,800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9,260,379.60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5.69</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09606 HK</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映恩生物</w:t>
            </w: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34,500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8,986,223.63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5.52</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01530 HK</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三生制药</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438,500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8,765,609.74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5.38</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09926 HK</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康方生物</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76,000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8,736,966.84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5.36</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688506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百利天恒</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26,326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7,318,628.00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4.49</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002294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信立泰</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115,100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7,056,781.00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4.33</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01093 HK</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石药集团</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850,000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6,829,618.25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4.19</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64,700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6,347,070.00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3.90</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207,090.44</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right"/>
              <w:rPr>
                <w:rFonts w:ascii="宋体" w:hAnsi="宋体"/>
                <w:color w:val="000000"/>
                <w:kern w:val="0"/>
                <w:sz w:val="25"/>
                <w:szCs w:val="24"/>
              </w:rPr>
            </w:pPr>
            <w:r>
              <w:rPr>
                <w:rFonts w:ascii="Times New Roman" w:hAnsi="Times New Roman"/>
                <w:color w:val="000000"/>
                <w:kern w:val="0"/>
                <w:sz w:val="25"/>
                <w:szCs w:val="24"/>
              </w:rPr>
              <w:t>207,090.44</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4" w:name="_Toc234247844"/>
      <w:r>
        <w:rPr>
          <w:rFonts w:ascii="Times New Roman" w:hAnsi="Times New Roman"/>
          <w:sz w:val="30"/>
        </w:rPr>
        <w:lastRenderedPageBreak/>
        <w:t>十一、基金的业绩</w:t>
      </w:r>
      <w:bookmarkEnd w:id="14"/>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（1）交银启医疗健康混合A：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2.19%</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r>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39.44%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4.91%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34.53%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-3.93%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-6.62%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2.69%</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（2）交银医疗健康混合C：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2.19%</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r>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38.62%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4.91%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33.71%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-4.46%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-6.62%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1A255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bl>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注：本基金的业绩比较基准为中证医药卫生指数收益率×70%+恒生指数收益率×5%+中证综合债券指数收益率×25%，每日进行再平衡过程。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1A2559" w:rsidRDefault="00E4113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交银施罗德医疗健康混合型发起式证券投资基金</w:t>
      </w:r>
    </w:p>
    <w:p w:rsidR="001A2559" w:rsidRDefault="00E4113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（2023年10月11日至2026年03月31日）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（1）交银医疗健康混合A</w:t>
      </w:r>
    </w:p>
    <w:p w:rsidR="001A2559" w:rsidRDefault="00ED490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（2）交银医疗健康混合C</w:t>
      </w:r>
    </w:p>
    <w:p w:rsidR="001A2559" w:rsidRDefault="00ED490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w:t>
      </w:r>
      <w:r>
        <w:rPr>
          <w:rFonts w:ascii="宋体" w:hAnsi="宋体"/>
          <w:sz w:val="24"/>
        </w:rPr>
        <w:lastRenderedPageBreak/>
        <w:t>各项资产配置比例符合基金合同及招募说明书有关投资比例的约定。</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5" w:name="_Toc234247845"/>
      <w:r>
        <w:rPr>
          <w:rFonts w:ascii="Times New Roman" w:hAnsi="Times New Roman"/>
          <w:sz w:val="30"/>
        </w:rPr>
        <w:lastRenderedPageBreak/>
        <w:t>十二、基金的财产</w:t>
      </w:r>
      <w:bookmarkEnd w:id="15"/>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6" w:name="_Toc234247846"/>
      <w:r>
        <w:rPr>
          <w:rFonts w:ascii="Times New Roman" w:hAnsi="Times New Roman"/>
          <w:sz w:val="30"/>
        </w:rPr>
        <w:lastRenderedPageBreak/>
        <w:t>十三、基金资产的估值</w:t>
      </w:r>
      <w:bookmarkEnd w:id="16"/>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6、估值计算中涉及港币对人民币汇率的，将依据下列信息提供机构所提供的汇率为基准：当日中国人民银行或其授权机构公布的人民币与港币的中间价。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7、对于因税收规定调整或其他原因导致产品实际交纳税金与估算的应交税金有差异的，产品将在相关税金调整日或实际支付日进行相应的会计处理。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9、如有确凿证据表明按上述方法进行估值不能客观反映其公允价值的，基金管理人可根据具体情况与基金托管人商定后，按最能反映公允价值的价格估值。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10、当发生大额申购或赎回情形时，基金管理人可以采用摆动定价机制，以确保基金估值的公平性。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11、相关法律法规以及监管部门有强制规定的，从其规定。如有新增事项，按国家最新规定估值。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w:t>
      </w:r>
      <w:r>
        <w:rPr>
          <w:rFonts w:ascii="宋体" w:hAnsi="宋体"/>
          <w:sz w:val="24"/>
        </w:rPr>
        <w:lastRenderedPageBreak/>
        <w:t>题，如经相关各方在平等基础上充分讨论后，仍无法达成一致的意见，按照基金管理人对基金净值信息的计算结果对外予以公布。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2、估值错误处理原则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w:t>
      </w:r>
      <w:r>
        <w:rPr>
          <w:rFonts w:ascii="宋体" w:hAnsi="宋体"/>
          <w:sz w:val="24"/>
        </w:rPr>
        <w:lastRenderedPageBreak/>
        <w:t>金托管人，并采取合理的措施防止损失进一步扩大。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1、基金管理人或基金托管人按估值方法的第9项进行估值时，所造成的误差不作为基金资产估值错误处理。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商、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7" w:name="_Toc234247847"/>
      <w:r>
        <w:rPr>
          <w:rFonts w:ascii="Times New Roman" w:hAnsi="Times New Roman"/>
          <w:sz w:val="30"/>
        </w:rPr>
        <w:lastRenderedPageBreak/>
        <w:t>十四、基金收益与分配</w:t>
      </w:r>
      <w:bookmarkEnd w:id="17"/>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8" w:name="_Toc234247848"/>
      <w:r>
        <w:rPr>
          <w:rFonts w:ascii="Times New Roman" w:hAnsi="Times New Roman"/>
          <w:sz w:val="30"/>
        </w:rPr>
        <w:lastRenderedPageBreak/>
        <w:t>十五、基金的费用与税收</w:t>
      </w:r>
      <w:bookmarkEnd w:id="18"/>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按月支付，由基金管理人向基金托管人发送划款指令，由基金托管人复核后于次月首日起第3个工作日从基金财产中一次性支取。若遇法定节假日、休息日或不可抗力致使无法按时支付的，支付日期顺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w:t>
      </w:r>
      <w:r>
        <w:rPr>
          <w:rFonts w:ascii="宋体" w:hAnsi="宋体"/>
          <w:sz w:val="24"/>
        </w:rPr>
        <w:lastRenderedPageBreak/>
        <w:t>金财产的损失；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19" w:name="_Toc234247849"/>
      <w:r>
        <w:rPr>
          <w:rFonts w:ascii="Times New Roman" w:hAnsi="Times New Roman"/>
          <w:sz w:val="30"/>
        </w:rPr>
        <w:lastRenderedPageBreak/>
        <w:t>十六、基金的会计与审计</w:t>
      </w:r>
      <w:bookmarkEnd w:id="19"/>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7、基金托管人每月与基金管理人就基金的会计核算、报表编制等进行核对并以书面方式或双方认可的其他方式确认。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20" w:name="_Toc234247850"/>
      <w:r>
        <w:rPr>
          <w:rFonts w:ascii="Times New Roman" w:hAnsi="Times New Roman"/>
          <w:sz w:val="30"/>
        </w:rPr>
        <w:lastRenderedPageBreak/>
        <w:t>十七、基金的信息披露</w:t>
      </w:r>
      <w:bookmarkEnd w:id="20"/>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《基金合同》生效公告中将说明基金募集情况及基金管理人股东、基金管理人、基金管理人高级管理人员或基金经理等人员持有的基金份额、承诺持有的期限等情况。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基金管理人应在年度报告、中期报告、季度报告中分别披露基金管理人股东、基金管理人、基金管理人高级管理人员或基金经理等人员持有基金的份额、期限及</w:t>
      </w:r>
      <w:r>
        <w:rPr>
          <w:rFonts w:ascii="宋体" w:hAnsi="宋体"/>
          <w:sz w:val="24"/>
        </w:rPr>
        <w:lastRenderedPageBreak/>
        <w:t>期间的变动情况。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w:t>
      </w:r>
      <w:r>
        <w:rPr>
          <w:rFonts w:ascii="宋体" w:hAnsi="宋体"/>
          <w:sz w:val="24"/>
        </w:rPr>
        <w:lastRenderedPageBreak/>
        <w:t>重大行政处罚、刑事处罚，基金托管人或其专门基金托管部门负责人因基金托管业务相关行为受到重大行政处罚、刑事处罚；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（25）《基金合同》生效三年后继续存续的，基金存续期内，本基金连续30个工作日、40个工作日、45个工作日出现基金份额持有人数量不满200人或者基金资产净值低于5000万元情形的；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w:t>
      </w:r>
      <w:r>
        <w:rPr>
          <w:rFonts w:ascii="宋体" w:hAnsi="宋体"/>
          <w:sz w:val="24"/>
        </w:rPr>
        <w:lastRenderedPageBreak/>
        <w:t>对基金份额持有人大会决定的事项不依法履行信息披露义务的，召集人应当履行相关信息披露义务。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w:t>
      </w:r>
      <w:r>
        <w:rPr>
          <w:rFonts w:ascii="宋体" w:hAnsi="宋体"/>
          <w:sz w:val="24"/>
        </w:rPr>
        <w:lastRenderedPageBreak/>
        <w:t>露内容与格式准则等法规的规定。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21" w:name="_Toc234247851"/>
      <w:r>
        <w:rPr>
          <w:rFonts w:ascii="Times New Roman" w:hAnsi="Times New Roman"/>
          <w:sz w:val="30"/>
        </w:rPr>
        <w:lastRenderedPageBreak/>
        <w:t>十八、侧袋机制</w:t>
      </w:r>
      <w:bookmarkEnd w:id="21"/>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1、本基金实施侧袋机制的，管理费、托管费等按主袋账户基金资产净值作为基数计提。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1A2559" w:rsidRDefault="00E41136">
      <w:pPr>
        <w:pStyle w:val="1"/>
        <w:snapToGrid w:val="0"/>
        <w:spacing w:beforeLines="0" w:before="240" w:after="240"/>
        <w:rPr>
          <w:rFonts w:ascii="宋体" w:hAnsi="宋体"/>
          <w:szCs w:val="30"/>
        </w:rPr>
      </w:pPr>
      <w:bookmarkStart w:id="22" w:name="_Toc234247852"/>
      <w:r>
        <w:rPr>
          <w:rFonts w:ascii="Times New Roman" w:hAnsi="Times New Roman"/>
          <w:sz w:val="30"/>
        </w:rPr>
        <w:lastRenderedPageBreak/>
        <w:t>十九、风险揭示</w:t>
      </w:r>
      <w:bookmarkEnd w:id="22"/>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主要投资于医疗健康主题相关的股票，较高的行业集中度在帮助投资者获得行业成长收益的同时，也导致投资者面临较大的行业风险暴露。当医疗健康主题相关的股票整体表现较差时，本基金的收益可能低于其他混合型基金，届时可能会产生流动性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w:t>
      </w:r>
      <w:r>
        <w:rPr>
          <w:rFonts w:ascii="宋体" w:hAnsi="宋体"/>
          <w:sz w:val="24"/>
        </w:rPr>
        <w:lastRenderedPageBreak/>
        <w:t>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合同约定的时限支付赎回款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w:t>
      </w:r>
      <w:r>
        <w:rPr>
          <w:rFonts w:ascii="宋体" w:hAnsi="宋体"/>
          <w:sz w:val="24"/>
        </w:rPr>
        <w:lastRenderedPageBreak/>
        <w:t>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主题风险：本基金投资于医疗健康主题相关股票的比例不低于非现金基金资产的80%，因此本基金的股票投资业绩与本基金界定的符合“医疗健康”主题界定的上市公司发行证券的相关性较大，需承担相应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合同提前终止风险。（1）本基金为发起式基金，《基金合同》生效之日起三年后的对应日，若基金资产净值低于2亿元，基金合同自动终止，且不得通过召开基金份额持有人大会的方式延续《基金合同》期限。（2）《基金合同》生效三年后继续存续的，基金存续期内，连续50个工作日出现基金份额持有人数量不满200人或者基金资产净值低于5000万元情形的，基金合同终止，不需召开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（八）投资流通受限证券的特定风险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w:t>
      </w:r>
      <w:r>
        <w:rPr>
          <w:rFonts w:ascii="宋体" w:hAnsi="宋体"/>
          <w:sz w:val="24"/>
        </w:rPr>
        <w:lastRenderedPageBreak/>
        <w:t>大，可能表现出比A股更为剧烈的股价波动；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w:t>
      </w:r>
      <w:r>
        <w:rPr>
          <w:rFonts w:ascii="宋体" w:hAnsi="宋体"/>
          <w:sz w:val="24"/>
        </w:rPr>
        <w:lastRenderedPageBreak/>
        <w:t>外基础证券价格波动影响，与存托凭证的境外基础证券、境外基础证券的发行人及境内外交易机制相关的风险可能直接或间接成为本基金风险。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23" w:name="_Toc234247853"/>
      <w:r>
        <w:rPr>
          <w:rFonts w:ascii="Times New Roman" w:hAnsi="Times New Roman"/>
          <w:sz w:val="30"/>
        </w:rPr>
        <w:lastRenderedPageBreak/>
        <w:t>二十、基金合同的变更、终止与基金财产的清算</w:t>
      </w:r>
      <w:bookmarkEnd w:id="23"/>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3、《基金合同》生效之日起三年后的对应日，若基金资产净值低于2亿元，基金合同自动终止，且不得通过召开基金份额持有人大会的方式延续《基金合同》期限；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4、《基金合同》生效三年后继续存续的，基金存续期内，连续50个工作日出现基金份额持有人数量不满200人或者基金资产净值低于5000万元情形的，基金合同终止，不需召开基金份额持有人大会；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w:t>
      </w:r>
      <w:r>
        <w:rPr>
          <w:rFonts w:ascii="宋体" w:hAnsi="宋体"/>
          <w:sz w:val="24"/>
        </w:rPr>
        <w:lastRenderedPageBreak/>
        <w:t>估价、变现和分配。基金财产清算小组可以依法进行必要的民事活动。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24" w:name="_Toc234247854"/>
      <w:r>
        <w:rPr>
          <w:rFonts w:ascii="Times New Roman" w:hAnsi="Times New Roman"/>
          <w:sz w:val="30"/>
        </w:rPr>
        <w:lastRenderedPageBreak/>
        <w:t>二十一、基金合同内容摘要</w:t>
      </w:r>
      <w:bookmarkEnd w:id="24"/>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（4）根据相关市场规则，为基金开设资金账户、证券账户、期货账户等投资所需账户，为基金办理场外证券交易资金清算；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（6）按规定开设基金财产的资金账户、证券账户和期货账户等投资所需账户，按照《基金合同》的约定，根据基金管理人的投资指令，及时办理清算、交割事宜；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（11）发起资金提供方持有认购的基金份额的期限自《基金合同》生效日起不少于3年；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（12）法律法规及中国证监会规定的和《基金合同》约定的其他义务。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w:t>
      </w:r>
      <w:r>
        <w:rPr>
          <w:rFonts w:ascii="宋体" w:hAnsi="宋体"/>
          <w:sz w:val="24"/>
        </w:rPr>
        <w:lastRenderedPageBreak/>
        <w:t>无实质性不利影响的前提下，以下情况可由基金管理人和基金托管人协商后修改，不需召开基金份额持有人大会：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7）在符合法律法规及本基金合同规定、并且对基金份额持有人利益无实质不利影响的前提下，调整本基金份额类别的设置、对基金份额分类办法及规则进行调整、停止现有基金份额的销售；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会议通知规定的表决意见视为有效表决，表决意见模糊不清或相互矛盾的视为弃权表决，但应当计入出具表决意见的基金份额持有人所代表的基金份额总数。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基金份额持有人大会决议自生效之日起依照《信息披露办法》的规定在规定媒介上公告。如果采用通讯方式进行表决，在公告基金份额持有人大会决议时，必须将公证书全文、公证机构、公证员姓名等一同公告。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同一主侧袋账户内的每份基金份额具有平等的表决权。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（3）《基金合同》生效之日起三年后的对应日，若基金资产净值低于2亿元，基金合同自动终止，且不得通过召开基金份额持有人大会的方式延续《基金合同》期限；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（4）《基金合同》生效三年后继续存续的，基金存续期内，连续50个工作日出现基金份额持有人数量不满200人或者基金资产净值低于5000万元情形的，基金合同终止，不需召开基金份额持有人大会；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基金财产清算账册及有关文件由基金托管人保存不低于法律法规规定的最低期限。</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《基金合同》受中国法律（不含港澳台地区法律）管辖并从其解释。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25" w:name="_Toc234247855"/>
      <w:r>
        <w:rPr>
          <w:rFonts w:ascii="Times New Roman" w:hAnsi="Times New Roman"/>
          <w:sz w:val="30"/>
        </w:rPr>
        <w:lastRenderedPageBreak/>
        <w:t>二十二、托管协议的内容摘要</w:t>
      </w:r>
      <w:bookmarkEnd w:id="25"/>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名称：兴业银行股份有限公司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住所：福建省福州市湖东路154号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成立时间：1988年8月22日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基金托管业务批准文号：证监基金字[2005]74号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注册资本：207.74亿元人民币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批准设立机关及批准设立文号:中国人民银行总行,银复[1988]347号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代理发行股票以外的有价证券；买卖、代理买卖股票以外的有价证券；资产托管业务；从事同业拆借；买卖、代理买卖外汇；结汇、售汇业务；从事银行卡业务；提供信用证服务及担保；代理收付款项及代理保险业务；提供保管箱服务；财务顾问、资信调查、咨询、见证业务；经中国银行业监督管理机构批</w:t>
      </w:r>
      <w:r>
        <w:rPr>
          <w:rFonts w:ascii="宋体" w:hAnsi="宋体"/>
          <w:sz w:val="24"/>
        </w:rPr>
        <w:lastRenderedPageBreak/>
        <w:t>准的其他业务。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021-52629999</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 021-62152155</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托管人运用相关技术系统，对基金实际投资是否符合基金合同的约定进行监督，对存在疑义的事项进行核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医疗健康主题相关股票的比例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（1）股票投资（含存托凭证）占基金资产的比例为60%-95%（其中投资于港股通标的股票的比例占股票资产的0%-50%），投资于医疗健康主题相关股票的比例不低于非现金基金资产的80%；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（13）本基金与私募类证券资管产品及中国证监会认定的其他主体为交易对手开展逆回购交易的，可接受质押品的资质要求应当与基金合同约定的投资范围保持一致；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（14）本基金参与股指期货交易，则：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投资的监督和检查自基金合同生效之日起开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根据法律法规的规定及基金合同的约定，基金财产不得用于下列投资或者活动：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基金管理人可以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与基金托管人协商解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负责对交易对手的资信控制，按银行间债券市场的交易规则进行交易，并负责解决因交易对手不履行合同而造成的纠纷，基金托管人不承担由此造成的相应法律责任及损失。若未履约的交易对手在基金托管人与基金管理人确定的时间前仍未承担违约责任及其他相关法律责任的，基金管理人有权向相关交易对手追偿，基金托管人应予以必要的协助与配合。基金托管人根据银行间债券市场成交单对本基金银行间债券交易的交易对手及其结算方式进行监督。如基金托管人事后发现基金管理人没有按照事先约定的交易对手或交易方式进行交易时，基金托管人应及时书面或以双方认可的其他方式提醒基金管理人，经提醒后仍未改正时造成基金财产损失的，基金托管人不承担由此造成的相应损失和责任。如果基金托管人未能切实履行监督职责，导致基金出现风险或造成基金资产损失的，基金托管人应承担相应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5、基金托管人对基金投资银行存款进行监督。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与存款银行建立定期对账机制，确保基金银行存款业务账目及核算的真实、准确。基金管理人应当按照有关法规规定，与存款机构签订相关书面协议。基金托管人应根据相关法规及协议对基金银行存款业务进行监督与核查，严格审查、复核相关协议、账户资料、投资指令、存款证实书等有关文件，切实履行托管职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基金管理人与基金托管人在开展基金存款业务时，应严格遵守《基金法》、《运作办法》等有关法律法规，以及国家有关账户管理、利率管理、支付结算等的各项规定。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6、基金托管人根据有关法律法规的规定及基金合同的约定，对基金投资流通受限证券进行监督。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（2）流通受限证券与上文所述的流动性受限资产的范围并不完全一致，包括</w:t>
      </w:r>
      <w:r>
        <w:rPr>
          <w:rFonts w:ascii="宋体" w:hAnsi="宋体"/>
          <w:sz w:val="24"/>
        </w:rPr>
        <w:lastRenderedPageBreak/>
        <w:t>由《上市公司证券发行注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等规章制度并提交给基金托管人。基金管理人应当根据基金的投资风格和流动性的需要合理安排流通受限证券的投资比例，并在相关制度中明确具体比例，避免基金出现流动性风险。基金投资非公开发行股票，基金管理人还应提供流动性风险处置预案。上述资料应包括但不限于基金投资流通受限证券的投资额度和投资比例控制情况。</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本基金投资非公开发行股票后按照法律法规规定时限在中国证监会规定媒介披露所投资非公开发行股票的名称、数量、总成本、账面价值，以及总成本和账面价值占基金资产净值的比例、锁定期等信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应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如基金管理人和基金托管人无法达成一致，应及时上报中国证监会请求解决。如果基金托管人切实履行监督职责，则不承担相应责任。如果基金托管人没有切实履行监督职责，导致基金出现风险，基金托管人应承担连带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（7）相关法律法规对基金投资流通受限证券有新规定的，从其规定。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7、基金托管人依据有关法律法规的规定、基金合同和本托管协议的约定对于基金关联交易进行监督。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w:t>
      </w:r>
      <w:r>
        <w:rPr>
          <w:rFonts w:ascii="宋体" w:hAnsi="宋体"/>
          <w:sz w:val="24"/>
        </w:rPr>
        <w:lastRenderedPageBreak/>
        <w:t>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并按法律法规予以披露。重大关联交易应提交基金管理人董事会审议，并经过三分之二以上的独立董事通过。基金管理人董事会应至少每半年对关联交易事项进行审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实际控制人或者与其有重大利害关系的公司名单及有关关联方发行的证券名单，书面提交，并确保所提供的关联交易名单的真实性、完整性、全面性。基金管理人及基金托管人有责任保管真实、完整、全面的关联交易名单，并负责及时更新该名单。名单变更后基金管理人及基金托管人应及时发送另一方，另一方于2个工作日内进行回函确认已知名单的变更。一方收到另一方书面确认后，新的关联交易名单开始生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资产净值计算、基金份额净值、应收资金到账、基金费用开支及收入确定、基金收益分配、相关信息披露、基金宣传推介材料中登载基金业绩表现数据等进行监督和核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9、基金托管人发现基金管理人的上述事项及投资指令或实际投资运作违反法律法规、基金合同和本托管协议的规定，应及时以电话提醒或书面提示等方式通知基金管理人限期纠正。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书面通知后应在下一工作日前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如果基金托管人未能切实履行监督职责，导致基金出现风险或造成基金资产损失的，基金托管人应承担相应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对基金托管人发出的书面提示，基金管理人应在规定时间内答复并改正，或就基金托管人的合理疑义进行解释或举证；对基金托管人按照法律法规、基金合同和</w:t>
      </w:r>
      <w:r>
        <w:rPr>
          <w:rFonts w:ascii="宋体" w:hAnsi="宋体"/>
          <w:sz w:val="24"/>
        </w:rPr>
        <w:lastRenderedPageBreak/>
        <w:t>本托管协议的要求需向中国证监会报送基金监督报告的事项，基金管理人应积极配合提供相关数据资料和制度等。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11、若基金托管人发现基金管理人依据交易程序已经生效的指令违反法律、行政法规和其他有关规定，或者违反基金合同约定的，应当立即以书面或以双方认可的其他方式通知基金管理人。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期货账户等投资所需账户、及时、准确复核基金管理人计算的基金资产净值、基金份额净值，根据基金管理人指令办理清算交收且如遇到问题应及时反馈、相关信息披露和监督基金投资运作是否对非公开信息保密等行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定期和不定期地对基金托管人保管的基金资产进行核查。基金托管人应积极配合基金管理人的核查行为，包括但不限于：提交相关资料以供基金管理人核查基金财产的完整性和真实性，在规定时间内答复基金管理人并改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电话提醒或书面提示等方式通知基金托管人限期纠正。基金托管人收到通知后应在下一工作日前及时核对并以书面形式给基金管理人发出回函，说明违规原因，并保证在规定期限内及时改正。在上述规定期限内，基金管理人有权随时对通知事项进行复查, 督促基金托管人改正。基金托管人应积极配合基金管理人的核查行为，包括但不限于：提交相关资料以供基金管理人核查基金财产的完整性和真实性，在规定时间内答复基金管理人并改正等。基金管理人有权要求基金托管人赔偿基金因此所遭受的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3、基金管理人发现基金托管人有重大违规行为，应及时报告中国证监会和银行业监督管理机构，同时通知基金托管人限期纠正，并将纠正结果报告中国证监</w:t>
      </w:r>
      <w:r>
        <w:rPr>
          <w:rFonts w:ascii="宋体" w:hAnsi="宋体"/>
          <w:sz w:val="24"/>
        </w:rPr>
        <w:lastRenderedPageBreak/>
        <w:t>会。基金托管人无正当理由，拒绝、阻挠对方根据本协议规定行使监督权，或采取拖延、欺诈等手段妨碍对方进行有效监督，情节严重或经基金管理人提出警告仍不改正的，基金管理人应报告中国证监会。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（1）基金财产应独立于基金管理人、基金托管人、证券经纪商的固有财产。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（2）基金托管人应安全保管基金财产。未经基金管理人的正当指令，不得自行运用、处分、分配基金的任何财产。如果基金财产在基金托管人保管期间损坏、灭失的，应由该基金托管人承担赔偿责任。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（3）基金托管人按照规定开设基金财产的资金账户、证券账户和期货账户等投资所需账户。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（5）基金托管人根据基金管理人的指令，按照法律法规的规定、基金合同和本协议的约定保管基金财产。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和基金认购、申购过程中产生的应收资产，如基金托管人无法从公开信息或基金管理人提供的书面资料中获取到账日期信息的，应由基金管理人负责与有关当事人确定到账日期并通知基金托管人，到账日基金财产没有到达基金银行账户的，基金托管人应及时通知并配合基金管理人采取措施进行催收。由此给基金财产造成损失的，基金管理人应负责向有关当事人追偿基金的损失，基金托管人对此不承担相应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（1）基金募集期间募集的资金应存于基金管理人开立的“基金募集专户”。该账户由基金管理人或基金管理人委托的登记机构开立并管理。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发起资金认购金额、发起资金提供方及其承诺的认购基金份额持有期限符合《基金法》、《运作办法》、基金合同等有关规定后，基金管理人应将属于基金财产的全部资金划入基金托管人为本基金开立的基金银行账户，基金托管人在收到资金当日出具相关证明文件，基金管理人在</w:t>
      </w:r>
      <w:r>
        <w:rPr>
          <w:rFonts w:ascii="宋体" w:hAnsi="宋体"/>
          <w:sz w:val="24"/>
        </w:rPr>
        <w:lastRenderedPageBreak/>
        <w:t>规定时间内，聘请符合《中华人民共和国证券法》规定的会计师事务所进行验资，出具验资报告，验资报告中需对基金募集的资金进行确认。出具的验资报告由参加验资的2名或2名以上中国注册会计师签章方为有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（1）基金托管人应负责本基金的银行账户的开设和管理。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银行账户，并根据基金管理人合法合规的指令办理资金收付。账户的名称应当包含本基金名称，具体名称以实际开立为准。本基金的一切货币收支活动，包括但不限于投资、支付赎回金额、支付基金收益、收取申购款，均需通过本基金的银行账户进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（3）基金银行账户的开立和使用，限于满足开展本基金业务的需要。基金托管人和基金管理人不得假借本基金的名义开立任何其他银行账户；亦不得使用基金的任何账户进行本基金业务以外的活动。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（4）基金银行账户的开立和管理应符合相关法律法规的有关规定。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（1）基金托管人在中国证券登记结算有限责任公司上海分公司、深圳分公司为基金开立基金托管人与本基金联名的证券账户，账户名称以实际开立为准。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（2）基金证券账户的开立和使用，限于满足开展本基金业务的需要。基金托管人和基金管理人不得出借或未经对方同意擅自转让基金的证券账户，亦不得使用基金的任何账户进行本基金业务以外的活动。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中国证监会或其他监管机构在本托管协议生效日之后允许基金从事其他投资品种的投资业务，涉及相关账户的开设、使用的，按有关规定开设、使用并管理；若无相关规定，则基金托管人应当比照并遵守上述关于账户开设、使用的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基金合同生效后，基金管理人代表基金向中国人民银行申请备案，再由基金托管人根据中国人民银行、中央国债登记结算有限责任公司的有关规定，在中央国债</w:t>
      </w:r>
      <w:r>
        <w:rPr>
          <w:rFonts w:ascii="宋体" w:hAnsi="宋体"/>
          <w:sz w:val="24"/>
        </w:rPr>
        <w:lastRenderedPageBreak/>
        <w:t>登记结算有限责任公司、银行间市场清算所股份有限公司开立债券托管与结算账户，并代表基金进行银行间市场债券的结算。基金管理人代表基金签订中国银行间市场债券回购交易主协议。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6、期货账户的开设和管理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基金管理人应依据有关法律法规的规定和《基金合同》的约定，开设和管理期货账户。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7、证券交易资金账户的开立和管理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（1）基金管理人以本基金的名义在代理证券买卖的证券经纪商处开立证券交易资金账户，用于办理基金托管人所托管的本基金在证券交易所进行证券投资所涉及的资金结算业务。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（2）证券交易资金账户与基金托管专户建立三方存管关系。证券交易资金账户内的资金，只能通过证银转账方式将资金划转至基金托管专户，不得将资金划转至其他任何银行账户。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（3）如因基金管理人、证券经纪商原因致使对应关系无法建立，基金托管人不承担相应责任。基金托管人不负责办理场内的证券交易资金清算，也不负责保管证券交易资金账户内存放的资金。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8、其他账户的开立和管理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9、基金财产投资的有关有价凭证等的保管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证实书等有价凭证由基金托管人负责妥善保管，保管凭证由基金托管人持有，其中实物证券由基金托管人存放于托管银行的保管库，应与非本基金的其他实物证券分开保管；也可存入登记结算机构的代保管库。实物证券的购买和转让，由基金托管人根据基金管理人的指令办理。属于基金托管人实际有效控制下的实物证券等有价证券在基金托管人保管期间的损坏、灭失，由此产生的责任应由基金托管人承担。基金托管人对基金托管人以外机构实际有效控制的证券及其他基金财产不承担保管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10、与基金财产有关的重大合同的保管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相关业务程序另有限制除外。除协议另有规定外，基金管理人在代表基金签署与基金有关的重大合同时应保证基金一方持有两份以上的正本，以便基金管理人和基金托管人至少各持有一份正本的原件。基金管理人应在重大合同签署后及时以加密方式或双方同意的其他方式将重大合同传真给基金托管人，并在10个工作日内将正本送达基金托管人处。重大合同的保管期限为基金合同终止后不低于法律法规规定的最低期限。对于无法取得二份以上的正本的，基金管理人应向基金托管人提供加盖授权业务章的合同传真件，未经双方协商或未在合同约定范围内，合同原件不得转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（一）基金资产净值的计算及复核程序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（二）基金资产估值方法和特殊情形的处理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（1）证券交易所上市的有价证券的估值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w:t>
      </w:r>
      <w:r>
        <w:rPr>
          <w:rFonts w:ascii="宋体" w:hAnsi="宋体"/>
          <w:sz w:val="24"/>
        </w:rPr>
        <w:lastRenderedPageBreak/>
        <w:t>次公开发行股票时公司股东公开发售股份、通过大宗交易取得的带限售期的股票等，不包括停牌、新发行未上市、回购交易中的质押券等流通受限股票，按监管机构或行业协会有关规定确定公允价值。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（6）估值计算中涉及港币对人民币汇率的，将依据下列信息提供机构所提供的汇率为基准：当日中国人民银行或其授权机构公布的人民币与港币的中间价。</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（7）对于因税收规定调整或其他原因导致产品实际交纳税金与估算的应交税金有差异的，产品将在相关税金调整日或实际支付日进行相应的会计处理。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（9）如有确凿证据表明按上述方法进行估值不能客观反映其公允价值的，基金管理人可根据具体情况与基金托管人商定后，按最能反映公允价值的价格估值。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（10）当发生大额申购或赎回情形时，基金管理人可以采用摆动定价机制，以确保基金估值的公平性。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（11）相关法律法规以及监管部门有强制规定的，从其规定。如有新增事项，按国家最新规定估值。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w:t>
      </w:r>
      <w:r>
        <w:rPr>
          <w:rFonts w:ascii="宋体" w:hAnsi="宋体"/>
          <w:sz w:val="24"/>
        </w:rPr>
        <w:lastRenderedPageBreak/>
        <w:t>担。本基金的基金会计责任方由基金管理人担任，因此，就与本基金有关的会计问题，如经相关各方在平等基础上充分讨论后，仍无法达成一致的意见，按照基金管理人对基金净值信息的计算结果对外予以公布。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基金管理人、基金托管人按第2条第（9）款进行估值时，所造成的误差不作为基金资产估值错误处理。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或由于证券、期货交易所、证券经纪商、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（三）估值错误的处理方式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本托管协议的当事人应按照以下约定处理：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w:t>
      </w:r>
      <w:r>
        <w:rPr>
          <w:rFonts w:ascii="宋体" w:hAnsi="宋体"/>
          <w:sz w:val="24"/>
        </w:rPr>
        <w:lastRenderedPageBreak/>
        <w:t>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w:t>
      </w:r>
      <w:r>
        <w:rPr>
          <w:rFonts w:ascii="宋体" w:hAnsi="宋体"/>
          <w:sz w:val="24"/>
        </w:rPr>
        <w:lastRenderedPageBreak/>
        <w:t>管人并报中国证监会备案；错误偏差达到该类基金份额净值的0.5%时，基金管理人应当公告并报中国证监会备案。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（四）暂停估值的情形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（五）基金会计制度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（六）基金账册的建立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信息的计算和公告的，以基金管理人的账册为准。</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（七）基金财务报表与报告的编制和复核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工作日内完成；《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季度报告应在季度结束之日起15个工作日内完成季度报告编制并予以公告；中期报告在上半年结束之日起两个月内完成中期报告编制并予以公告；年度报告在每年结束之日起三个月内完成年度报告编制并予以公告。基金年度报告中的财务会计报告应当经过符合《中华人民共和国证券法》规定的会计师事务所审计。基金合同生效不足2个月的，基金管理人可以不编制当期季度报告、中期报告或者年度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2．报表复核</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个工作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如果基金管理人与基金托管人不能于应当发布公告之日之前就相关报表达成一致，基金管理人有权按照其编制的报表对外发布公告，基金托管人有权就相关情况报中国证监会备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（八）基金管理人应在编制季度报告、中期报告或者年度报告之前向基金托管人提供基金业绩比较基准的基础数据和编制结果。</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基金份额持有人名册由登记机构编制，由基金管理人审核并提交基金托管人保管。基金托管人有权要求基金管理人提供基金份额持有人名册，基金管理人应及时提供，不得拖延或拒绝提供。</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权益登记日、基金份额持有人大会权益登记日等涉及到基金重要事项日期的基金份额持有人名册应于发生日后十个工作日内提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w:t>
      </w:r>
      <w:r>
        <w:rPr>
          <w:rFonts w:ascii="宋体" w:hAnsi="宋体"/>
          <w:sz w:val="24"/>
        </w:rPr>
        <w:lastRenderedPageBreak/>
        <w:t>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双方当事人均有约束力。除非仲裁裁决另有规定，仲裁费用、律师费由败诉方承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本协议适用中华人民共和国法律（为本协议之目的，不包括香港特别行政区、澳门特别行政区和台湾地区法律）管辖并从其解释。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基金财产清算账册及有关文件由基金托管人保存不低于法律法规规定的最低期限。</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26" w:name="_Toc234247856"/>
      <w:r>
        <w:rPr>
          <w:rFonts w:ascii="Times New Roman" w:hAnsi="Times New Roman"/>
          <w:sz w:val="30"/>
        </w:rPr>
        <w:lastRenderedPageBreak/>
        <w:t>二十三、对基金份额持有人的服务</w:t>
      </w:r>
      <w:bookmarkEnd w:id="26"/>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1、每次交易结束后，可在T+2个工作日后通过销售机构的网点查询和打印确认单。</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基金份额的申购、赎回、定期定额投资和转换等业务。通过网上直销交易平台办理本基金申购和定期定额投资业务的个人投资者将享受申购费率的优惠，其他费率标准不变。具体优惠费率请参见公司网站列示的网上直销交易平台申购及定期定额投资费率表或相关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在条件成熟的时候，本基金管理人将根据基金网上直销业务的发展状况，适时调整可用于基金网上直销交易平台的银行卡种类，敬请个人投资者留意相关公告。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本基金收益分配时，投资人可以选择将当期分配所得的红利再投资于本基金，再投资红利按红利再投日（即除息日）除息后的基金份额净值自动转为基金份额，并免收申购费用。</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27" w:name="_Toc234247857"/>
      <w:r>
        <w:rPr>
          <w:rFonts w:ascii="Times New Roman" w:hAnsi="Times New Roman"/>
          <w:sz w:val="30"/>
        </w:rPr>
        <w:lastRenderedPageBreak/>
        <w:t>二十四、其他应披露事项</w:t>
      </w:r>
      <w:bookmarkEnd w:id="27"/>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交银施罗德医疗健康混合型发起式证券投资基金招募说明书更新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交银施罗德医疗健康混合型发起式证券投资基金（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交银施罗德医疗健康混合型发起式证券投资基金（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交银施罗德医疗健康混合型发起式证券投资基金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交银施罗德基金管理有限公司关于增加东莞证券股份有限公司为旗下基金的销售机构的公告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2025-07-28</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交银施罗德医疗健康混合型发起式证券投资基金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交银施罗德医疗健康混合型发起式证券投资基金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交银施罗德医疗健康混合型发起式证券投资基金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交银施罗德医疗健康混合型发起式证券投资基金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交银施罗德医疗健康混合型发起式证券投资基金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1A255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2559" w:rsidRDefault="00E41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28" w:name="_Toc234247858"/>
      <w:r>
        <w:rPr>
          <w:rFonts w:ascii="Times New Roman" w:hAnsi="Times New Roman"/>
          <w:sz w:val="30"/>
        </w:rPr>
        <w:lastRenderedPageBreak/>
        <w:t>二十五、招募说明书的存放及查阅方式</w:t>
      </w:r>
      <w:bookmarkEnd w:id="28"/>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4113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2559" w:rsidRDefault="00E41136">
      <w:pPr>
        <w:pStyle w:val="1"/>
        <w:snapToGrid w:val="0"/>
        <w:spacing w:beforeLines="0" w:before="240" w:after="240"/>
        <w:rPr>
          <w:rFonts w:ascii="宋体" w:hAnsi="宋体"/>
          <w:szCs w:val="30"/>
        </w:rPr>
      </w:pPr>
      <w:bookmarkStart w:id="29" w:name="_Toc234247859"/>
      <w:r>
        <w:rPr>
          <w:rFonts w:ascii="Times New Roman" w:hAnsi="Times New Roman"/>
          <w:sz w:val="30"/>
        </w:rPr>
        <w:lastRenderedPageBreak/>
        <w:t>二十六、备查文件</w:t>
      </w:r>
      <w:bookmarkEnd w:id="29"/>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（一）中国证监会准予交银施罗德医疗健康混合型发起式证券投资基金募集注册的文件</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（二）《交银施罗德医疗健康混合型发起式证券投资基金基金合同》</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（三）《交银施罗德医疗健康混合型发起式证券投资基金托管协议》</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1A2559" w:rsidRDefault="00E4113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（六）关于申请募集注册交银施罗德医疗健康混合型发起式证券投资基金的法律意见书</w:t>
      </w:r>
    </w:p>
    <w:sectPr w:rsidR="001A2559">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399" w:rsidRDefault="00E41136">
      <w:r>
        <w:separator/>
      </w:r>
    </w:p>
  </w:endnote>
  <w:endnote w:type="continuationSeparator" w:id="0">
    <w:p w:rsidR="005C6399" w:rsidRDefault="00E41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559" w:rsidRDefault="001A255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559" w:rsidRDefault="00ED490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1A2559" w:rsidRDefault="00E4113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D490F">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559" w:rsidRDefault="001A255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559" w:rsidRDefault="00ED490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1A2559" w:rsidRDefault="00E4113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D490F">
                  <w:rPr>
                    <w:rFonts w:ascii="Times New Roman" w:hAnsi="Times New Roman"/>
                    <w:noProof/>
                    <w:kern w:val="0"/>
                    <w:sz w:val="18"/>
                    <w:szCs w:val="18"/>
                  </w:rPr>
                  <w:t>159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399" w:rsidRDefault="00E41136">
      <w:r>
        <w:separator/>
      </w:r>
    </w:p>
  </w:footnote>
  <w:footnote w:type="continuationSeparator" w:id="0">
    <w:p w:rsidR="005C6399" w:rsidRDefault="00E411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559" w:rsidRDefault="001A255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559" w:rsidRDefault="00E41136">
    <w:pPr>
      <w:pStyle w:val="a3"/>
      <w:jc w:val="right"/>
      <w:rPr>
        <w:rFonts w:ascii="宋体" w:hAnsi="宋体"/>
      </w:rPr>
    </w:pPr>
    <w:r>
      <w:rPr>
        <w:rFonts w:ascii="宋体" w:hAnsi="宋体" w:hint="eastAsia"/>
      </w:rPr>
      <w:t>交银施罗德医疗健康混合型发起式证券投资基金招募说明书更新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559" w:rsidRDefault="001A2559">
    <w:pPr>
      <w:pStyle w:val="10"/>
      <w:jc w:val="right"/>
    </w:pPr>
  </w:p>
  <w:p w:rsidR="001A2559" w:rsidRDefault="001A2559">
    <w:pPr>
      <w:pStyle w:val="10"/>
      <w:jc w:val="right"/>
    </w:pPr>
  </w:p>
  <w:p w:rsidR="001A2559" w:rsidRDefault="001A2559">
    <w:pPr>
      <w:pStyle w:val="a3"/>
      <w:jc w:val="right"/>
    </w:pPr>
  </w:p>
  <w:p w:rsidR="001A2559" w:rsidRDefault="00E41136">
    <w:pPr>
      <w:pStyle w:val="a3"/>
      <w:jc w:val="right"/>
      <w:rPr>
        <w:rFonts w:ascii="宋体" w:hAnsi="宋体"/>
      </w:rPr>
    </w:pPr>
    <w:r>
      <w:rPr>
        <w:rFonts w:ascii="宋体" w:hAnsi="宋体" w:hint="eastAsia"/>
      </w:rPr>
      <w:t>交银施罗德医疗健康混合型发起式证券投资基金招募说明书更新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559" w:rsidRDefault="001A2559">
    <w:pPr>
      <w:pStyle w:val="a3"/>
      <w:jc w:val="right"/>
    </w:pPr>
  </w:p>
  <w:p w:rsidR="001A2559" w:rsidRDefault="001A2559">
    <w:pPr>
      <w:pStyle w:val="a3"/>
      <w:jc w:val="right"/>
    </w:pPr>
  </w:p>
  <w:p w:rsidR="001A2559" w:rsidRDefault="001A2559">
    <w:pPr>
      <w:pStyle w:val="a3"/>
      <w:jc w:val="right"/>
    </w:pPr>
  </w:p>
  <w:p w:rsidR="001A2559" w:rsidRDefault="00E41136">
    <w:pPr>
      <w:pStyle w:val="a3"/>
      <w:jc w:val="right"/>
      <w:rPr>
        <w:rFonts w:ascii="宋体" w:hAnsi="宋体"/>
      </w:rPr>
    </w:pPr>
    <w:r>
      <w:rPr>
        <w:rFonts w:ascii="宋体" w:hAnsi="宋体" w:hint="eastAsia"/>
      </w:rPr>
      <w:t>交银施罗德医疗健康混合型发起式证券投资基金招募说明书更新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A2559"/>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99"/>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1136"/>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90F"/>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A627EBD8-AF08-4D4F-8E48-DEBA0CC51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160</Pages>
  <Words>17097</Words>
  <Characters>97457</Characters>
  <Application>Microsoft Office Word</Application>
  <DocSecurity>0</DocSecurity>
  <Lines>812</Lines>
  <Paragraphs>228</Paragraphs>
  <ScaleCrop>false</ScaleCrop>
  <Company>Microsoft</Company>
  <LinksUpToDate>false</LinksUpToDate>
  <CharactersWithSpaces>114326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2026-07-06T08:30:00Z</dcterms:created>
  <dcterms:modified xsi:type="dcterms:W3CDTF">2026-07-06T08:30:00Z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