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0693C">
      <w:pPr>
        <w:rPr>
          <w:sz w:val="32"/>
        </w:rPr>
      </w:pPr>
    </w:p>
    <w:p w:rsidR="00C92FC0" w:rsidRPr="00EB07BC" w:rsidRDefault="0090693C">
      <w:pPr>
        <w:rPr>
          <w:sz w:val="32"/>
        </w:rPr>
      </w:pPr>
    </w:p>
    <w:p w:rsidR="00C92FC0" w:rsidRPr="00EB07BC" w:rsidRDefault="0090693C">
      <w:pPr>
        <w:rPr>
          <w:sz w:val="32"/>
        </w:rPr>
      </w:pPr>
    </w:p>
    <w:p w:rsidR="000924C9" w:rsidRDefault="000924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924C9" w:rsidRDefault="000924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924C9" w:rsidRDefault="000924C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924C9" w:rsidRDefault="00AD331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交银施罗德阿尔法核心混合型证券投资基金</w:t>
      </w:r>
    </w:p>
    <w:p w:rsidR="000924C9" w:rsidRDefault="00AD331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924C9" w:rsidRDefault="000924C9">
      <w:pPr>
        <w:snapToGrid w:val="0"/>
        <w:spacing w:line="360" w:lineRule="auto"/>
        <w:jc w:val="center"/>
        <w:rPr>
          <w:rFonts w:ascii="宋体" w:hAnsi="宋体"/>
          <w:b/>
          <w:sz w:val="30"/>
          <w:szCs w:val="30"/>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AD331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924C9" w:rsidRDefault="00AD331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0924C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924C9" w:rsidRDefault="00AD331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0924C9" w:rsidRDefault="000924C9">
      <w:pPr>
        <w:autoSpaceDE w:val="0"/>
        <w:autoSpaceDN w:val="0"/>
        <w:adjustRightInd w:val="0"/>
        <w:snapToGrid w:val="0"/>
        <w:spacing w:line="360" w:lineRule="auto"/>
        <w:ind w:left="1347" w:rightChars="6" w:right="13"/>
        <w:rPr>
          <w:rFonts w:ascii="宋体" w:hAnsi="宋体"/>
          <w:kern w:val="0"/>
          <w:sz w:val="32"/>
          <w:szCs w:val="32"/>
        </w:rPr>
        <w:sectPr w:rsidR="000924C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924C9" w:rsidRDefault="00AD331B">
      <w:pPr>
        <w:pStyle w:val="1"/>
        <w:snapToGrid w:val="0"/>
        <w:spacing w:beforeLines="0" w:before="240" w:after="240"/>
        <w:rPr>
          <w:rFonts w:ascii="宋体" w:hAnsi="宋体"/>
          <w:kern w:val="0"/>
        </w:rPr>
      </w:pPr>
      <w:bookmarkStart w:id="0" w:name="_Toc324920538"/>
      <w:bookmarkStart w:id="1" w:name="_Toc496884613"/>
      <w:bookmarkStart w:id="2" w:name="_Toc234408690"/>
      <w:r>
        <w:rPr>
          <w:rFonts w:ascii="Times New Roman" w:hAnsi="Times New Roman"/>
          <w:kern w:val="0"/>
        </w:rPr>
        <w:lastRenderedPageBreak/>
        <w:t>重要提示</w:t>
      </w:r>
      <w:bookmarkEnd w:id="0"/>
      <w:bookmarkEnd w:id="1"/>
      <w:bookmarkEnd w:id="2"/>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交银施罗德阿尔法核心混合型证券投资基金由交银施罗德阿尔法核心股票型证券投资基金变更而来，交银施罗德阿尔法核心股票型证券投资基金经</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日中国证券监督管理委员会证监许可【</w:t>
      </w:r>
      <w:r>
        <w:rPr>
          <w:rFonts w:ascii="Times New Roman" w:hAnsi="Times New Roman"/>
          <w:kern w:val="0"/>
          <w:sz w:val="24"/>
        </w:rPr>
        <w:t>2012</w:t>
      </w:r>
      <w:r>
        <w:rPr>
          <w:rFonts w:ascii="Times New Roman" w:hAnsi="Times New Roman"/>
          <w:kern w:val="0"/>
          <w:sz w:val="24"/>
        </w:rPr>
        <w:t>】</w:t>
      </w:r>
      <w:r>
        <w:rPr>
          <w:rFonts w:ascii="Times New Roman" w:hAnsi="Times New Roman"/>
          <w:kern w:val="0"/>
          <w:sz w:val="24"/>
        </w:rPr>
        <w:t>274</w:t>
      </w:r>
      <w:r>
        <w:rPr>
          <w:rFonts w:ascii="Times New Roman" w:hAnsi="Times New Roman"/>
          <w:kern w:val="0"/>
          <w:sz w:val="24"/>
        </w:rPr>
        <w:t>号文核准募集。其基金合同于</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3</w:t>
      </w:r>
      <w:r>
        <w:rPr>
          <w:rFonts w:ascii="Times New Roman" w:hAnsi="Times New Roman"/>
          <w:kern w:val="0"/>
          <w:sz w:val="24"/>
        </w:rPr>
        <w:t>日正式生效。</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交银施罗德阿尔法核心股票型证券投资基金募集的核准，并不表明其对本基金的价值和收益作出实质性判断或保证，也不表明投资于本基金没有风险。</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本基金投资策略所特有的风险，以及投资科创板股票的特定风险等等。本基金是一只混合型基金，其风险和预期收益高于债券型基金和货币市场基金，低于股票型基金。属于承担较高风险、预期收益较高的证券投资基金品种。</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投资有风险，投资者在投资本基金前应认真阅读本基金的招募说明书、基金合同、基金产品资料概要。基金的过往业绩并不代表其未来表现。基金管理人管理的其他基金的业绩并不构成对本基金业绩表现的保证。</w:t>
      </w:r>
    </w:p>
    <w:p w:rsidR="000924C9" w:rsidRDefault="00AD331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0924C9" w:rsidRDefault="000924C9">
      <w:pPr>
        <w:autoSpaceDE w:val="0"/>
        <w:autoSpaceDN w:val="0"/>
        <w:adjustRightInd w:val="0"/>
        <w:snapToGrid w:val="0"/>
        <w:spacing w:before="51" w:line="360" w:lineRule="auto"/>
        <w:ind w:left="120" w:rightChars="6" w:right="13" w:firstLine="480"/>
        <w:rPr>
          <w:rFonts w:ascii="宋体" w:hAnsi="宋体"/>
          <w:kern w:val="0"/>
          <w:szCs w:val="24"/>
        </w:rPr>
        <w:sectPr w:rsidR="000924C9">
          <w:headerReference w:type="default" r:id="rId14"/>
          <w:pgSz w:w="11920" w:h="16840"/>
          <w:pgMar w:top="1440" w:right="1680" w:bottom="280" w:left="1680" w:header="0" w:footer="1073" w:gutter="0"/>
          <w:pgNumType w:start="1"/>
          <w:cols w:space="720"/>
        </w:sectPr>
      </w:pPr>
    </w:p>
    <w:p w:rsidR="0090693C" w:rsidRPr="0090693C" w:rsidRDefault="00AD331B" w:rsidP="0090693C">
      <w:pPr>
        <w:pStyle w:val="ad"/>
        <w:snapToGrid w:val="0"/>
        <w:spacing w:after="240" w:line="360" w:lineRule="auto"/>
        <w:jc w:val="center"/>
        <w:rPr>
          <w:rFonts w:ascii="宋体" w:hAnsi="宋体"/>
          <w:noProof/>
          <w:sz w:val="24"/>
        </w:rPr>
      </w:pPr>
      <w:r w:rsidRPr="0090693C">
        <w:rPr>
          <w:rFonts w:ascii="宋体" w:hAnsi="宋体"/>
          <w:color w:val="000000"/>
          <w:position w:val="-4"/>
          <w:sz w:val="24"/>
          <w:szCs w:val="30"/>
        </w:rPr>
        <w:lastRenderedPageBreak/>
        <w:t>目</w:t>
      </w:r>
      <w:r w:rsidRPr="0090693C">
        <w:rPr>
          <w:rFonts w:ascii="宋体" w:hAnsi="宋体"/>
          <w:color w:val="000000"/>
          <w:position w:val="-4"/>
          <w:sz w:val="24"/>
          <w:szCs w:val="30"/>
        </w:rPr>
        <w:tab/>
        <w:t>录</w:t>
      </w:r>
      <w:r w:rsidR="0090693C" w:rsidRPr="0090693C">
        <w:rPr>
          <w:rFonts w:ascii="宋体" w:hAnsi="宋体"/>
          <w:color w:val="000000"/>
          <w:position w:val="-4"/>
          <w:sz w:val="24"/>
          <w:szCs w:val="30"/>
        </w:rPr>
        <w:fldChar w:fldCharType="begin"/>
      </w:r>
      <w:r w:rsidR="0090693C" w:rsidRPr="0090693C">
        <w:rPr>
          <w:rFonts w:ascii="宋体" w:hAnsi="宋体"/>
          <w:color w:val="000000"/>
          <w:position w:val="-4"/>
          <w:sz w:val="24"/>
          <w:szCs w:val="30"/>
        </w:rPr>
        <w:instrText xml:space="preserve"> TOC \o "1-3" \f - \h \t "-1" </w:instrText>
      </w:r>
      <w:r w:rsidR="0090693C" w:rsidRPr="0090693C">
        <w:rPr>
          <w:rFonts w:ascii="宋体" w:hAnsi="宋体"/>
          <w:color w:val="000000"/>
          <w:position w:val="-4"/>
          <w:sz w:val="24"/>
          <w:szCs w:val="30"/>
        </w:rPr>
        <w:fldChar w:fldCharType="separate"/>
      </w:r>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0" w:history="1">
        <w:r w:rsidRPr="0090693C">
          <w:rPr>
            <w:rStyle w:val="aa"/>
            <w:rFonts w:ascii="宋体" w:hAnsi="宋体" w:hint="eastAsia"/>
            <w:noProof/>
            <w:kern w:val="0"/>
            <w:sz w:val="24"/>
          </w:rPr>
          <w:t>重要提示</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_Toc234408690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1" w:history="1">
        <w:r w:rsidRPr="0090693C">
          <w:rPr>
            <w:rStyle w:val="aa"/>
            <w:rFonts w:ascii="宋体" w:hAnsi="宋体" w:hint="eastAsia"/>
            <w:noProof/>
            <w:sz w:val="24"/>
          </w:rPr>
          <w:t>一、绪言</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_Toc234408691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4</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2" w:history="1">
        <w:r w:rsidRPr="0090693C">
          <w:rPr>
            <w:rStyle w:val="aa"/>
            <w:rFonts w:ascii="宋体" w:hAnsi="宋体" w:hint="eastAsia"/>
            <w:noProof/>
            <w:sz w:val="24"/>
          </w:rPr>
          <w:t>二、释义</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_Toc234408692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5</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3" w:history="1">
        <w:r w:rsidRPr="0090693C">
          <w:rPr>
            <w:rStyle w:val="aa"/>
            <w:rFonts w:ascii="宋体" w:hAnsi="宋体" w:hint="eastAsia"/>
            <w:noProof/>
            <w:sz w:val="24"/>
          </w:rPr>
          <w:t>三、基金管理人</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_Toc234408693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10</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4" w:history="1">
        <w:r w:rsidRPr="0090693C">
          <w:rPr>
            <w:rStyle w:val="aa"/>
            <w:rFonts w:ascii="宋体" w:hAnsi="宋体" w:hint="eastAsia"/>
            <w:noProof/>
            <w:sz w:val="24"/>
          </w:rPr>
          <w:t>四、基金托管人</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_Toc234408694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17</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5" w:history="1">
        <w:r w:rsidRPr="0090693C">
          <w:rPr>
            <w:rStyle w:val="aa"/>
            <w:rFonts w:ascii="宋体" w:hAnsi="宋体" w:hint="eastAsia"/>
            <w:noProof/>
            <w:sz w:val="24"/>
          </w:rPr>
          <w:t>五、相关服务机构</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_Toc234408695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20</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6" w:history="1">
        <w:r w:rsidRPr="0090693C">
          <w:rPr>
            <w:rStyle w:val="aa"/>
            <w:rFonts w:ascii="宋体" w:hAnsi="宋体" w:hint="eastAsia"/>
            <w:noProof/>
            <w:sz w:val="24"/>
          </w:rPr>
          <w:t>六、基金的历史沿革</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_Toc234408696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59</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7" w:history="1">
        <w:r w:rsidRPr="0090693C">
          <w:rPr>
            <w:rStyle w:val="aa"/>
            <w:rFonts w:ascii="宋体" w:hAnsi="宋体" w:hint="eastAsia"/>
            <w:noProof/>
            <w:sz w:val="24"/>
          </w:rPr>
          <w:t>七、基金的存续</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_Toc234408697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60</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8" w:history="1">
        <w:r w:rsidRPr="0090693C">
          <w:rPr>
            <w:rStyle w:val="aa"/>
            <w:rFonts w:ascii="宋体" w:hAnsi="宋体" w:hint="eastAsia"/>
            <w:noProof/>
            <w:sz w:val="24"/>
          </w:rPr>
          <w:t>八、基金份额的申购与赎回</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_Toc234408698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61</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699" w:history="1">
        <w:r w:rsidRPr="0090693C">
          <w:rPr>
            <w:rStyle w:val="aa"/>
            <w:rFonts w:ascii="宋体" w:hAnsi="宋体" w:hint="eastAsia"/>
            <w:noProof/>
            <w:sz w:val="24"/>
          </w:rPr>
          <w:t>九、基金的转换</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_Toc234408699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76</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0" w:history="1">
        <w:r w:rsidRPr="0090693C">
          <w:rPr>
            <w:rStyle w:val="aa"/>
            <w:rFonts w:ascii="宋体" w:hAnsi="宋体" w:hint="eastAsia"/>
            <w:noProof/>
            <w:sz w:val="24"/>
          </w:rPr>
          <w:t>十、基金的投资</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_Toc234408700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83</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1" w:history="1">
        <w:r w:rsidRPr="0090693C">
          <w:rPr>
            <w:rStyle w:val="aa"/>
            <w:rFonts w:ascii="宋体" w:hAnsi="宋体" w:hint="eastAsia"/>
            <w:noProof/>
            <w:sz w:val="24"/>
          </w:rPr>
          <w:t>十一、基金的业绩</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_Toc234408701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96</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2" w:history="1">
        <w:r w:rsidRPr="0090693C">
          <w:rPr>
            <w:rStyle w:val="aa"/>
            <w:rFonts w:ascii="宋体" w:hAnsi="宋体" w:hint="eastAsia"/>
            <w:noProof/>
            <w:sz w:val="24"/>
          </w:rPr>
          <w:t>十二、基金的财产</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_Toc234408702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99</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3" w:history="1">
        <w:r w:rsidRPr="0090693C">
          <w:rPr>
            <w:rStyle w:val="aa"/>
            <w:rFonts w:ascii="宋体" w:hAnsi="宋体" w:hint="eastAsia"/>
            <w:noProof/>
            <w:sz w:val="24"/>
          </w:rPr>
          <w:t>十三、基金资产的估值</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_Toc234408703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100</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4" w:history="1">
        <w:r w:rsidRPr="0090693C">
          <w:rPr>
            <w:rStyle w:val="aa"/>
            <w:rFonts w:ascii="宋体" w:hAnsi="宋体" w:hint="eastAsia"/>
            <w:noProof/>
            <w:sz w:val="24"/>
          </w:rPr>
          <w:t>十四、基金的收益与分配</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_Toc234408704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106</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5" w:history="1">
        <w:r w:rsidRPr="0090693C">
          <w:rPr>
            <w:rStyle w:val="aa"/>
            <w:rFonts w:ascii="宋体" w:hAnsi="宋体" w:hint="eastAsia"/>
            <w:noProof/>
            <w:sz w:val="24"/>
          </w:rPr>
          <w:t>十五、基金的费用与税收</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_Toc234408705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108</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6" w:history="1">
        <w:r w:rsidRPr="0090693C">
          <w:rPr>
            <w:rStyle w:val="aa"/>
            <w:rFonts w:ascii="宋体" w:hAnsi="宋体" w:hint="eastAsia"/>
            <w:noProof/>
            <w:sz w:val="24"/>
          </w:rPr>
          <w:t>十六、基金的会计与审计</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_Toc234408706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111</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7" w:history="1">
        <w:r w:rsidRPr="0090693C">
          <w:rPr>
            <w:rStyle w:val="aa"/>
            <w:rFonts w:ascii="宋体" w:hAnsi="宋体" w:hint="eastAsia"/>
            <w:noProof/>
            <w:sz w:val="24"/>
          </w:rPr>
          <w:t>十七、基金的信息披露</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_Toc234408707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112</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8" w:history="1">
        <w:r w:rsidRPr="0090693C">
          <w:rPr>
            <w:rStyle w:val="aa"/>
            <w:rFonts w:ascii="宋体" w:hAnsi="宋体" w:hint="eastAsia"/>
            <w:noProof/>
            <w:sz w:val="24"/>
          </w:rPr>
          <w:t>十八、侧袋机制</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_Toc234408708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118</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09" w:history="1">
        <w:r w:rsidRPr="0090693C">
          <w:rPr>
            <w:rStyle w:val="aa"/>
            <w:rFonts w:ascii="宋体" w:hAnsi="宋体" w:hint="eastAsia"/>
            <w:noProof/>
            <w:sz w:val="24"/>
          </w:rPr>
          <w:t>十九、风险揭示</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_Toc234408709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121</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0" w:history="1">
        <w:r w:rsidRPr="0090693C">
          <w:rPr>
            <w:rStyle w:val="aa"/>
            <w:rFonts w:ascii="宋体" w:hAnsi="宋体" w:hint="eastAsia"/>
            <w:noProof/>
            <w:sz w:val="24"/>
          </w:rPr>
          <w:t>二十、基金合同的终止与基金财产的清算</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_Toc234408710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128</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1" w:history="1">
        <w:r w:rsidRPr="0090693C">
          <w:rPr>
            <w:rStyle w:val="aa"/>
            <w:rFonts w:ascii="宋体" w:hAnsi="宋体" w:hint="eastAsia"/>
            <w:noProof/>
            <w:sz w:val="24"/>
          </w:rPr>
          <w:t>二十一、基金合同的内容摘要</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_Toc234408711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130</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2" w:history="1">
        <w:r w:rsidRPr="0090693C">
          <w:rPr>
            <w:rStyle w:val="aa"/>
            <w:rFonts w:ascii="宋体" w:hAnsi="宋体" w:hint="eastAsia"/>
            <w:noProof/>
            <w:sz w:val="24"/>
          </w:rPr>
          <w:t>二十二、托管协议的内容摘要</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_Toc234408712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145</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3" w:history="1">
        <w:r w:rsidRPr="0090693C">
          <w:rPr>
            <w:rStyle w:val="aa"/>
            <w:rFonts w:ascii="宋体" w:hAnsi="宋体" w:hint="eastAsia"/>
            <w:noProof/>
            <w:sz w:val="24"/>
          </w:rPr>
          <w:t>二十三、对基金份额持有人的服务</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_Toc234408713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161</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4" w:history="1">
        <w:r w:rsidRPr="0090693C">
          <w:rPr>
            <w:rStyle w:val="aa"/>
            <w:rFonts w:ascii="宋体" w:hAnsi="宋体" w:hint="eastAsia"/>
            <w:noProof/>
            <w:sz w:val="24"/>
          </w:rPr>
          <w:t>二十四、其他应披露事项</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_Toc234408714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163</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5" w:history="1">
        <w:r w:rsidRPr="0090693C">
          <w:rPr>
            <w:rStyle w:val="aa"/>
            <w:rFonts w:ascii="宋体" w:hAnsi="宋体" w:hint="eastAsia"/>
            <w:noProof/>
            <w:sz w:val="24"/>
          </w:rPr>
          <w:t>二十五、招募说明书的存放及查阅方式</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_Toc234408715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165</w:t>
        </w:r>
        <w:r w:rsidRPr="0090693C">
          <w:rPr>
            <w:rFonts w:ascii="宋体" w:hAnsi="宋体"/>
            <w:noProof/>
            <w:sz w:val="24"/>
          </w:rPr>
          <w:fldChar w:fldCharType="end"/>
        </w:r>
      </w:hyperlink>
    </w:p>
    <w:p w:rsidR="0090693C" w:rsidRPr="0090693C" w:rsidRDefault="0090693C" w:rsidP="0090693C">
      <w:pPr>
        <w:pStyle w:val="10"/>
        <w:tabs>
          <w:tab w:val="right" w:leader="dot" w:pos="8550"/>
        </w:tabs>
        <w:spacing w:line="360" w:lineRule="auto"/>
        <w:rPr>
          <w:rFonts w:ascii="宋体" w:hAnsi="宋体" w:cstheme="minorBidi"/>
          <w:noProof/>
          <w:sz w:val="24"/>
        </w:rPr>
      </w:pPr>
      <w:hyperlink w:anchor="_Toc234408716" w:history="1">
        <w:r w:rsidRPr="0090693C">
          <w:rPr>
            <w:rStyle w:val="aa"/>
            <w:rFonts w:ascii="宋体" w:hAnsi="宋体" w:hint="eastAsia"/>
            <w:noProof/>
            <w:sz w:val="24"/>
          </w:rPr>
          <w:t>二十六、备查文件</w:t>
        </w:r>
        <w:r w:rsidRPr="0090693C">
          <w:rPr>
            <w:rFonts w:ascii="宋体" w:hAnsi="宋体"/>
            <w:noProof/>
            <w:sz w:val="24"/>
          </w:rPr>
          <w:tab/>
        </w:r>
        <w:r w:rsidRPr="0090693C">
          <w:rPr>
            <w:rFonts w:ascii="宋体" w:hAnsi="宋体"/>
            <w:noProof/>
            <w:sz w:val="24"/>
          </w:rPr>
          <w:fldChar w:fldCharType="begin"/>
        </w:r>
        <w:r w:rsidRPr="0090693C">
          <w:rPr>
            <w:rFonts w:ascii="宋体" w:hAnsi="宋体"/>
            <w:noProof/>
            <w:sz w:val="24"/>
          </w:rPr>
          <w:instrText xml:space="preserve"> PAGEREF _Toc234408716 \h </w:instrText>
        </w:r>
        <w:r w:rsidRPr="0090693C">
          <w:rPr>
            <w:rFonts w:ascii="宋体" w:hAnsi="宋体"/>
            <w:noProof/>
            <w:sz w:val="24"/>
          </w:rPr>
        </w:r>
        <w:r w:rsidRPr="0090693C">
          <w:rPr>
            <w:rFonts w:ascii="宋体" w:hAnsi="宋体"/>
            <w:noProof/>
            <w:sz w:val="24"/>
          </w:rPr>
          <w:fldChar w:fldCharType="separate"/>
        </w:r>
        <w:r w:rsidRPr="0090693C">
          <w:rPr>
            <w:rFonts w:ascii="宋体" w:hAnsi="宋体"/>
            <w:noProof/>
            <w:sz w:val="24"/>
          </w:rPr>
          <w:t>166</w:t>
        </w:r>
        <w:r w:rsidRPr="0090693C">
          <w:rPr>
            <w:rFonts w:ascii="宋体" w:hAnsi="宋体"/>
            <w:noProof/>
            <w:sz w:val="24"/>
          </w:rPr>
          <w:fldChar w:fldCharType="end"/>
        </w:r>
      </w:hyperlink>
    </w:p>
    <w:p w:rsidR="000924C9" w:rsidRPr="0090693C" w:rsidRDefault="0090693C" w:rsidP="0090693C">
      <w:pPr>
        <w:pStyle w:val="ad"/>
        <w:snapToGrid w:val="0"/>
        <w:spacing w:after="240" w:line="360" w:lineRule="auto"/>
        <w:jc w:val="center"/>
        <w:rPr>
          <w:rFonts w:ascii="宋体" w:hAnsi="宋体"/>
          <w:color w:val="000000"/>
          <w:sz w:val="24"/>
        </w:rPr>
      </w:pPr>
      <w:r w:rsidRPr="0090693C">
        <w:rPr>
          <w:rFonts w:ascii="宋体" w:hAnsi="宋体"/>
          <w:color w:val="000000"/>
          <w:position w:val="-4"/>
          <w:sz w:val="24"/>
          <w:szCs w:val="30"/>
        </w:rPr>
        <w:fldChar w:fldCharType="end"/>
      </w:r>
      <w:bookmarkStart w:id="3" w:name="_GoBack"/>
      <w:bookmarkEnd w:id="3"/>
    </w:p>
    <w:p w:rsidR="000924C9" w:rsidRDefault="000924C9">
      <w:pPr>
        <w:autoSpaceDE w:val="0"/>
        <w:autoSpaceDN w:val="0"/>
        <w:adjustRightInd w:val="0"/>
        <w:snapToGrid w:val="0"/>
        <w:spacing w:line="360" w:lineRule="auto"/>
        <w:ind w:left="120" w:rightChars="6" w:right="13"/>
        <w:rPr>
          <w:rFonts w:ascii="宋体" w:hAnsi="宋体"/>
          <w:kern w:val="0"/>
          <w:szCs w:val="24"/>
        </w:rPr>
        <w:sectPr w:rsidR="000924C9">
          <w:pgSz w:w="11920" w:h="16840"/>
          <w:pgMar w:top="1480" w:right="1680" w:bottom="280" w:left="1680" w:header="0" w:footer="1073" w:gutter="0"/>
          <w:cols w:space="720"/>
        </w:sectPr>
      </w:pPr>
    </w:p>
    <w:p w:rsidR="000924C9" w:rsidRDefault="00AD331B">
      <w:pPr>
        <w:pStyle w:val="1"/>
        <w:snapToGrid w:val="0"/>
        <w:spacing w:beforeLines="0" w:before="240" w:after="240"/>
        <w:rPr>
          <w:rFonts w:ascii="宋体" w:hAnsi="宋体"/>
          <w:szCs w:val="30"/>
        </w:rPr>
      </w:pPr>
      <w:bookmarkStart w:id="4" w:name="_Toc234408691"/>
      <w:r>
        <w:rPr>
          <w:rFonts w:ascii="Times New Roman" w:hAnsi="Times New Roman"/>
          <w:sz w:val="30"/>
        </w:rPr>
        <w:lastRenderedPageBreak/>
        <w:t>一、绪言</w:t>
      </w:r>
      <w:bookmarkEnd w:id="4"/>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阿尔法核心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阿尔法核心混合型证券投资基金基金合同》（以下简称“基金合同”）编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5" w:name="_Toc234408692"/>
      <w:r>
        <w:rPr>
          <w:rFonts w:ascii="Times New Roman" w:hAnsi="Times New Roman"/>
          <w:sz w:val="30"/>
        </w:rPr>
        <w:lastRenderedPageBreak/>
        <w:t>二、释义</w:t>
      </w:r>
      <w:bookmarkEnd w:id="5"/>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指交银施罗德阿尔法核心混合型证券投资基金，本基金由交银施罗德阿尔法核心股票型证券投资基金变更而来</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指中国建设银行股份有限公司</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r>
              <w:rPr>
                <w:rFonts w:ascii="Times New Roman" w:hAnsi="Times New Roman"/>
                <w:color w:val="000000"/>
                <w:kern w:val="0"/>
                <w:sz w:val="25"/>
                <w:szCs w:val="24"/>
              </w:rPr>
              <w:t>基金合同或本基金合同：</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指《交银施罗德阿尔法核心混合型证券投资基金基金合同》及对本基金合同的任何有效修订和补充</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指基金管理人与基金托管人就本基金签订之《交银施罗德阿尔法核心混合型证券投资基金托管协议》及对该托管协议的任何有效修订和补充</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指《交银施罗德阿尔法核心混合型证券投资基金招募说明书》及其更新</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指本基金根据《运作办法》变更为混合型基金前的《交银施罗德阿尔法核心股票型证券投资基金份额发售公告》</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指《交银施罗德阿尔法核心混合型证券投资基金基金产品资料概要》及其更新</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指中国现行有效并公布实施的法律、行政法规、部门规章、规范性文件及对该等法律法规不时作出的修订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日起实施的《中华人民共和国证券投资基金法》及颁布机关对其不时做出的修订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9</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日实施的《证券投资基金销售管理办法》及颁布机关对其不时做出的修订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日实施的《证券投资基金运作管理办法》及颁布机关对其不时做出的修订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r>
              <w:rPr>
                <w:rFonts w:ascii="Times New Roman" w:hAnsi="Times New Roman"/>
                <w:color w:val="000000"/>
                <w:kern w:val="0"/>
                <w:sz w:val="25"/>
                <w:szCs w:val="24"/>
              </w:rPr>
              <w:t>中国：</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指中华人民共和国，就本基金合同而言，不包括香港特别行政区、澳门特别行政区和台湾地区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17.</w:t>
            </w:r>
            <w:r>
              <w:rPr>
                <w:rFonts w:ascii="Times New Roman" w:hAnsi="Times New Roman"/>
                <w:color w:val="000000"/>
                <w:kern w:val="0"/>
                <w:sz w:val="25"/>
                <w:szCs w:val="24"/>
              </w:rPr>
              <w:t>中国银监会：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指依法可以投资开放式证券投资基金的、在中华人民共和国境内合法注册登记并存续或经有关政府部门批准设立并存续的企业法人、事业法人、社会团体或其他组织</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指符合现实有效的相关法律法规规定可以投资于中国境内证券市场，并取得国家外汇管理局额度批准的中国境外的机构投资者</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指个人投资者、机构投资者和合格境外机构投资者以及法律法规或中国证监会允许购买证券投资基金的其他投资人的合称</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指基金管理人或代销机构宣传推介基金，发售基金份额，办理基金份额的申购、赎回、转换、转托管及定期定额投资等业务</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注册登记、基金销售业务的确认、清算和结算、代理发放红利、建立并保管基金份额持有人名册、办理非交易过户业务等</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w:t>
            </w:r>
            <w:r>
              <w:rPr>
                <w:rFonts w:ascii="Times New Roman" w:hAnsi="Times New Roman"/>
                <w:color w:val="000000"/>
                <w:kern w:val="0"/>
                <w:sz w:val="25"/>
                <w:szCs w:val="24"/>
              </w:rPr>
              <w:t xml:space="preserve"> </w:t>
            </w:r>
            <w:r>
              <w:rPr>
                <w:rFonts w:ascii="Times New Roman" w:hAnsi="Times New Roman"/>
                <w:color w:val="000000"/>
                <w:kern w:val="0"/>
                <w:sz w:val="25"/>
                <w:szCs w:val="24"/>
              </w:rPr>
              <w:t>交银施罗德基金管理有限公司或接受交银施罗德基金管理有限公司委托代为办理注册登记业务的机构</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投资人开立的、记录其持有的、基金管理人所管理的基金份额余额及其变动情况的账户。投资人通过场外销售机构办理基金份额的认购、申购和赎回等业务时需持有基金账户。记录在该账户下的基金份额登记在注册登记机构的注册登记系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33.</w:t>
            </w: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指销售机构为投资人开立的、记录投资人通过该销售机构买卖本基金的基金份额变动及结余情况的账户</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r>
              <w:rPr>
                <w:rFonts w:ascii="Times New Roman" w:hAnsi="Times New Roman"/>
                <w:color w:val="000000"/>
                <w:kern w:val="0"/>
                <w:sz w:val="25"/>
                <w:szCs w:val="24"/>
              </w:rPr>
              <w:t>上海证券账户：</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中国证券登记结算有限责任公司上海分公司开设的上海证券交易所人民币普通股票账户或证券投资基金账户。投资人通过上海证券交易所交易系统办理场内认购、申购和赎回等业务时需持有上海证券账户。记录在该账户下的基金份额登记在注册登记机构的证券登记结算系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r>
              <w:rPr>
                <w:rFonts w:ascii="Times New Roman" w:hAnsi="Times New Roman"/>
                <w:color w:val="000000"/>
                <w:kern w:val="0"/>
                <w:sz w:val="25"/>
                <w:szCs w:val="24"/>
              </w:rPr>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42.T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指销售机构在规定时间受理投资人申购、赎回或其他业务申请的工作日</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43.T+n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44.</w:t>
            </w: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45.</w:t>
            </w:r>
            <w:r>
              <w:rPr>
                <w:rFonts w:ascii="Times New Roman" w:hAnsi="Times New Roman"/>
                <w:color w:val="000000"/>
                <w:kern w:val="0"/>
                <w:sz w:val="25"/>
                <w:szCs w:val="24"/>
              </w:rPr>
              <w:t>交易时间：</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46.</w:t>
            </w: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是规范基金管理人所管理的开放式证券投资基金注册登记方面的业务规则，由基金管理人和投资人共同遵守；此外，投资人通过场内认购、申购、赎回本基金还须遵守上海证券交易所及登记结算公司场内业务有关规则</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47.</w:t>
            </w: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指在基金募集期内，投资人申请购买基金份额的行为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48.</w:t>
            </w: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49.</w:t>
            </w: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指基金合同生效后，基金份额持有人按基金合同规定的条件要求将基金份额兑换为现金的行为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不通过上海证券交易所的交易系统办理基金份额认购、申购和赎回等业务的销售机构和场所</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51.</w:t>
            </w: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通过上海证券交易所的交易系统办理基金份额认购、申购和赎回等业务的销售机构和场所</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52.</w:t>
            </w:r>
            <w:r>
              <w:rPr>
                <w:rFonts w:ascii="Times New Roman" w:hAnsi="Times New Roman"/>
                <w:color w:val="000000"/>
                <w:kern w:val="0"/>
                <w:sz w:val="25"/>
                <w:szCs w:val="24"/>
              </w:rPr>
              <w:t>注册登记系统：</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指中国证券登记结算有限责任公司开放式基金登记结算系统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53.</w:t>
            </w:r>
            <w:r>
              <w:rPr>
                <w:rFonts w:ascii="Times New Roman" w:hAnsi="Times New Roman"/>
                <w:color w:val="000000"/>
                <w:kern w:val="0"/>
                <w:sz w:val="25"/>
                <w:szCs w:val="24"/>
              </w:rPr>
              <w:t>证券登记结算系统：</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指中国证券登记结算有限责任公司上海分公司证券登记结算系统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54.</w:t>
            </w: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基金管理人管理的、且由同一注册登记机构办理注册登记的其他基金基金份额的行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55.</w:t>
            </w: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指基金份额持有人在本基金的不同销售机构之间实施的变更所持基金份额销售机构的操作行为，包括系统内转托管及跨系统转托管</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56.</w:t>
            </w:r>
            <w:r>
              <w:rPr>
                <w:rFonts w:ascii="Times New Roman" w:hAnsi="Times New Roman"/>
                <w:color w:val="000000"/>
                <w:kern w:val="0"/>
                <w:sz w:val="25"/>
                <w:szCs w:val="24"/>
              </w:rPr>
              <w:t>系统内转托管：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指基金份额持有人将持有的基金份额在注册登记系统内不同销售机构（网点）之间或证券登记结算系统内不同会员单位（席位或交易单元）之间进行转登记的行为</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57.</w:t>
            </w:r>
            <w:r>
              <w:rPr>
                <w:rFonts w:ascii="Times New Roman" w:hAnsi="Times New Roman"/>
                <w:color w:val="000000"/>
                <w:kern w:val="0"/>
                <w:sz w:val="25"/>
                <w:szCs w:val="24"/>
              </w:rPr>
              <w:t>跨系统转托管：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指基金份额持有人将持有的</w:t>
            </w:r>
            <w:r>
              <w:rPr>
                <w:rFonts w:ascii="Times New Roman" w:hAnsi="Times New Roman"/>
                <w:color w:val="000000"/>
                <w:kern w:val="0"/>
                <w:sz w:val="25"/>
                <w:szCs w:val="24"/>
              </w:rPr>
              <w:t>A</w:t>
            </w:r>
            <w:r>
              <w:rPr>
                <w:rFonts w:ascii="Times New Roman" w:hAnsi="Times New Roman"/>
                <w:color w:val="000000"/>
                <w:kern w:val="0"/>
                <w:sz w:val="25"/>
                <w:szCs w:val="24"/>
              </w:rPr>
              <w:t>类基金份额在注册登记系统和证券登记结算系统间进行转登记的行为。除经基金管理人另行公告，</w:t>
            </w:r>
            <w:r>
              <w:rPr>
                <w:rFonts w:ascii="Times New Roman" w:hAnsi="Times New Roman"/>
                <w:color w:val="000000"/>
                <w:kern w:val="0"/>
                <w:sz w:val="25"/>
                <w:szCs w:val="24"/>
              </w:rPr>
              <w:t>C</w:t>
            </w:r>
            <w:r>
              <w:rPr>
                <w:rFonts w:ascii="Times New Roman" w:hAnsi="Times New Roman"/>
                <w:color w:val="000000"/>
                <w:kern w:val="0"/>
                <w:sz w:val="25"/>
                <w:szCs w:val="24"/>
              </w:rPr>
              <w:t>类基金份额不能进行跨系统转托管</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58.</w:t>
            </w: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指投资人通过有关销售机构提出申请，约定每期申购日、扣款金额及扣款方式，由指定的销售机构在投资人指定资金账户内自动扣款并于每期约定的申购日提交基金申购申请的一种投资方式</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59.</w:t>
            </w: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w:t>
            </w:r>
            <w:r>
              <w:rPr>
                <w:rFonts w:ascii="Times New Roman" w:hAnsi="Times New Roman"/>
                <w:color w:val="000000"/>
                <w:kern w:val="0"/>
                <w:sz w:val="25"/>
                <w:szCs w:val="24"/>
              </w:rPr>
              <w:t>(</w:t>
            </w:r>
            <w:r>
              <w:rPr>
                <w:rFonts w:ascii="Times New Roman" w:hAnsi="Times New Roman"/>
                <w:color w:val="000000"/>
                <w:kern w:val="0"/>
                <w:sz w:val="25"/>
                <w:szCs w:val="24"/>
              </w:rPr>
              <w:t>赎回申请份额总数加上基金转换中转出申请份额总数后扣除申购申请份额总数及基金转换中转入申请份额总数后的余额</w:t>
            </w:r>
            <w:r>
              <w:rPr>
                <w:rFonts w:ascii="Times New Roman" w:hAnsi="Times New Roman"/>
                <w:color w:val="000000"/>
                <w:kern w:val="0"/>
                <w:sz w:val="25"/>
                <w:szCs w:val="24"/>
              </w:rPr>
              <w:t>)</w:t>
            </w:r>
            <w:r>
              <w:rPr>
                <w:rFonts w:ascii="Times New Roman" w:hAnsi="Times New Roman"/>
                <w:color w:val="000000"/>
                <w:kern w:val="0"/>
                <w:sz w:val="25"/>
                <w:szCs w:val="24"/>
              </w:rPr>
              <w:t>超过上一日基金总份额的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61.</w:t>
            </w: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指基金利息收入、投资收益、公允价值变动收益和其他收入扣除相关费用后的余额</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62.</w:t>
            </w: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63.</w:t>
            </w: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64.</w:t>
            </w: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65.</w:t>
            </w: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66.</w:t>
            </w: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67.A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指对投资人收取申购费用且不从本类别基金资产中计提销售服务费的基金份额</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68.C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69.</w:t>
            </w: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70.</w:t>
            </w: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71.</w:t>
            </w: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72.</w:t>
            </w: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73.</w:t>
            </w: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公众通讯设备或互联网络障碍等</w:t>
            </w:r>
          </w:p>
        </w:tc>
      </w:tr>
    </w:tbl>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6" w:name="_Toc234408693"/>
      <w:r>
        <w:rPr>
          <w:rFonts w:ascii="Times New Roman" w:hAnsi="Times New Roman"/>
          <w:sz w:val="30"/>
        </w:rPr>
        <w:lastRenderedPageBreak/>
        <w:t>三、基金管理人</w:t>
      </w:r>
      <w:bookmarkEnd w:id="6"/>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何帅先生:上海财经大学硕士，16年证券投资行业从业经验。2010年至2012年任国联安基金管理有限公司研究员。2012年加入交银施罗德基金管理有限公司，曾任行业分析师，现任权益部基金经理。现任交银施罗德优势行业灵活配置混合型证券投资基金(2015年07月09日至今)、交银施罗德阿尔法核心混合型证券投资基金(2015年09月16日至今)、交银施罗德持续成长主题混合型证券投资基金(2018年01月12日至今)、交银施罗德瑞和三年持有期混合型证券投资基金(2022年03月02日至今)的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龙向东先生(2012年08月03日至2015年09月25日)。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7" w:name="_Toc234408694"/>
      <w:r>
        <w:rPr>
          <w:rFonts w:ascii="Times New Roman" w:hAnsi="Times New Roman"/>
          <w:sz w:val="30"/>
        </w:rPr>
        <w:lastRenderedPageBreak/>
        <w:t>四、基金托管人</w:t>
      </w:r>
      <w:bookmarkEnd w:id="7"/>
    </w:p>
    <w:p w:rsidR="000924C9" w:rsidRDefault="00AD331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8" w:name="_Toc234408695"/>
      <w:r>
        <w:rPr>
          <w:rFonts w:ascii="Times New Roman" w:hAnsi="Times New Roman"/>
          <w:sz w:val="30"/>
        </w:rPr>
        <w:lastRenderedPageBreak/>
        <w:t>五、相关服务机构</w:t>
      </w:r>
      <w:bookmarkEnd w:id="8"/>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个人投资者可以通过本基金管理人网上直销交易平台办理开户、本基金的申购、赎回、转换及定期定额投资等业务，具体交易细则请参阅本基金管理人网站。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2、A类基金份额场内代销机构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具有基金代销资格的上海证券交易所场内会员单位，名单详见上海证券交易所网站。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（4）名称：东吴证券股份有限公司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（5）名称：厦门银行股份有限公司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www.xmbankonline.com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（6）名称：杭州银行股份有限公司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（8）名称：中国建设银行股份有限公司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（9）名称：交通银行股份有限公司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法定代表人：任德奇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（10）名称：招商银行股份有限公司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联系人：丰靖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（13）名称：江苏常熟农村商业银行股份有限公司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（14）名称：东莞农村商业银行股份有限公司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（15）名称：中国农业银行股份有限公司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（16）名称：中国光大银行股份有限公司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（17）名称：宁波银行股份有限公司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（18）名称：平安银行股份有限公司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（19）名称：中国邮政储蓄银行股份有限公司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传真：（010）68858117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（20）名称：光大证券股份有限公司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（21）名称：中国中金财富证券有限公司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（22）名称：中邮证券有限责任公司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网址：www.cnpsec.com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（23）名称：国联民生证券股份有限公司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（24）名称：开源证券股份有限公司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（25）名称：山西证券股份有限公司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（26）名称：华福证券股份有限公司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传真：（0591）87383610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（27）名称：东方证券股份有限公司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（28）名称：德邦证券股份有限公司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（29）名称：国投证券股份有限公司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（30）名称：国元证券股份有限公司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法定代表人：俞仕新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（31）名称：五矿证券有限公司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（32）名称：财通证券股份有限公司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（33）名称：中信建投证券股份有限公司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（34）名称：浙商证券股份有限公司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（35）名称：民生证券股份有限公司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（36）名称：中原证券股份有限公司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（37）名称：东方财富证券股份有限公司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（38）名称：国信证券股份有限公司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（39）名称：广发证券股份有限公司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（40）名称：华龙证券股份有限公司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客户服务电话：4006898888、（0931）4890208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（41）名称：华宝证券股份有限公司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（42）名称：长城国瑞证券有限公司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（43）名称：大同证券有限责任公司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（44）名称：长江证券股份有限公司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住所：武汉市新华路特8号长江证券大厦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（45）名称：招商证券股份有限公司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（46）名称：联储证券有限责任公司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（47）名称：第一创业证券股份有限公司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（48）名称：华西证券股份有限公司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（49）名称：粤开证券股份有限公司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（50）名称：国新证券股份有限公司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（51）名称：西南证券股份有限公司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办公地址：重庆市江北区桥北苑8号西南证券大厦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（52）名称：信达证券股份有限公司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（53）名称：渤海证券股份有限公司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（54）名称：国金证券股份有限公司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传真：（028）86690126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（55）名称：长城证券有限责任公司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（56）名称：瑞银证券有限责任公司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（57）名称：中国国际金融股份有限公司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（58）名称：华鑫证券有限责任公司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华鑫证券有限责任公司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（59）名称：中泰证券股份有限公司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（60）名称：申万宏源西部证券有限公司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（61）名称：中国银河证券股份有限公司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（62）名称：申万宏源证券有限公司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住所：上海市徐汇区长乐路989号世纪商贸广场45层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（63）名称：国都证券股份有限公司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（64）名称：平安证券股份有限公司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（65）名称：南京证券股份有限公司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网址：www.nizq.com.cn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（66）名称：西部证券股份有限公司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（67）名称：金融街证券股份有限公司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（68）名称：东莞证券股份有限公司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（69）名称：华安证券股份有限公司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法定代表人：章宏韬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（70）名称：方正证券股份有限公司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（71）名称：万联证券股份有限公司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（72）名称：华泰证券股份有限公司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（73）名称：中航证券有限公司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（74）名称：中信证券（山东）有限责任公司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（75）名称：中信证券股份有限公司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（76）名称：中信证券华南股份有限公司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法定代表人：陈可可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（77）名称：湘财证券股份有限公司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（78）名称：国泰海通证券股份有限公司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（79）名称：上海中欧财富基金销售有限公司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刘弘义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（80）名称：济安财富（北京）基金销售有限公司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（81）名称：博时财富基金销售有限公司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（82）名称：大连网金基金销售有限公司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（83）名称：阳光人寿保险股份有限公司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（84）名称：玄元保险代理有限公司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（85）名称：上海大智慧基金销售有限公司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（86）名称：和耕传承基金销售有限公司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（87）名称：腾安基金销售（深圳）有限公司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（88）名称：珠海盈米基金销售有限公司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（89）名称：上海华夏财富投资管理有限公司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张静怡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（90）名称：北京度小满基金销售有限公司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（91）名称：南京苏宁基金销售有限公司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（92）名称：嘉实财富管理有限公司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（93）名称：北京汇成基金销售有限公司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（94）名称：上海利得基金销售有限公司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（95）名称：北京虹点基金销售有限公司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（96）名称：上海挖财基金销售有限公司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法定代表人：吕柳霞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（97）名称：万家财富基金销售（天津）有限公司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（98）名称：上海万得基金销售有限公司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（99）名称：格上富信投资顾问有限公司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传真：（010）65983333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（101）名称：北京雪球基金销售有限公司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（102）名称：北京新浪仓石基金销售有限公司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客服电话：010-6267 5369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（103）名称：上海证达通基金销售有限公司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（104）名称：北京创金启富基金销售有限公司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（105）名称：奕丰基金销售有限公司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（106）名称：上海天天基金销售有限公司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（107）名称：和讯信息科技有限公司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（108）名称：诺亚正行基金销售有限公司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（109）名称：上海好买基金销售有限公司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法定代表人：杨文斌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（110）名称：上海长量基金销售有限公司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（111）名称：深圳众禄基金销售股份有限公司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（112）名称：天相投资顾问有限公司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客户服务电话：（010）66045678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（113）名称：上海基煜基金销售有限公司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（114）名称：浙江同花顺基金销售有限公司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（115）名称：宜信普泽（北京）基金销售有限公司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（116）名称：上海联泰基金销售有限公司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（117）名称：北京广源达信基金销售有限公司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（118）名称：深圳市新兰德证券投资咨询有限公司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（119）名称：北京展恒基金销售股份有限公司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法定代表人：闫振杰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（120）名称：泛华普益基金销售有限公司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（121）名称：深圳前海微众银行股份有限公司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（122）名称：中国人寿保险股份有限公司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www.e-chinalife.com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（123）名称：中信期货有限公司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（124）名称：蚂蚁（杭州）基金销售有限公司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（125）名称：京东肯特瑞基金销售有限公司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（126）名称：上海陆金所基金销售有限公司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名称：毕马威华振会计师事务所(特殊普通合伙)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9" w:name="_Toc234408696"/>
      <w:r>
        <w:rPr>
          <w:rFonts w:ascii="Times New Roman" w:hAnsi="Times New Roman"/>
          <w:sz w:val="30"/>
        </w:rPr>
        <w:lastRenderedPageBreak/>
        <w:t>六、基金的历史沿革</w:t>
      </w:r>
      <w:bookmarkEnd w:id="9"/>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阿尔法核心混合型证券投资基金由交银施罗德阿尔法核心股票型证券投资基金变更而来，交银施罗德阿尔法核心股票型证券投资基金由基金管理人依照《基金法》、《运作办法》、基金合同及其他有关规定，并经中国证监会证监许可[2012]274号文核准募集发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交银施罗德阿尔法核心股票型证券投资基金为契约型开放式股票型基金。基金存续期间为不定期。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本基金自2012年6月29日起至2012年7月31日进行发售。本基金设立募集期共募集1,144,690,358.11份基金份额，有效认购户数为2,498户。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阿尔法核心混合型证券投资基金，由《交银施罗德阿尔法核心股票型证券投资基金基金合同》修订而成的《交银施罗德阿尔法核心混合型证券投资基金基金合同》自该日起生效。</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0" w:name="_Toc234408697"/>
      <w:r>
        <w:rPr>
          <w:rFonts w:ascii="Times New Roman" w:hAnsi="Times New Roman"/>
          <w:sz w:val="30"/>
        </w:rPr>
        <w:lastRenderedPageBreak/>
        <w:t>七、基金的存续</w:t>
      </w:r>
      <w:bookmarkEnd w:id="10"/>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1" w:name="_Toc234408698"/>
      <w:r>
        <w:rPr>
          <w:rFonts w:ascii="Times New Roman" w:hAnsi="Times New Roman"/>
          <w:sz w:val="30"/>
        </w:rPr>
        <w:lastRenderedPageBreak/>
        <w:t>八、基金份额的申购与赎回</w:t>
      </w:r>
      <w:bookmarkEnd w:id="11"/>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投资者可通过场外和场内两种方式申购与赎回A类基金份额；C类基金份额不开设场内申购、赎回的方式，投资者只能通过场外方式申购与赎回C类基金份额。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本基金管理人网站。网上直销交易平台网址：www.fund001.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2、不通过上海证券交易所交易系统办理相关业务的场外代销机构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本基金场外代销机构参见本招募说明书“五、相关服务机构”章节或拨打本公司客户服务电话进行咨询。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投资者可通过上述销售机构办理基金销售业务的营业场所或按上述销售机构提供的其他方式进行申购或赎回。本基金管理人可根据情况变更或增减基金代销机构，并在管理人网站公示。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3、通过上海证券交易所交易系统办理相关业务的上海证券交易所会员单位，目前场内交易只支持前端A类基金份额的申购。具体名单详见上海证券交易所网</w:t>
      </w:r>
      <w:r>
        <w:rPr>
          <w:rFonts w:ascii="宋体" w:hAnsi="宋体"/>
          <w:sz w:val="24"/>
        </w:rPr>
        <w:lastRenderedPageBreak/>
        <w:t>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和赎回的开放日为证券交易所交易日（基金管理人公告暂停申购或赎回时除外），基金投资者在开放日申请办理基金份额的申购和赎回，具体办理时间为上海证券交易所、深圳证券交易所的正常交易日的交易时间。但基金管理人根据法律法规、中国证监会的要求或本基金合同的规定公告暂停申购、赎回时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的，其基金份额申购、赎回价格为下一开放日基金份额申购、赎回的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本基金A类基金份额已于2012年8月15日起开放场内、场外申购业务。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本基金C类基金份额已于2021年11月12日起开放场外申购业务。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本基金A类基金份额已于2012年8月15日起开放场内、场外赎回业务。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本基金C类基金份额已于2021年11月12日起开放场外赎回业务。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赎回、转换本基金采用先进先出原则，即基金份额持有人在赎回或转换基金份额，基金管理人对该基金份额持有人的基金份额进行赎回或转换处理时，认购、申购确认日期在先的基金份额先赎回或转换，认购、申购确认日期在后的基金份额后赎回或转换，以确定被赎回或转换基金份额的持有期限和所适用的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4、当日的申购与赎回申请可以在销售机构规定的时间以内撤销，但申请经注册登记机构正式受理的不得撤销。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基金管理人可根据基金运作的实际情况依法对上述原则进行调整。基金管理人必须在新规则开始实施前依照《信息披露办法》的有关规定在指定媒介上公告。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场外申购时，代销机构每个账户单笔申购的最低金额为单笔1元，如果代销机构业务规则规定的最低单笔申购金额高于1元，以代销机构的规定为准。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体上刊登公告并报中国证监会备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1、申购和赎回的申请方式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投资人在提交申购申请时须按销售机构规定的方式备足申购资金，投资人在提交赎回申请时须持有足够的基金份额余额，否则所提交的申购、赎回申请无效。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注册登记机构应以交易时间结束前受理申购和赎回申请的当天作为申购或赎回申请日(T日)，在正常情况下，本基金注册登记机构在T+1日（包括该日）内对该交易的有效性进行确认。T日提交的有效申请，投资人应在T+2日后(包括该日)到销售网点柜台或以销售机构规定的其他方式查询申请的确认情况，否则如因申请未得到注册登记机构的确认而产生的后果，由投资人自行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基金销售机构对申购、赎回申请的受理并不代表申请一定成功，而仅代表销售机构确实接收到申购、赎回申请。申购、赎回申请的确认以注册登记机构或基金管理人的确认结果为准。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申购采用全额缴款方式，若申购资金在规定时间内未全额到账则申购不成功。若申购不成功或无效，基金管理人或基金管理人指定的代销机构将投资人已缴付的申购款项退还给投资人。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投资人赎回申请成功后，基金管理人将通过注册登记机构及其相关销售机构在T＋7日(包括该日)内将赎回款项划往基金份额持有人账户。在发生巨额赎回时，款项的支付办法参照本基金合同有关条款处理。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日申购基金成功后，正常情况下，注册登记机构在T＋1 日为投资者增加权益并办理注册登记手续，投资者自T＋2 日（含该日）起有权赎回该部分基金份额。投资人应及时查询有关申请的确认情况。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日赎回基金成功后，正常情况下，基金注册登记机构在T＋1 日</w:t>
      </w:r>
      <w:r>
        <w:rPr>
          <w:rFonts w:ascii="宋体" w:hAnsi="宋体"/>
          <w:sz w:val="24"/>
        </w:rPr>
        <w:lastRenderedPageBreak/>
        <w:t>为投资者扣除权益并办理相应的注册登记手续。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（3）基金管理人可在法律法规允许的范围内，对上述注册登记办理时间进行调整，并最迟于开始实施前按照《信息披露办法》的有关规定在指定媒介上公告。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本基金基金份额分为A类基金份额和C类基金份额。投资人申购A类基金份额需支付申购费用；申购C类基金份额不支付申购费用，并从该类别基金资产中计提销售服务费。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者可以选择前端收费模式，即在申购时支付申购费用；也可以选择后端收费模式，即在赎回时才支付相应的申购费用，该费用随A类基金份额的持有时间递减。场外申购可以采取前端收费模式和后端收费模式，场内申购目前只支持前端收费模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本基金A类基金份额的申购费用由申购A类基金份额的申购人承担，不列入基金财产，主要用于本基金的市场推广、销售、注册登记等各项费用。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924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0924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本基金自2013年4月11日起，对通过本公司直销柜台申购本基金前端A类基金份额的养老金客户实施特定申购费率。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w:t>
      </w:r>
      <w:r>
        <w:rPr>
          <w:rFonts w:ascii="宋体" w:hAnsi="宋体"/>
          <w:sz w:val="24"/>
        </w:rPr>
        <w:lastRenderedPageBreak/>
        <w:t>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0924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赎回费用的25%归基金财产，其余用于支付注册登记费和其他必要的手续费。其中，对持续持有期少于7日的基金份额持有人收取不低于1.5%的赎回费并全额计入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924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924C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w:t>
            </w:r>
            <w:r>
              <w:rPr>
                <w:rFonts w:ascii="Times New Roman" w:hAnsi="Times New Roman"/>
                <w:color w:val="000000"/>
                <w:kern w:val="0"/>
                <w:sz w:val="25"/>
                <w:szCs w:val="24"/>
              </w:rPr>
              <w:lastRenderedPageBreak/>
              <w:t>费率</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924C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924C9" w:rsidRDefault="000924C9">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反法律法规规定及基金合同约定的情形下根据市场情况制定基金促销计划，针对以特定交易方式(如网上交易、电话交易等)进行基金交易的投资人定期或不定期地开展基金促销活动。在基金促销活动期间，按相关监管部门要求履行必要手续后，基金管理人可以适当调低基金申购费率、基金赎回费率和转换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为净申购金额除以当日该类基金份额的基金份额净值，有效份额单位为份，场外申购有效份额的计算按四舍五入方法，保留到小数点后两位，由此产生的收益或损失由基金财产承担。场内申购有效份额的计算保留到整数位，剩余部分折回金额返回投资人，折回金额的计算保留到小数点后2位，小数点2位以后的部分四舍五入，由此产生的收益或损失由基金财产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或C类基金份额有效赎回份额乘以当日该类基金份额的基金份额净值并扣除相应的费用（如有），赎回金额计算结果保留到小数点后2位，小数点后两位以后的部分四舍五入，由此产生的收益或损失由基金财产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A类基金份额的场外申购可以采取前端收费模式和后端收费模式，场内申购目前只支持前端收费模式。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例一：某投资者投资40,000元申购本基金的A类基金份额，假设申购当日A类基金份额净值为1.0400元，如果其选择前端收费方式，申购费率为1.5%，则其可得到的申购份额为：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如果投资者是场外申购，申购份额为37,893.14份。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如果投资者是场内申购，则申购份额为37,893份，其余0.14份对应金额返回给投资者。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例二：某投资者投资40,000元申购本基金A类基金份额，假设申购当日A类基金份额净值为1.0400元，如果其选择后端收费方式，则其可得到的申购份额为：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的A类基金份额，假设申购当日A类基金份额净值为1.0400元，则可得到38,461.54份A类基金份额，但其在赎回时需根据其持有时间按对应的A类基金份额后端申购费率交纳后端申购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如果投资者选择申购C类基金份额，则申购份额的计算方法如下：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1）如果投资者在认（申）购时选择交纳前端认（申）购费用，则赎回金额的计算方法如下：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例四：某投资者赎回通过前端认购（申购）持有的10,000份A类基金份额，持有期限为30日，对应的赎回费率为0.5%，假设赎回当日A类基金份额净值是1.0160元，则其可得到的赎回金额为：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即：投资者赎回本基金10,000份A类基金份额，假设赎回当日A类基金份额净值是1.0160元，则其可得到的赎回金额为10,109.20元。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2）如果投资者在认（申）购时选择交纳后端认（申）购费用，则赎回金额的计算方法如下：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后端认（申）购费用＝赎回份额×认（申）购日A类基金份额净值×后端认（申）购费率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赎回金额＝赎回总额－后端认（申）购费用－赎回费用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例五：某投资者赎回通过后端认购持有的10,000份A类基金份额，对应的后端认购费率为1.6%，赎回费率为0.5%，假设赎回当日A类基金份额净值是1.0160元，则其可得到的赎回金额为：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10,000×1.0000×1.6% = 160.00元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10,000×1.0160-160.00-50.80 ＝ 9,949.20元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A类基金份额，对应的赎回费率为0.5%，假设赎回当日A类基金份额净值是1.0160元，投资者对应的后端认购费率是1.6%，认购时的A类基金份额初始面值为1.0000元，则其可得到的赎回金额为9,949.20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通过后端申购持有的10,000份A类基金份额，持有期限为30日，对应的后端申购费率是1.8%，赎回费率为0.5%，假设赎回当日A类基金份额净值是1.0160元，申购时的A类基金份额净值为1.0100元，则其可得到的赎回金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投资者对应的后端申购费率是1.8%，申购时的A类基金份额净值为1.0100元，则其可得到的赎回金额为9,927.40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例七：某投资者赎回10,000份C类基金份额，持有期限为20日，对应的赎回费率为0.5%，假设赎回当日C类基金份额净值是1.0160元，则其可得到的赎回金额为：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赎回金额=10,000×1.0160-50.80＝10,109.20元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均保留到小数点后4位，小数点后第5位四舍五入，由此误差产生的收益或损失由基金财产承担。本基金T日的基金份额净值在当天收市后计算，并在T＋1日内公告。遇特殊情况，经中国证监会同意，可以适当延迟计算或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3.发生本基金合同规定的暂停基金资产估值情况。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除第4、7项以外的暂停申购情形且基金管理人决定暂停申购的，基金管理人应当根据有关规定在指定媒介上刊登暂停申购公告。如果投资人的申购申请被拒绝，被拒绝的申购款项将退还给投资人。在暂停申购的情况消除时，基金管理人应及时恢复申购业务的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4.发生本基金合同规定的暂停基金资产估值情况。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予以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（1）巨额赎回的场外处理方式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w:t>
      </w:r>
      <w:r>
        <w:rPr>
          <w:rFonts w:ascii="宋体" w:hAnsi="宋体"/>
          <w:sz w:val="24"/>
        </w:rPr>
        <w:lastRenderedPageBreak/>
        <w:t>告或者通知代销机构代为告知等方式在3个工作日内通知基金份额持有人，说明有关处理方法，并在2日内在指定媒介上刊登公告。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3.如发生暂停的时间超过1日但少于2周，暂停结束，基金重新开放申购或赎回时，基金管理人应提前2日在指定媒介上刊登基金重新开放申购或赎回公告，并公告最近1个开放日各类基金份额的基金份额净值。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发生暂停的时间超过2周，暂停期间，基金管理人应每2周至少刊登暂停公告1次。暂停结束，基金重新开放申购或赎回时，基金管理人应提前2日在指定媒介上连续刊登基金重新开放申购或赎回公告，并公告最近1个开放日各类基金份额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（1）系统内转托管是指基金份额持有人将持有的基金份额在注册登记系统内不同代销机构之间或证券登记结算系统内不同会员单位之间进行转登记的行为。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（2）基金份额登记在注册登记系统的基金份额持有人在变更办理基金赎回业务的销售机构（网点）时，销售机构（网点）之间不能通存通兑时的，可办理已持有基金份额的系统内转托管。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（1）跨系统转托管是指基金份额持有人将持有的A类基金份额在注册登记系统和证券登记结算系统之间进行转登记的行为。除经基金管理人另行公告，C类基金份额不能进行跨系统转托管。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w:t>
      </w:r>
      <w:r>
        <w:rPr>
          <w:rFonts w:ascii="宋体" w:hAnsi="宋体"/>
          <w:sz w:val="24"/>
        </w:rPr>
        <w:lastRenderedPageBreak/>
        <w:t>相关规定办理。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基金管理人、注册登记机构、办理转托管的销售机构因技术系统性能限制或其它合理原因，可以暂停该业务或者拒绝基金份额持有人的转托管申请。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2012年8月11日刊登公告自2012年8月15日起开通A类基金份额的定期定额投资计划业务，本基金2021年11月9日刊登公告自2021年11月12日起增设C类基金份额并开通C类基金份额的定期定额投资计划业务，具体开通销售机构名单和业务规则参见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（十四）基金的非交易过户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注册登记机构受理继承、捐赠和司法强制执行而产生的非交易过户以及注册登记机构认可、符合法律法规的其它非交易过户。无论在上述何种情况下，接受划转的主体必须是依法可以持有本基金基金份额的投资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基金注册登记机构只受理国家有权机关依法要求的基金份额的冻结与解冻，以及注册登记机构认可、符合法律法规的其他情况下的冻结与解冻。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（十六）实施侧袋机制期间本基金的申购与赎回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2" w:name="_Toc234408699"/>
      <w:r>
        <w:rPr>
          <w:rFonts w:ascii="Times New Roman" w:hAnsi="Times New Roman"/>
          <w:sz w:val="30"/>
        </w:rPr>
        <w:lastRenderedPageBreak/>
        <w:t>九、基金的转换</w:t>
      </w:r>
      <w:bookmarkEnd w:id="12"/>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本基金2012年8月11日刊登公告自2012年8月15日起开放A类基金份额的日常转换业务。本基金2021年12月22日刊登公告自2021年12月23日起开放C类基金份额的日常转换业务。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3" w:name="_Toc234408700"/>
      <w:r>
        <w:rPr>
          <w:rFonts w:ascii="Times New Roman" w:hAnsi="Times New Roman"/>
          <w:sz w:val="30"/>
        </w:rPr>
        <w:lastRenderedPageBreak/>
        <w:t>十、基金的投资</w:t>
      </w:r>
      <w:bookmarkEnd w:id="13"/>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（一）投资理念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信证券市场非完全有效，通过专业研究可以获得信息优势以识别未被合理定价的投资品种，投研团队的主动选股能力是获得投资超额收益（Alpha）的有效来源之一。相信数量化工具的引入能帮助加强投资的纪律性并减小投资的下行风险，提高投资收益的稳定性和可复制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本基金通过积极发挥团队选股优势，结合基本面多因子指标等组合管理手段选择具有显著阿尔法特征的个股，在控制风险并保持基金资产良好的流动性的前提下，追求长期持续稳定高于业绩比较基准的投资回报。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包括中小板、创业板以及其他经中国证监会核准上市的股票、存托凭证）、债券、货币市场工具、权证、资产支持证券以及法律法规或中国证监会允许基金投资的其他金融工具（但须符合中国证监会的相关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（四）投资组合比例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债券、货币市场工具、现金、权证、资产支持证券以及法律法规或中国证监会允许基金投资的其他证券品种占基金资产的5%-40%，其中基金持有的权证不超过基金资产净值的3%，基金保留的现金以及投资于到期日在一年以内的政府债券的比例合计不低于基金资产净值的5%，其中现金不包括结算备付金、存出保证金和应收申购款等。在基金实际管理过程中，基金管理人将根据中国宏观经济情况和证券市场的阶段性变化，适时调整基金资产在股票、债券及货币市场工具等之间的配置比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75%×沪深300指数收益率+25%×中证综合债券指数收益率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其中股票投资比较基准为沪深300指数，债券投资比较基准为中证综合债券指</w:t>
      </w:r>
      <w:r>
        <w:rPr>
          <w:rFonts w:ascii="宋体" w:hAnsi="宋体"/>
          <w:sz w:val="24"/>
        </w:rPr>
        <w:lastRenderedPageBreak/>
        <w:t>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本基金采用沪深300指数作为股票投资部分的业绩比较基准主要基于以下原因：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2.该指数样本对沪深市场的覆盖度高，具有良好的市场代表性，投资者可以方便地从报纸、互联网等财经媒体中获取。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3.沪深300指数引进国际指数编制和管理的经验，编制方法清晰透明，具有独立性和良好的市场流动性；与市场整体表现具有较高的相关度，且指数历史表现强于市场平均收益水平。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因此，沪深300指数是目前衡量本基金股票投资业绩的理想基准。同时，根据本基金的目标资产配置比例来分配权重，本基金的业绩比较基准中加入了中证综合债券指数并按照本基金的目标资产配置比例来安排。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（六）投资策略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本基金充分发挥基金管理人的专业研究能力，以数量化工具辅助自上而下的资产配置，积极发挥研究团队的选股优势，结合基本面多因子指标自下而上精选个股，以谋求风险调整后的良好收益。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借助量化工具积极判断市场时机，自上而下调整资产配置，控制系统性下跌风险。具体操作中，基金管理人融合量化投资方法，利用交银施罗德时机选择量化指标体系，作为对主观判断的重要补充，该指标体系主要从大类资产收益率比较、估值水平、市场流动性、通胀预期以及市场情绪等多维度对当前股票市场进行综合判断：当量化指标体系提示股票市场具有较大下行风险时，结合对中国宏观经济运行情况的判断和预测，本基金将相应采取降低风险暴露的措施，控制下行风险；反之，当量化指标体系揭示股票市场面临较大机会</w:t>
      </w:r>
      <w:r>
        <w:rPr>
          <w:rFonts w:ascii="宋体" w:hAnsi="宋体"/>
          <w:sz w:val="24"/>
        </w:rPr>
        <w:lastRenderedPageBreak/>
        <w:t>上涨时，结合对中国宏观经济运行情况的判断和预测，本基金将相应提高股票资产配置比例，捕捉系统性投资机会。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于行业配置权重，本基金在充分考虑市场均衡的行业配置比例基础上加入基金管理人对各个行业风险收益的预期，在基金整体风险可控基础上实现行业的合理配置和优化。具体而言，本基金参考申银万国行业分类框架，并结合基金管理人对上市公司业务本质和驱动因素的理解，将全市场所有上市公司进行内部行业划分，行业分析师据此分工对各细分行业进行深入的行业分析，采用多因素的定性与定量相结合的分析和预测方法，确定宏观及行业经济变量的变动对不同行业的潜在影响，得出各行业的相对投资价值与投资时机；然后本基金利用交银施罗德研究团队的上述行业研究成果，主要参考投资时钟理论、宏观策略分析师以及行业分析师对所处经济周期和各行业趋势的看法和判断，形成行业配置的内部预期观点；同时，根据市场均衡状态推导出市场隐含的外部预期观点；基金管理人把外部预期观点和内部预期观点相结合，形成行业配置权重，使组合达到最优的预期风险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认为，研究团队的选股能力是团队的核心优势，并正是获得Alpha的有效来源之一。因此，本基金将综合运用交银施罗德股票研究分析方法和其它投资分析工具，充分发挥研究团队“自下而上”的主动选股能力基础上，进一步通过交银施罗德研发的基本面多因子模型预测股票超额回报，在有效风险控制及交易成本最低化的基础上精选具有投资潜力、阿尔法特征显著的股票构建投资组合。具体分以下两个层次进行股票挑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assets等）和财务状况指标（如D/A、流动比率等）。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行业分析师对备选上市公司翔实的案头分析和深入的实地调研，以定性与定量相结合的方法对公司价值进行综合评估，构建股票组合。其中本基金将重点关注具以下特征的优质上市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 公司治理结构良好，管理规范，信息透明；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主营业务鲜明，盈利能力强，收入和利润稳定增长；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公司具有质量优良的成长性；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公司财务状况良好，具备一定的规模优势和较好的抗风险能力；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公司在管理制度、产品开发、技术进步方面具有相当的核心竞争优势，有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良好的市场知名度和较好的品牌效应，处于行业龙头地位。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在行业分析师对重点上市公司的基本面分析基础之上，本基金会对股票池中的股票做进一步量化筛选，根据基本面多因子指标对股票评分，并辅之以必要的主观判断。其中，多因子指标内生包涵PB、PE等指标。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这样，本基金对上述重点上市公司进行内在价值的评估和成长性跟踪研究，并辅以多因子量化评分及主观筛选方法后，在明确的价值评估基础上选择具备Alpha值较高的投资标的构建股票组合；并利用风险模型和组合优化模型来确定个股权重，优化目标是使投资组合的风险调整后超额收益最大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金融债、央行票据、地方政府债、企业债、公司债、短期融资券、可转换债券及可分离转债、中期票据、资产支持证券、次级债和债券回购等债券品种。本基金的债券投资采取主动的投资管理方式，获得与风险相匹配的投资收益，以实现在一定程度上规避股票市场的系统性风险和保证基金资产的流动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w:t>
      </w:r>
      <w:r>
        <w:rPr>
          <w:rFonts w:ascii="宋体" w:hAnsi="宋体"/>
          <w:sz w:val="24"/>
        </w:rPr>
        <w:lastRenderedPageBreak/>
        <w:t>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（七）投资决策依据和投资程序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（2）公司投资及风险控制政策；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（3）宏观经济发展态势、证券市场运行环境和走势，以及上市公司的基本面；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（4）投资对象的预期收益和预期风险的匹配关系，本基金将在承担适度风险的范围内，选择收益风险配比最佳的品种进行投资。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2、投资决策机制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投资决策委员会领导下的基金经理负责制。投资决策委员会的主要职责是对基金的资产配置提出指导性意见，审批重大单项投资决定，审视投资组合风险状况等。投资总监是投资决策委员会的执行代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3、投资管理流程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基金经理、分析师、交易员在投资管理过程中既密切合作，又责任明确，在各自职责内按照业务程序独立工作并合理地相互制衡。具体的投资管理程序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（1）研究部宏观分析师、策略分析师、行业分析师、信用分析师、数量分析师各自独立完成相应的研究报告，为投资决策提供依据；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（2）投资决策委员会每月召开投资决策会议，对资产配置比例提出指导性意见，并讨论股票、债券的投资重点等；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经理根据投资决策委员会决议，依据宏观分析师、策略分析师的宏观经济分析和策略建议、行业分析师的行业分析和个股研究、信用分析师的债券市场研究和券种选择、数量分析师的定量投资策略研究，结合本基金产品定位及风险控制的要求，在权限范围内制定具体的投资组合方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（4）基金经理根据基金投资组合方案，向中央交易室下达交易指令；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（5）交易指令通过风控系统的自动合规核查后，由中央交易室执行，中央交易室对交易情况及时反馈；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（6）基金经理对每日交易执行情况进行回顾，并审视基金投资组合的变动情况；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（7）风险管理部定期完成有关投资风险监控报告及基金业绩评估报告。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投资决策委员会有权根据市场变化和实际情况的需要，对上述投资管理程序作出调整。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本基金在投资策略上兼顾投资原则以及开放式基金的固有特点，通过分散投资降低基金财产的非系统性风险，保持基金组合良好的流动性。基金的投资组合将遵循以下限制：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(4)本基金管理人管理的全部基金持有的同一权证，不得超过该权证的10%；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(5)本基金进入全国银行间同业市场进行债券回购的资金余额不得超过基金资产净值的40%；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(6)本基金股票资产（含存托凭证）占基金资产的60%-95%；债券、货币市场工具、现金、权证、资产支持证券以及法律法规或中国证监会允许基金投资的其他证券品种占基金资产的5%-40%；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(8)本基金持有的全部资产支持证券，其市值不得超过基金资产净值的20%；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(9)本基金持有的同一(指同一信用级别)资产支持证券的比例，不得超过该资产支持证券规模的10%；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(10)本基金管理人管理的全部基金投资于同一原始权益人的各类资产支持证券，不得超过其各类资产支持证券合计规模的10%；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(11)本基金应投资于信用级别评级为BBB以上(含BBB)的资产支持证券。基金持有资产支持证券期间，如果其信用等级下降、不再符合投资标准，应在评级报告发布之日起3个月内予以全部卖出；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(12)基金财产参与股票发行申购，本基金所申报的金额不超过本基金的总资产，本基金所申报的股票数量不超过拟发行股票公司本次发行股票的总量；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(13)本基金在任何交易日买入权证的总金额，不得超过上一交易日基金资产净值的0.5%；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(14)保持不低于基金资产净值5%的现金或者到期日在一年以内的政府债券，其中现金不包括结算备付金、存出保证金和应收申购款等；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流通受限证券，基金管理人应事先根据中国证监会相关规定，与基金托管人在本基金托管协议中明确基金投资流通受限证券的比例，根据比例进行投资。基金管理人应制订严格的投资决策流程和风险控制制度，防范流动性风险、法律风险和操作风险等各种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如果法律法规对本基金合同约定投资组合比例限制进行变更的，以变更后的规</w:t>
      </w:r>
      <w:r>
        <w:rPr>
          <w:rFonts w:ascii="宋体" w:hAnsi="宋体"/>
          <w:sz w:val="24"/>
        </w:rPr>
        <w:lastRenderedPageBreak/>
        <w:t>定为准。法律法规或监管部门取消上述限制，如适用于本基金，则本基金投资不再受相关限制。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(11)、(14)、(17)、(18)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(4)买卖其他基金份额，但是法律法规或国务院另有规定的除外；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(9)法律法规或监管部门取消上述限制，如适用于本基金，则本基金投资不再受相关限制。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（九）风险收益特征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（十）基金管理人代表基金行使股东及债权人权利的处理原则及方法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（十一）基金的融资、融券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本基金可以按照国家的有关规定进行融资、融券。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（十二）侧袋机制的实施和投资运作安排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（十三）基金投资组合报告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2,213,335,859.37</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82.51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2,213,335,859.37</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82.51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305,260,930.41</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11.38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2,477,149.21</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2,682,522,136.25</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91,821,768.04</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3.46</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1,690,749,704.89</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63.66</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44,972,309.57</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59,310,765.18</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2.23</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324,625,935.17</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12.22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1,833,636.72</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S</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2,213,335,859.37</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83.34</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182,900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265,205,000.00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9.99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2,672,538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262,175,977.80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9.87</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564,940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250,178,029.60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9.42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429,969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244,828,648.29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9.22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601138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工业富联</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3,117,200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160,411,112.00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6.04</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735,503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148,571,606.00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5.59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688766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普冉股份</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562,160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126,592,810.40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531,500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126,550,150.00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215,875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96,496,125.00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3.63</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2,787,900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91,220,088.00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161,448,197.26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6、报告期末按公允价值占基金资产净值比例大小排序的前十名资产支持证券投资明细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w:t>
      </w:r>
      <w:r>
        <w:rPr>
          <w:rFonts w:ascii="宋体" w:hAnsi="宋体"/>
          <w:sz w:val="24"/>
        </w:rPr>
        <w:lastRenderedPageBreak/>
        <w:t>特别是重仓证券的投资有严格的投资决策流程控制，对上述主体发行证券的投资决策程序符合公司投资制度的规定。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1,718,210.02</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758,939.19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right"/>
              <w:rPr>
                <w:rFonts w:ascii="宋体" w:hAnsi="宋体"/>
                <w:color w:val="000000"/>
                <w:kern w:val="0"/>
                <w:sz w:val="25"/>
                <w:szCs w:val="24"/>
              </w:rPr>
            </w:pPr>
            <w:r>
              <w:rPr>
                <w:rFonts w:ascii="Times New Roman" w:hAnsi="Times New Roman"/>
                <w:color w:val="000000"/>
                <w:kern w:val="0"/>
                <w:sz w:val="25"/>
                <w:szCs w:val="24"/>
              </w:rPr>
              <w:t>2,477,149.21</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4" w:name="_Toc234408701"/>
      <w:r>
        <w:rPr>
          <w:rFonts w:ascii="Times New Roman" w:hAnsi="Times New Roman"/>
          <w:sz w:val="30"/>
        </w:rPr>
        <w:lastRenderedPageBreak/>
        <w:t>十一、基金的业绩</w:t>
      </w:r>
      <w:bookmarkEnd w:id="14"/>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（1）交银阿尔法核心混合A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23.98%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-11.74%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-26.21%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-18.78%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-11.21%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4.49%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19.94%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22.33%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37.23%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21.26%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15.97%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52.07%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27.90%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24.17%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-17.72%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17.30%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13.51%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16.11%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-7.69%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10.39%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36.22%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28.98%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62.66%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40.22%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22.44%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-6.45%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-4.97%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8.50%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6.37%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（2）交银阿尔法核心混合C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23.24%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9.81%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-12.36%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-26.65%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-19.22%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-11.73%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924C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75%×沪深300指数收益率+25%×中信标普全债指数收益率”变更为“75%×沪深300指数收益率+25%×中证综合债券指数收益率”，下图同。详情见本基金管理人于2015年9月28日发布的《交银施罗德基金管理有限公司关于旗下部分基金业绩比较基准变更并修改基金合同相关内容的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924C9" w:rsidRDefault="00AD331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交银施罗德阿尔法核心混合型证券投资基金</w:t>
      </w:r>
    </w:p>
    <w:p w:rsidR="000924C9" w:rsidRDefault="00AD331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924C9" w:rsidRDefault="00AD331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（2012年8月3日至2026年03月31日）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（1）交银阿尔法核心混合A</w:t>
      </w:r>
    </w:p>
    <w:p w:rsidR="000924C9" w:rsidRDefault="0090693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（2）交银阿尔法核心混合C</w:t>
      </w:r>
    </w:p>
    <w:p w:rsidR="000924C9" w:rsidRDefault="0090693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2、本基金自2021年11月12日起，开始销售C类份额，投资者提交的申购申请于2021年11月15日被确认并将有效份额登记在册。</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5" w:name="_Toc234408702"/>
      <w:r>
        <w:rPr>
          <w:rFonts w:ascii="Times New Roman" w:hAnsi="Times New Roman"/>
          <w:sz w:val="30"/>
        </w:rPr>
        <w:lastRenderedPageBreak/>
        <w:t>十二、基金的财产</w:t>
      </w:r>
      <w:bookmarkEnd w:id="15"/>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6" w:name="_Toc234408703"/>
      <w:r>
        <w:rPr>
          <w:rFonts w:ascii="Times New Roman" w:hAnsi="Times New Roman"/>
          <w:sz w:val="30"/>
        </w:rPr>
        <w:lastRenderedPageBreak/>
        <w:t>十三、基金资产的估值</w:t>
      </w:r>
      <w:bookmarkEnd w:id="16"/>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w:t>
      </w:r>
      <w:r>
        <w:rPr>
          <w:rFonts w:ascii="宋体" w:hAnsi="宋体"/>
          <w:sz w:val="24"/>
        </w:rPr>
        <w:lastRenderedPageBreak/>
        <w:t>同一股票的估值方法估值；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每个工作日计算各类基金份额的基金资产净值及基金份额净值，并按规定公告。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2.基金管理人应每个工作日对基金资产估值，但基金管理人根据法律法规或本基金合同的规定暂停估值时除外。基金管理人每个工作日对基金资产估值后，将各</w:t>
      </w:r>
      <w:r>
        <w:rPr>
          <w:rFonts w:ascii="宋体" w:hAnsi="宋体"/>
          <w:sz w:val="24"/>
        </w:rPr>
        <w:lastRenderedPageBreak/>
        <w:t>类基金份额净值结果发送基金托管人，经基金托管人复核无误后，由基金管理人对外公布。月末、年中和年末估值复核与基金会计账目的核对同时进行。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基金管理人和基金托管人将采取必要、适当、合理的措施确保基金资产估值的准确性、及时性。当任一类基金份额净值小数点后4位以内(含第4位)发生差错时，视为该类基金份额净值错误。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人自身的过错造成差错，导致其他当事人遭受损失的，过错的责任人应当对由于该差错遭受损失当事人(“受损方”)的直接损失按下述“差错处理原则”给予赔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则其应当承担相应赔偿责任。差错责任方应对更正的情况向有关当事人进行确认，确保差错已得到更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w:t>
      </w:r>
      <w:r>
        <w:rPr>
          <w:rFonts w:ascii="宋体" w:hAnsi="宋体"/>
          <w:sz w:val="24"/>
        </w:rPr>
        <w:lastRenderedPageBreak/>
        <w:t>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基金托管人之外的第三方造成基金财产的损失，并拒绝进行赔偿时，由基金管理人负责向差错方追偿；追偿过程中产生的有关费用，应列入基金费用，从基金资产中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w:t>
      </w:r>
      <w:r>
        <w:rPr>
          <w:rFonts w:ascii="宋体" w:hAnsi="宋体"/>
          <w:sz w:val="24"/>
        </w:rPr>
        <w:lastRenderedPageBreak/>
        <w:t>人并报中国证监会备案；错误偏差达到该类基金份额净值的0.5%时，基金管理人应当公告。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3.占基金相当比例的投资品种的估值出现重大转变，而基金管理人为保障投资人的利益，已决定延迟估值；如出现基金管理人认为属于紧急事故的任何情况，会导致基金管理人不能出售或评估基金资产的；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4.当特定资产占前一估值日基金资产净值50%以上的，经与基金托管人协商一致的，基金管理人应当暂停估值；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并发送给基金托管人。基金托管人对净值计算结果复核确认后发送给基金管理人，由基金管理人依照法律法规的规定对基金净值予以公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w:t>
      </w:r>
      <w:r>
        <w:rPr>
          <w:rFonts w:ascii="宋体" w:hAnsi="宋体"/>
          <w:sz w:val="24"/>
        </w:rPr>
        <w:lastRenderedPageBreak/>
        <w:t>采取必要的措施消除由此造成的影响。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7" w:name="_Toc234408704"/>
      <w:r>
        <w:rPr>
          <w:rFonts w:ascii="Times New Roman" w:hAnsi="Times New Roman"/>
          <w:sz w:val="30"/>
        </w:rPr>
        <w:lastRenderedPageBreak/>
        <w:t>十四、基金的收益与分配</w:t>
      </w:r>
      <w:bookmarkEnd w:id="17"/>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注册登记机构可将投资人的现金红利按除权后的基金份额净值自动转为相应类别的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3.本基金收益每年最多分配10次，每次基金收益分配比例不低于收益分配基准日可供分配利润的10%；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4.若基金合同生效不满3个月则可不进行收益分配；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除权后的单位净值自动转为相应类别的基金份额进行再投资；若投资人不选择，本基金默认的收益分配方式是现金分红；基金份额持有人可对其持有的A类基金份额和C类基金份额分别选择不同的收益分配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基金红利发放日距离收益分配基准日（即可供分配利润计算截止日）的时间不得超过15个工作日；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基金收益分配后任一类每一基金份额净值不能低于面值，即基金收益分配基准日的任一类基金份额净值减去每单位该类基金份额收益分配金额后不能低于面值；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8．法律法规或监管机构另有规定的从其规定。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（四）收益分配方案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基金收益分配方案中应载明收益分配基准日以及该日的可供分配利润、基金收益分配对象、分配时间、分配数额及比例、分配方式、支付方式等内容。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（五）收益分配方案的时间和程序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1.基金收益分配方案由基金管理人拟订，由基金托管人复核，依照《信息披露办法》的有关规定在指定媒介上公告；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2.在收益分配方案公布后，基金管理人依据具体方案的规定就支付的现金红利向基金托管人发送划款指令，基金托管人按照基金管理人的指令及时进行分红资金的划付。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（六）收益分配方式的修改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投资者同一日多次申报分红方式变更的，按照《业务规则》执行，最终确认的分红方式以基金注册登记机构记录为准。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（七）实施侧袋机制期间的收益分配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8" w:name="_Toc234408705"/>
      <w:r>
        <w:rPr>
          <w:rFonts w:ascii="Times New Roman" w:hAnsi="Times New Roman"/>
          <w:sz w:val="30"/>
        </w:rPr>
        <w:lastRenderedPageBreak/>
        <w:t>十五、基金的费用与税收</w:t>
      </w:r>
      <w:bookmarkEnd w:id="18"/>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6.基金合同生效后与基金有关的会计师费和律师费；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10.依法可以在基金财产中列支的其他费用。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在通常情况下，基金管理费按前一日基金资产净值的1.20%年费率计提。计算方法如下：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在通常情况下，基金托管费按前一日基金资产净值的0.20%年费率计提。计算方法如下：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费用自动扣划后，管理人应进行核对，如发现数据不符，及时联系托管人协商解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（4）除管理费、托管费和销售服务费之外的基金费用，由基金托管人根据其他有关法规及相应协议的规定，按费用支出金额支付，列入或摊入当期基金费用。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（四）基金管理费、基金托管费和销售服务费的调整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基金管理人和基金托管人可根据基金发展情况调整基金管理费率、基金托管费率和销售服务费率。基金管理人必须在调整实施日前按照《信息披露办法》的规定在指定媒介上刊登公告。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19" w:name="_Toc234408706"/>
      <w:r>
        <w:rPr>
          <w:rFonts w:ascii="Times New Roman" w:hAnsi="Times New Roman"/>
          <w:sz w:val="30"/>
        </w:rPr>
        <w:lastRenderedPageBreak/>
        <w:t>十六、基金的会计与审计</w:t>
      </w:r>
      <w:bookmarkEnd w:id="19"/>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3.基金管理人认为有充足理由更换会计师事务所，经通报基金托管人后可以更换。就更换会计师事务所，基金管理人应当依照《信息披露办法》的有关规定在指定媒介上公告。</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0" w:name="_Toc234408707"/>
      <w:r>
        <w:rPr>
          <w:rFonts w:ascii="Times New Roman" w:hAnsi="Times New Roman"/>
          <w:sz w:val="30"/>
        </w:rPr>
        <w:lastRenderedPageBreak/>
        <w:t>十七、基金的信息披露</w:t>
      </w:r>
      <w:bookmarkEnd w:id="20"/>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本基金公开披露的信息应采用中文文本。同时采用外文文本的，基金信息披露义务人应保证不同文本的内容一致。不同文本之间发生歧义的，以中文文本为准。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(一)招募说明书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(二)基金合同、托管协议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基金管理人应在基金份额发售的3日前，将基金合同摘要登载在指定报刊和基金管理人网站上；基金管理人、基金托管人应将基金合同、托管协议登载在各自网站上。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(三)基金产品资料概要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(四)基金份额发售公告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(五)基金合同生效公告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(六)基金净值信息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1.《基金合同》生效后，在开始办理基金份额申购或者赎回前，基金管理人应当至少每周在指定网站分别披露一次A类基金份额和C类基金份额所对应的基金份额净值和基金份额累计净值；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分别披露开放日A类基金份额和C类基金份额所对应的基金份额净值和基金份额累计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3.基金管理人应当在不晚于半年度和年度最后一日的次日，在指定网站披露半年度和年度最后一日A类基金份额和C类基金份额所对应的基金份额净值和基金份额累计净值。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(七)基金份额申购、赎回价格公告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w:t>
      </w:r>
      <w:r>
        <w:rPr>
          <w:rFonts w:ascii="宋体" w:hAnsi="宋体"/>
          <w:sz w:val="24"/>
        </w:rPr>
        <w:lastRenderedPageBreak/>
        <w:t>机构网站或营业网点查阅或者复制前述信息资料。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(八)基金年度报告、基金中期报告、基金季度报告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(九)临时报告与公告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7.基金管理人变更持有百分之五以上股权的股东、基金管理人的实际控制人变更；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(十)澄清公告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w:t>
      </w:r>
      <w:r>
        <w:rPr>
          <w:rFonts w:ascii="宋体" w:hAnsi="宋体"/>
          <w:sz w:val="24"/>
        </w:rPr>
        <w:lastRenderedPageBreak/>
        <w:t>关情况立即报告中国证监会。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(十一)基金份额持有人大会决议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（十二）清算报告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（十三）实施侧袋机制期间的信息披露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（十四）信息披露事务管理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w:t>
      </w:r>
      <w:r>
        <w:rPr>
          <w:rFonts w:ascii="宋体" w:hAnsi="宋体"/>
          <w:sz w:val="24"/>
        </w:rPr>
        <w:lastRenderedPageBreak/>
        <w:t>会及自律规则的相关规定。前述自主披露如产生信息披露费用，该费用不得从基金财产中列支。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(十五)中国证监会规定的其他信息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(十六)信息披露文件的存放与查阅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(十七)本基金信息披露事项以法律法规规定及本章节约定的内容为准。</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1" w:name="_Toc234408708"/>
      <w:r>
        <w:rPr>
          <w:rFonts w:ascii="Times New Roman" w:hAnsi="Times New Roman"/>
          <w:sz w:val="30"/>
        </w:rPr>
        <w:lastRenderedPageBreak/>
        <w:t>十八、侧袋机制</w:t>
      </w:r>
      <w:bookmarkEnd w:id="21"/>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0924C9" w:rsidRDefault="00AD331B">
      <w:pPr>
        <w:pStyle w:val="1"/>
        <w:snapToGrid w:val="0"/>
        <w:spacing w:beforeLines="0" w:before="240" w:after="240"/>
        <w:rPr>
          <w:rFonts w:ascii="宋体" w:hAnsi="宋体"/>
          <w:szCs w:val="30"/>
        </w:rPr>
      </w:pPr>
      <w:bookmarkStart w:id="22" w:name="_Toc234408709"/>
      <w:r>
        <w:rPr>
          <w:rFonts w:ascii="Times New Roman" w:hAnsi="Times New Roman"/>
          <w:sz w:val="30"/>
        </w:rPr>
        <w:lastRenderedPageBreak/>
        <w:t>十九、风险揭示</w:t>
      </w:r>
      <w:bookmarkEnd w:id="22"/>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w:t>
      </w:r>
      <w:r>
        <w:rPr>
          <w:rFonts w:ascii="宋体" w:hAnsi="宋体"/>
          <w:sz w:val="24"/>
        </w:rPr>
        <w:lastRenderedPageBreak/>
        <w:t>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本基金属于混合型基金，将维持较高的股票持仓比例。如果股票市场出现整体下跌，本基金的净值表现将受到影响。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数量化工具辅助自上而下的资产配置，积极发挥研究团队的选股优势自下而上选择股票。在投资策略上本基金特有的风险主要来自两个方面：一是本基金在资产配置和行业配置中所利用的量化择时工具和行业配置工具是否有效，能否为主观判断提供有力支持；二是研究团队对行业和上市公司的基本面研究是否准确、深入，对股票的优选和判断是否科学、准确。基本面研究及上市企业分析的错误均可能导致所选择的证券不能完全符合本基金的预期目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（七）投资存托凭证的特定风险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3" w:name="_Toc234408710"/>
      <w:r>
        <w:rPr>
          <w:rFonts w:ascii="Times New Roman" w:hAnsi="Times New Roman"/>
          <w:sz w:val="30"/>
        </w:rPr>
        <w:lastRenderedPageBreak/>
        <w:t>二十、基金合同的终止与基金财产的清算</w:t>
      </w:r>
      <w:bookmarkEnd w:id="23"/>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（一）本基金合同的终止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2.基金管理人因解散、破产、撤销等事由，不能继续担任基金管理人的职务，而在6个月内无其他适当的基金管理人承接其原有权利义务；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3.基金托管人因解散、破产、撤销等事由，不能继续担任基金托管人的职务，而在6个月内无其他适当的基金托管人承接其原有权利义务；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(8)公布基金财产清算结果；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3.清算费用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4" w:name="_Toc234408711"/>
      <w:r>
        <w:rPr>
          <w:rFonts w:ascii="Times New Roman" w:hAnsi="Times New Roman"/>
          <w:sz w:val="30"/>
        </w:rPr>
        <w:lastRenderedPageBreak/>
        <w:t>二十一、基金合同的内容摘要</w:t>
      </w:r>
      <w:bookmarkEnd w:id="24"/>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转托管等业务的规则，在法律法规和本基金合同规定的范围内决定和调整基金的除调高托管费率和管理费率之外的相关费率结构和收费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（9）自行担任或选择、更换注册登记机构，获取基金份额持有人名册，并对注册登记机构的代理行为进行必要的监督和检查；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（10）选择、更换代销机构，并依据基金销售服务代理协议和有关法律法规，对其行为进行必要的监督和检查；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（11）选择、更换律师、审计师、证券经纪商或其他为基金提供服务的外部机构；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根据《基金法》及其他有关法律法规，基金管理人的义务为：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（1）依法募集基金，办理或者委托经中国证监会认定的其他机构代为办理基金份额的发售、申购、赎回和登记事宜；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w:t>
      </w:r>
      <w:r>
        <w:rPr>
          <w:rFonts w:ascii="宋体" w:hAnsi="宋体"/>
          <w:sz w:val="24"/>
        </w:rPr>
        <w:lastRenderedPageBreak/>
        <w:t>他法律行为；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（2）设立专门的基金托管部，具有符合要求的营业场所，配备足够的、合格的熟悉基金托管业务的专职人员，负责基金财产托管事宜；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（12）复核、审查基金管理人计算的基金资产净值、各类基金份额净值、基金份额申购、赎回价格；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（16）按照规定召集基金份额持有人大会或配合基金份额持有人依法自行召集基金份额持有人大会；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（19）参加基金财产清算小组，参与基金财产的保管、清理、估价、变现和分配；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（20）面临解散、依法被撤销或者被依法宣告破产时，及时报告中国证监会和中国银监会，并通知基金管理人；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根据《基金法》及其他有关法律法规，基金份额持有人的权利为：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根据《基金法》及其他有关法律法规，基金份额持有人的义务为：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4、本基金合同当事各方的权利义务以本基金合同为依据，不因基金财产账户名称而有所改变。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含10%，下同)的基金份额持有人(以基金管理人收到提议当日的基金份额计算，下同)提议时，应当召开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7）提高基金管理人、基金托管人的报酬标准或提高销售服务费率，但法律法规要求提高该等报酬标准的除外；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（2）出现以下情形之一的，可由基金管理人和基金托管人协商后修改基金合同，不需召开基金份额持有人大会：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2）在法律法规和本基金合同规定的范围内调整基金的申购费率、调低赎回费率，变更或增加收费方式；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5）对基金合同的修改不涉及本基金合同当事人权利义务关系发生重大变化；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w:t>
      </w:r>
      <w:r>
        <w:rPr>
          <w:rFonts w:ascii="宋体" w:hAnsi="宋体"/>
          <w:sz w:val="24"/>
        </w:rPr>
        <w:lastRenderedPageBreak/>
        <w:t>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5）有权出席基金份额持有人大会的基金份额持有人权益登记日；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6）代理投票的授权委托证明的内容要求（包括但不限于代理人身份、代理权限和代理有效期限等）、送达时间和地点；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2）现场开会由基金份额持有人本人出席或通过授权委托证明委派其代理人出席，现场开会时基金管理人和基金托管人的授权代表应当出席，如基金管理人或基金托管人拒不派代表出席的，不影响表决效力。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w:t>
      </w:r>
      <w:r>
        <w:rPr>
          <w:rFonts w:ascii="宋体" w:hAnsi="宋体"/>
          <w:sz w:val="24"/>
        </w:rPr>
        <w:lastRenderedPageBreak/>
        <w:t>金份额应占权益登记日基金总份额的50%以上(含50%，下同)；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⑤直接出具书面意见的基金份额持有人或受托代表他人出具书面意见的代理人提交的持有基金份额的凭证、授权委托证明等文件符合法律法规、基金合同和会议通知的规定，并与注册登记机构记录相符。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w:t>
      </w:r>
      <w:r>
        <w:rPr>
          <w:rFonts w:ascii="宋体" w:hAnsi="宋体"/>
          <w:sz w:val="24"/>
        </w:rPr>
        <w:lastRenderedPageBreak/>
        <w:t>审议；对于不符合上述要求的，不提交基金份额持有人大会审议。如果召集人决定不将基金份额持有人提案提交大会表决，应当在该次基金份额持有人大会上进行解释和说明。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w:t>
      </w:r>
      <w:r>
        <w:rPr>
          <w:rFonts w:ascii="宋体" w:hAnsi="宋体"/>
          <w:sz w:val="24"/>
        </w:rPr>
        <w:lastRenderedPageBreak/>
        <w:t>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终止基金合同必须以特别决议通过方为有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w:t>
      </w:r>
      <w:r>
        <w:rPr>
          <w:rFonts w:ascii="宋体" w:hAnsi="宋体"/>
          <w:sz w:val="24"/>
        </w:rPr>
        <w:lastRenderedPageBreak/>
        <w:t>管人的授权代表未出席，则大会主持人可自行选举三名基金份额持有人代表担任监票人。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（3）通讯开会的直接出具书面表决意见或授权他人代表出具书面表决意见的基金份额持有人所持有的基金份额不小于在权益登记日相关基金份额的二分之一（含二分之一）；</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（8）特别决议应当经参加大会的基金份额持有人或其代理人所持表决权的三分之二以上（含三分之二）通过。</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11、法律法规或监管部门对基金份额持有人大会另有规定的，从其规定。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6）提高基金管理人、基金托管人的报酬标准或提高销售服务费率。但法律法规要求提高该等报酬标准的除外；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2）在法律法规和本基金合同规定的范围内调整基金的申购费率、调低赎回费率，变更或增加收费方式；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5）对基金合同的修改不涉及本基金合同当事人权利义务关系发生重大变化；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（2）关于变更基金合同的基金份额持有人大会决议应报中国证监会核准或备案，并于中国证监会核准或出具无异议意见后生效执行，并自生效之日起2日内在至少一种指定媒介公告。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（2）基金管理人因解散、破产、撤销等事由，不能继续担任基金管理人的职务，而在6个月内无其他适当的基金管理人承接其原有权利义务；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（3）基金托管人因解散、破产、撤销等事由，不能继续担任基金托管人的职务，而在6个月内无其他适当的基金托管人承接其原有权利义务；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w:t>
      </w:r>
      <w:r>
        <w:rPr>
          <w:rFonts w:ascii="宋体" w:hAnsi="宋体"/>
          <w:sz w:val="24"/>
        </w:rPr>
        <w:lastRenderedPageBreak/>
        <w:t>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本基金合同正本一式八份，除中国证监会和中国银监会各持两份外，基金管理人和基金托管人各持有两份。每份均具有同等的法律效力。</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本基金合同可印制成册，供投资人在基金管理人、基金托管人、代销机构和注册登记机构办公场所查阅，但其效力应以基金合同正本为准。</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5" w:name="_Toc234408712"/>
      <w:r>
        <w:rPr>
          <w:rFonts w:ascii="Times New Roman" w:hAnsi="Times New Roman"/>
          <w:sz w:val="30"/>
        </w:rPr>
        <w:lastRenderedPageBreak/>
        <w:t>二十二、托管协议的内容摘要</w:t>
      </w:r>
      <w:bookmarkEnd w:id="25"/>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包括中小板、创业板以及其他经中国证监会核准上市的股票、存托凭证）、债券、货币市场工具、权证、资产支持证券以及法律法规或中国证监会允许基金投资的其他金融工具（但须符合中国证监会的相关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债券、货币市场工具、现金、权证、资产支持证券以及法律法规或中国证监会允许基金投资的其他证券品种占基金资产的5%-40%，其中基金持有的权证不超过基金资产净值的3%，基金保留的现金以及投资于到期日在一年以内的政府债券的比例合计不低于基金资产净值的5%，其中现金不包括结算备付金、存出保证金和应收申购款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（4）本基金股票资产（含存托凭证）占基金资产的60%-95%；债券、货币市场工具、现金、权证、资产支持证券以及法律法规或中国证监会允许基金投资的其他证券品种占基金资产的5%-40%；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w:t>
      </w:r>
      <w:r>
        <w:rPr>
          <w:rFonts w:ascii="宋体" w:hAnsi="宋体"/>
          <w:sz w:val="24"/>
        </w:rPr>
        <w:lastRenderedPageBreak/>
        <w:t>金资产净值的10%；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（8）本基金应投资于信用级别评级为BBB以上（含BBB）的资产支持证券。基金持有资产支持证券期间，如果其信用等级下降、不再符合投资标准，应在评级报告发布之日起3个月内予以全部卖出；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（10）本基金在任何交易日买入权证的总金额，不得超过上一交易日基金资产净值的0.5%；</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（11）保持不低于基金资产净值5%的现金或者到期日在一年以内的政府债券，其中现金不包括结算备付金、存出保证金和应收申购款等；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（12）本基金持有的所有流通受限证券，其公允价值不得超过本基金资产净值的15%；本基金持有的同一流通受限证券，其公允价值不得超过本基金资产净值的3%；</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如果法律法规对上述投资组合比例限制进行变更的，以变更后的规定为准。法</w:t>
      </w:r>
      <w:r>
        <w:rPr>
          <w:rFonts w:ascii="宋体" w:hAnsi="宋体"/>
          <w:sz w:val="24"/>
        </w:rPr>
        <w:lastRenderedPageBreak/>
        <w:t>律法规或监管部门取消上述限制，如适用于本基金，则本基金投资不再受相关限制。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(8)、(11)、(14)、(15)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基金管理人应当自基金合同生效之日起6个月内使基金的投资组合比例符合基金合同的有关约定。基金托管人对基金的投资的监督与检查自基金合同生效之日起开始。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w:t>
      </w:r>
      <w:r>
        <w:rPr>
          <w:rFonts w:ascii="宋体" w:hAnsi="宋体"/>
          <w:sz w:val="24"/>
        </w:rPr>
        <w:lastRenderedPageBreak/>
        <w:t>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本基金投资受限证券，不得预付任何形式的保证金。</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1）本基金投资受限证券时的法律法规遵守情况。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2）在基金投资受限证券管理工作方面有关制度、流动性风险处置预案的建立与完善情况。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3）有关比例限制的执行情况。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（6）相关法律法规对基金投资受限证券有新规定的，从其规定。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w:t>
      </w:r>
      <w:r>
        <w:rPr>
          <w:rFonts w:ascii="宋体" w:hAnsi="宋体"/>
          <w:sz w:val="24"/>
        </w:rPr>
        <w:lastRenderedPageBreak/>
        <w:t>托管人安全保管基金财产、开设基金财产的资金账户和证券账户、复核基金管理人计算的基金资产净值和各类基金份额净值、根据基金管理人指令办理清算交收、相关信息披露和监督基金投资运作等行为。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基金托管人未经基金管理人的指令，不得自行运用、处分、分配本基金的任何资产（不包含基金托管人依据中国结算公司结算数据完成场内交易交收、托管资产开户银行扣收结算费和账户维护费等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w:t>
      </w:r>
      <w:r>
        <w:rPr>
          <w:rFonts w:ascii="宋体" w:hAnsi="宋体"/>
          <w:sz w:val="24"/>
        </w:rPr>
        <w:lastRenderedPageBreak/>
        <w:t>人应及时通知基金管理人采取措施进行催收。由此给基金财产造成损失的，基金管理人应负责向有关当事人追偿基金财产的损失，基金托管人对此不承担任何责任。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（1）基金募集期间认购款项应存于专用账户。该账户由基金管理人或基金管理人委托的注册登记机构开立并管理。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基金财产的全部资金划入基金托管人为基金开立的基金银行账户，同时在规定时间内，聘请具有从事证券相关业务资格的会计师事务所进行验资，出具验资报告。出具的验资报告由参加验资的2名或2名以上中国注册会计师签字方为有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（1）基金托管人可以本基金的名义在其营业机构开立基金的银行账户，并根据基金管理人合法合规的指令办理资金收付。本基金的银行预留印鉴由基金托管人保管和使用。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（3）基金银行账户的开立和管理应符合中国银监会的有关规定。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w:t>
      </w:r>
      <w:r>
        <w:rPr>
          <w:rFonts w:ascii="宋体" w:hAnsi="宋体"/>
          <w:sz w:val="24"/>
        </w:rPr>
        <w:lastRenderedPageBreak/>
        <w:t>得使用基金的任何账户进行本基金业务以外的活动。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基金的名义在中央国债登记结算有限责任公司开立债券托管账户，并代表基金进行银行间市场债券的结算。基金管理人和基金托管人共同代表基金签订全国银行间债券市场债券回购主协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w:t>
      </w:r>
      <w:r>
        <w:rPr>
          <w:rFonts w:ascii="宋体" w:hAnsi="宋体"/>
          <w:sz w:val="24"/>
        </w:rPr>
        <w:lastRenderedPageBreak/>
        <w:t>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各类基金份额的基金份额净值是指该类基金份额的基金资产净值除以该类基金份额总数，基金份额净值的计算，精确到0.0001元，小数点后第五位四舍五入，国家另有规定的，从其规定。</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基金管理人每个工作日计算各类基金份额的基金资产净值及基金份额净值，经基金托管人复核，按规定公告。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基金管理人每工作日对基金资产进行估值后，将各类基金份额净值结果发送基金托管人，经基金托管人复核无误后，由基金管理人依照法律法规的规定对外公布。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各类基金份额的基金资产净值的计算结果对外予以公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A、证券交易所上市的有价证券的估值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w:t>
      </w:r>
      <w:r>
        <w:rPr>
          <w:rFonts w:ascii="宋体" w:hAnsi="宋体"/>
          <w:sz w:val="24"/>
        </w:rPr>
        <w:lastRenderedPageBreak/>
        <w:t>变化，以最近交易日的市价（收盘价）估值；如最近交易日后经济环境发生了重大变化的，可参考类似投资品种的现行市价及重大变化因素，调整最近交易市价，确定公允价格。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B、处于未上市期间的有价证券应区分如下情况处理：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C、全国银行间债券市场交易的债券、资产支持证券等固定收益品种，采用估值技术确定公允价值。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D、同一债券同时在两个或两个以上市场交易的，按债券所处的市场分别估值。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E、如有确凿证据表明按上述方法进行估值不能客观反映其公允价值的，基金管理人可根据具体情况与基金托管人商定后，按最能反映公允价值的价格估值。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F、本基金投资存托凭证的估值核算依照境内上市交易的股票执行。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G、相关法律法规以及监管部门有强制规定的，从其规定。如有新增事项，按国家最新规定估值。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1）基金管理人、基金托管人按估值方法的第E项进行估值时，所造成的误差不作为基金份额净值错误处理。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或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采取必要的措施消除由此造成的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任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当发生净值计算错误时，由基金管理人负责处理，由此给基金份额持有人和基金造成损失的，应由基金管理人先行赔付，基金管理人按差错情形，有权向其他当事人追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（3）占基金相当比例的投资品种的估值出现重大转变，而基金管理人为保障投资人的利益，已决定延迟估值；如果出现基金管理人认为属于紧急事故的任何情况，导致基金管理人不能出售或评估基金资产时；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（4）当特定资产占前一估值日基金资产净值50%以上的，经与基金托管人协商一致的，基金管理人应当暂停估值；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5、实施侧袋机制期间的基金资产估值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6、基金会计制度</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按国家有关部门规定的会计制度执行。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7、基金账册的建立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8、基金财务报表与报告的编制和复核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每个季度结束之日起15个工作日内完成基金季度报告的编制；在上半年结束之日起60日内完成基金中期报告的编制；在每年结束之日起90日内完成基金年度报告的编制。基金年度报告的财务会计报告应当经过审计。基金合同生效不足两个月的，基金管理人可以不编制当期季度报告、中期报告或者年度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基金管理人应留足充分的时间，便于基金托管人复核相关报表及报告。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9、基金管理人应在编制季度报告、中期报告或者年度报告之前及时向基金托管人提供基金业绩比较基准的基础数据和编制结果。</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基金份额持有人名册至少应包括基金份额持有人的名称和持有的基金份额。基金份额持有人名册由基金注册登记机构根据基金管理人的指令编制和保管，基金管</w:t>
      </w:r>
      <w:r>
        <w:rPr>
          <w:rFonts w:ascii="宋体" w:hAnsi="宋体"/>
          <w:sz w:val="24"/>
        </w:rPr>
        <w:lastRenderedPageBreak/>
        <w:t>理人和基金托管人应分别保管基金份额持有人名册，保存期不少于15年。如不能妥善保管，则按相关法规承担责任。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1、本协议双方当事人经协商一致，可以对协议进行修改。修改后的新协议，其内容不得与基金合同的规定有任何冲突。基金托管协议的变更报中国证监会核准或备案后生效。</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6" w:name="_Toc234408713"/>
      <w:r>
        <w:rPr>
          <w:rFonts w:ascii="Times New Roman" w:hAnsi="Times New Roman"/>
          <w:sz w:val="30"/>
        </w:rPr>
        <w:lastRenderedPageBreak/>
        <w:t>二十三、对基金份额持有人的服务</w:t>
      </w:r>
      <w:bookmarkEnd w:id="26"/>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1、每次交易结束后，投资者可在T+2个工作日后通过销售机构的网点查询和打印确认单。</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本基金的申购、赎回、定期定额投资、转换等业务。本公司暂不开展网上直销后端基金份额的认/申购业务，通过转托管转入网上直销账户的后端收费模式的A类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本基金收益分配时，投资人可以选择将当期分配所得的红利再投资于本基金，再投资红利按红利再投日（即除息日）除息后的基金份额净值自动转为相应类别的基金份额，并免收申购费用。</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7" w:name="_Toc234408714"/>
      <w:r>
        <w:rPr>
          <w:rFonts w:ascii="Times New Roman" w:hAnsi="Times New Roman"/>
          <w:sz w:val="30"/>
        </w:rPr>
        <w:lastRenderedPageBreak/>
        <w:t>二十四、其他应披露事项</w:t>
      </w:r>
      <w:bookmarkEnd w:id="27"/>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交银施罗德基金管理有限公司关于增加湘财证券股份有限公司为旗下基金的销售机构的公告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交银施罗德阿尔法核心混合型证券投资基金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0924C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924C9" w:rsidRDefault="00AD33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8" w:name="_Toc234408715"/>
      <w:r>
        <w:rPr>
          <w:rFonts w:ascii="Times New Roman" w:hAnsi="Times New Roman"/>
          <w:sz w:val="30"/>
        </w:rPr>
        <w:lastRenderedPageBreak/>
        <w:t>二十五、招募说明书的存放及查阅方式</w:t>
      </w:r>
      <w:bookmarkEnd w:id="28"/>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AD331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924C9" w:rsidRDefault="00AD331B">
      <w:pPr>
        <w:pStyle w:val="1"/>
        <w:snapToGrid w:val="0"/>
        <w:spacing w:beforeLines="0" w:before="240" w:after="240"/>
        <w:rPr>
          <w:rFonts w:ascii="宋体" w:hAnsi="宋体"/>
          <w:szCs w:val="30"/>
        </w:rPr>
      </w:pPr>
      <w:bookmarkStart w:id="29" w:name="_Toc234408716"/>
      <w:r>
        <w:rPr>
          <w:rFonts w:ascii="Times New Roman" w:hAnsi="Times New Roman"/>
          <w:sz w:val="30"/>
        </w:rPr>
        <w:lastRenderedPageBreak/>
        <w:t>二十六、备查文件</w:t>
      </w:r>
      <w:bookmarkEnd w:id="29"/>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（一）中国证监会核准交银施罗德阿尔法核心股票型证券投资基金募集的文件</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（二）《交银施罗德阿尔法核心混合型证券投资基金基金合同》</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（三）《交银施罗德阿尔法核心混合型证券投资基金托管协议》</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0924C9" w:rsidRDefault="00AD331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（六）关于申请募集交银施罗德阿尔法核心股票型证券投资基金之法律意见书</w:t>
      </w:r>
    </w:p>
    <w:sectPr w:rsidR="000924C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45B" w:rsidRDefault="00AD331B">
      <w:r>
        <w:separator/>
      </w:r>
    </w:p>
  </w:endnote>
  <w:endnote w:type="continuationSeparator" w:id="0">
    <w:p w:rsidR="0088645B" w:rsidRDefault="00AD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0924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90693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924C9" w:rsidRDefault="00AD331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0693C">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0924C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90693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924C9" w:rsidRDefault="00AD331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0693C">
                  <w:rPr>
                    <w:rFonts w:ascii="Times New Roman" w:hAnsi="Times New Roman"/>
                    <w:noProof/>
                    <w:kern w:val="0"/>
                    <w:sz w:val="18"/>
                    <w:szCs w:val="18"/>
                  </w:rPr>
                  <w:t>166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45B" w:rsidRDefault="00AD331B">
      <w:r>
        <w:separator/>
      </w:r>
    </w:p>
  </w:footnote>
  <w:footnote w:type="continuationSeparator" w:id="0">
    <w:p w:rsidR="0088645B" w:rsidRDefault="00AD33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0924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AD331B">
    <w:pPr>
      <w:pStyle w:val="a3"/>
      <w:jc w:val="right"/>
      <w:rPr>
        <w:rFonts w:ascii="宋体" w:hAnsi="宋体"/>
      </w:rPr>
    </w:pPr>
    <w:r>
      <w:rPr>
        <w:rFonts w:ascii="宋体" w:hAnsi="宋体" w:hint="eastAsia"/>
      </w:rPr>
      <w:t>交银施罗德阿尔法核心混合型证券投资基金招募说明书更新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0924C9">
    <w:pPr>
      <w:pStyle w:val="10"/>
      <w:jc w:val="right"/>
    </w:pPr>
  </w:p>
  <w:p w:rsidR="000924C9" w:rsidRDefault="000924C9">
    <w:pPr>
      <w:pStyle w:val="10"/>
      <w:jc w:val="right"/>
    </w:pPr>
  </w:p>
  <w:p w:rsidR="000924C9" w:rsidRDefault="000924C9">
    <w:pPr>
      <w:pStyle w:val="a3"/>
      <w:jc w:val="right"/>
    </w:pPr>
  </w:p>
  <w:p w:rsidR="000924C9" w:rsidRDefault="00AD331B">
    <w:pPr>
      <w:pStyle w:val="a3"/>
      <w:jc w:val="right"/>
      <w:rPr>
        <w:rFonts w:ascii="宋体" w:hAnsi="宋体"/>
      </w:rPr>
    </w:pPr>
    <w:r>
      <w:rPr>
        <w:rFonts w:ascii="宋体" w:hAnsi="宋体" w:hint="eastAsia"/>
      </w:rPr>
      <w:t>交银施罗德阿尔法核心混合型证券投资基金招募说明书更新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4C9" w:rsidRDefault="000924C9">
    <w:pPr>
      <w:pStyle w:val="a3"/>
      <w:jc w:val="right"/>
    </w:pPr>
  </w:p>
  <w:p w:rsidR="000924C9" w:rsidRDefault="000924C9">
    <w:pPr>
      <w:pStyle w:val="a3"/>
      <w:jc w:val="right"/>
    </w:pPr>
  </w:p>
  <w:p w:rsidR="000924C9" w:rsidRDefault="000924C9">
    <w:pPr>
      <w:pStyle w:val="a3"/>
      <w:jc w:val="right"/>
    </w:pPr>
  </w:p>
  <w:p w:rsidR="000924C9" w:rsidRDefault="00AD331B">
    <w:pPr>
      <w:pStyle w:val="a3"/>
      <w:jc w:val="right"/>
      <w:rPr>
        <w:rFonts w:ascii="宋体" w:hAnsi="宋体"/>
      </w:rPr>
    </w:pPr>
    <w:r>
      <w:rPr>
        <w:rFonts w:ascii="宋体" w:hAnsi="宋体" w:hint="eastAsia"/>
      </w:rPr>
      <w:t>交银施罗德阿尔法核心混合型证券投资基金招募说明书更新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24C9"/>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8645B"/>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693C"/>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331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D2A0363A-F267-4AE0-ABF7-86A52204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167</Pages>
  <Words>17154</Words>
  <Characters>97779</Characters>
  <Application>Microsoft Office Word</Application>
  <DocSecurity>0</DocSecurity>
  <Lines>814</Lines>
  <Paragraphs>229</Paragraphs>
  <ScaleCrop>false</ScaleCrop>
  <Company>Microsoft</Company>
  <LinksUpToDate>false</LinksUpToDate>
  <CharactersWithSpaces>114704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2026-07-08T05:11:00Z</dcterms:created>
  <dcterms:modified xsi:type="dcterms:W3CDTF">2026-07-08T05:11:00Z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