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DF7AE8">
      <w:pPr>
        <w:rPr>
          <w:sz w:val="32"/>
        </w:rPr>
      </w:pPr>
    </w:p>
    <w:p w:rsidR="00C92FC0" w:rsidRPr="00EB07BC" w:rsidRDefault="00DF7AE8">
      <w:pPr>
        <w:rPr>
          <w:sz w:val="32"/>
        </w:rPr>
      </w:pPr>
    </w:p>
    <w:p w:rsidR="00C92FC0" w:rsidRPr="00EB07BC" w:rsidRDefault="00DF7AE8">
      <w:pPr>
        <w:rPr>
          <w:sz w:val="32"/>
        </w:rPr>
      </w:pPr>
    </w:p>
    <w:p w:rsidR="00B50199" w:rsidRDefault="00B50199">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B50199" w:rsidRDefault="00B50199">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B50199" w:rsidRDefault="00B50199">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B50199" w:rsidRDefault="00834ECC">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交银施罗德荣鑫灵活配置混合型证券投资基金</w:t>
      </w:r>
    </w:p>
    <w:p w:rsidR="00B50199" w:rsidRDefault="00834ECC">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B50199" w:rsidRDefault="00B50199">
      <w:pPr>
        <w:snapToGrid w:val="0"/>
        <w:spacing w:line="360" w:lineRule="auto"/>
        <w:jc w:val="center"/>
        <w:rPr>
          <w:rFonts w:ascii="宋体" w:hAnsi="宋体"/>
          <w:b/>
          <w:sz w:val="30"/>
          <w:szCs w:val="30"/>
        </w:rPr>
      </w:pPr>
    </w:p>
    <w:p w:rsidR="00B50199" w:rsidRDefault="00B50199">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B50199" w:rsidRDefault="00B50199">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B50199" w:rsidRDefault="00B50199">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B50199" w:rsidRDefault="00B50199">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B50199" w:rsidRDefault="00B50199">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B50199" w:rsidRDefault="00B50199">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B50199" w:rsidRDefault="00834ECC">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B50199" w:rsidRDefault="00834ECC">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基金托管人：中国民生银行股份有限公司</w:t>
      </w:r>
    </w:p>
    <w:p w:rsidR="00B50199" w:rsidRDefault="00B50199">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B50199" w:rsidRDefault="00B50199">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B50199" w:rsidRDefault="00834ECC">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二〇二六年六月</w:t>
      </w:r>
    </w:p>
    <w:p w:rsidR="00B50199" w:rsidRDefault="00B50199">
      <w:pPr>
        <w:autoSpaceDE w:val="0"/>
        <w:autoSpaceDN w:val="0"/>
        <w:adjustRightInd w:val="0"/>
        <w:snapToGrid w:val="0"/>
        <w:spacing w:line="360" w:lineRule="auto"/>
        <w:ind w:left="1347" w:rightChars="6" w:right="13"/>
        <w:rPr>
          <w:rFonts w:ascii="宋体" w:hAnsi="宋体"/>
          <w:kern w:val="0"/>
          <w:sz w:val="32"/>
          <w:szCs w:val="32"/>
        </w:rPr>
        <w:sectPr w:rsidR="00B50199">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B50199" w:rsidRDefault="00834ECC">
      <w:pPr>
        <w:pStyle w:val="1"/>
        <w:snapToGrid w:val="0"/>
        <w:spacing w:beforeLines="0" w:before="240" w:after="240"/>
        <w:rPr>
          <w:rFonts w:ascii="宋体" w:hAnsi="宋体"/>
          <w:kern w:val="0"/>
        </w:rPr>
      </w:pPr>
      <w:bookmarkStart w:id="0" w:name="_Toc324920538"/>
      <w:bookmarkStart w:id="1" w:name="_Toc496884613"/>
      <w:bookmarkStart w:id="2" w:name="_Toc234247826"/>
      <w:r>
        <w:rPr>
          <w:rFonts w:ascii="Times New Roman" w:hAnsi="Times New Roman"/>
          <w:kern w:val="0"/>
        </w:rPr>
        <w:lastRenderedPageBreak/>
        <w:t>重要提示</w:t>
      </w:r>
      <w:bookmarkEnd w:id="0"/>
      <w:bookmarkEnd w:id="1"/>
      <w:bookmarkEnd w:id="2"/>
    </w:p>
    <w:p w:rsidR="00B50199" w:rsidRDefault="00834ECC">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交银施罗德荣鑫灵活配置混合型证券投资基金（以下简称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）为根据《交银施罗德荣鑫保本混合型证券投资基金基金合同》的约定，由交银施罗德荣鑫保本混合型证券投资基金第一个保本周期到期后转型而来。</w:t>
      </w:r>
    </w:p>
    <w:p w:rsidR="00B50199" w:rsidRDefault="00834ECC">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交银施罗德荣鑫保本混合型证券投资基金经</w:t>
      </w:r>
      <w:r>
        <w:rPr>
          <w:rFonts w:ascii="Times New Roman" w:hAnsi="Times New Roman"/>
          <w:kern w:val="0"/>
          <w:sz w:val="24"/>
        </w:rPr>
        <w:t>2016</w:t>
      </w:r>
      <w:r>
        <w:rPr>
          <w:rFonts w:ascii="Times New Roman" w:hAnsi="Times New Roman"/>
          <w:kern w:val="0"/>
          <w:sz w:val="24"/>
        </w:rPr>
        <w:t>年</w:t>
      </w:r>
      <w:r>
        <w:rPr>
          <w:rFonts w:ascii="Times New Roman" w:hAnsi="Times New Roman"/>
          <w:kern w:val="0"/>
          <w:sz w:val="24"/>
        </w:rPr>
        <w:t>3</w:t>
      </w:r>
      <w:r>
        <w:rPr>
          <w:rFonts w:ascii="Times New Roman" w:hAnsi="Times New Roman"/>
          <w:kern w:val="0"/>
          <w:sz w:val="24"/>
        </w:rPr>
        <w:t>月</w:t>
      </w:r>
      <w:r>
        <w:rPr>
          <w:rFonts w:ascii="Times New Roman" w:hAnsi="Times New Roman"/>
          <w:kern w:val="0"/>
          <w:sz w:val="24"/>
        </w:rPr>
        <w:t>7</w:t>
      </w:r>
      <w:r>
        <w:rPr>
          <w:rFonts w:ascii="Times New Roman" w:hAnsi="Times New Roman"/>
          <w:kern w:val="0"/>
          <w:sz w:val="24"/>
        </w:rPr>
        <w:t>日中国证券监督管理委员会（以下简称</w:t>
      </w:r>
      <w:r>
        <w:rPr>
          <w:rFonts w:ascii="Times New Roman" w:hAnsi="Times New Roman"/>
          <w:kern w:val="0"/>
          <w:sz w:val="24"/>
        </w:rPr>
        <w:t>“</w:t>
      </w:r>
      <w:r>
        <w:rPr>
          <w:rFonts w:ascii="Times New Roman" w:hAnsi="Times New Roman"/>
          <w:kern w:val="0"/>
          <w:sz w:val="24"/>
        </w:rPr>
        <w:t>中国证监会</w:t>
      </w:r>
      <w:r>
        <w:rPr>
          <w:rFonts w:ascii="Times New Roman" w:hAnsi="Times New Roman"/>
          <w:kern w:val="0"/>
          <w:sz w:val="24"/>
        </w:rPr>
        <w:t>”</w:t>
      </w:r>
      <w:r>
        <w:rPr>
          <w:rFonts w:ascii="Times New Roman" w:hAnsi="Times New Roman"/>
          <w:kern w:val="0"/>
          <w:sz w:val="24"/>
        </w:rPr>
        <w:t>）证监许可【</w:t>
      </w:r>
      <w:r>
        <w:rPr>
          <w:rFonts w:ascii="Times New Roman" w:hAnsi="Times New Roman"/>
          <w:kern w:val="0"/>
          <w:sz w:val="24"/>
        </w:rPr>
        <w:t>2016</w:t>
      </w:r>
      <w:r>
        <w:rPr>
          <w:rFonts w:ascii="Times New Roman" w:hAnsi="Times New Roman"/>
          <w:kern w:val="0"/>
          <w:sz w:val="24"/>
        </w:rPr>
        <w:t>】</w:t>
      </w:r>
      <w:r>
        <w:rPr>
          <w:rFonts w:ascii="Times New Roman" w:hAnsi="Times New Roman"/>
          <w:kern w:val="0"/>
          <w:sz w:val="24"/>
        </w:rPr>
        <w:t>449</w:t>
      </w:r>
      <w:r>
        <w:rPr>
          <w:rFonts w:ascii="Times New Roman" w:hAnsi="Times New Roman"/>
          <w:kern w:val="0"/>
          <w:sz w:val="24"/>
        </w:rPr>
        <w:t>号文准予募集注册，自</w:t>
      </w:r>
      <w:r>
        <w:rPr>
          <w:rFonts w:ascii="Times New Roman" w:hAnsi="Times New Roman"/>
          <w:kern w:val="0"/>
          <w:sz w:val="24"/>
        </w:rPr>
        <w:t>2016</w:t>
      </w:r>
      <w:r>
        <w:rPr>
          <w:rFonts w:ascii="Times New Roman" w:hAnsi="Times New Roman"/>
          <w:kern w:val="0"/>
          <w:sz w:val="24"/>
        </w:rPr>
        <w:t>年</w:t>
      </w:r>
      <w:r>
        <w:rPr>
          <w:rFonts w:ascii="Times New Roman" w:hAnsi="Times New Roman"/>
          <w:kern w:val="0"/>
          <w:sz w:val="24"/>
        </w:rPr>
        <w:t>3</w:t>
      </w:r>
      <w:r>
        <w:rPr>
          <w:rFonts w:ascii="Times New Roman" w:hAnsi="Times New Roman"/>
          <w:kern w:val="0"/>
          <w:sz w:val="24"/>
        </w:rPr>
        <w:t>月</w:t>
      </w:r>
      <w:r>
        <w:rPr>
          <w:rFonts w:ascii="Times New Roman" w:hAnsi="Times New Roman"/>
          <w:kern w:val="0"/>
          <w:sz w:val="24"/>
        </w:rPr>
        <w:t>21</w:t>
      </w:r>
      <w:r>
        <w:rPr>
          <w:rFonts w:ascii="Times New Roman" w:hAnsi="Times New Roman"/>
          <w:kern w:val="0"/>
          <w:sz w:val="24"/>
        </w:rPr>
        <w:t>日至</w:t>
      </w:r>
      <w:r>
        <w:rPr>
          <w:rFonts w:ascii="Times New Roman" w:hAnsi="Times New Roman"/>
          <w:kern w:val="0"/>
          <w:sz w:val="24"/>
        </w:rPr>
        <w:t>2016</w:t>
      </w:r>
      <w:r>
        <w:rPr>
          <w:rFonts w:ascii="Times New Roman" w:hAnsi="Times New Roman"/>
          <w:kern w:val="0"/>
          <w:sz w:val="24"/>
        </w:rPr>
        <w:t>年</w:t>
      </w:r>
      <w:r>
        <w:rPr>
          <w:rFonts w:ascii="Times New Roman" w:hAnsi="Times New Roman"/>
          <w:kern w:val="0"/>
          <w:sz w:val="24"/>
        </w:rPr>
        <w:t>3</w:t>
      </w:r>
      <w:r>
        <w:rPr>
          <w:rFonts w:ascii="Times New Roman" w:hAnsi="Times New Roman"/>
          <w:kern w:val="0"/>
          <w:sz w:val="24"/>
        </w:rPr>
        <w:t>月</w:t>
      </w:r>
      <w:r>
        <w:rPr>
          <w:rFonts w:ascii="Times New Roman" w:hAnsi="Times New Roman"/>
          <w:kern w:val="0"/>
          <w:sz w:val="24"/>
        </w:rPr>
        <w:t>22</w:t>
      </w:r>
      <w:r>
        <w:rPr>
          <w:rFonts w:ascii="Times New Roman" w:hAnsi="Times New Roman"/>
          <w:kern w:val="0"/>
          <w:sz w:val="24"/>
        </w:rPr>
        <w:t>日进行公开募集，募集结束后基金管理人向中国证监会办理基金备案手续。经中国证监会书面确认，《交银施罗德荣鑫保本混合型证券投资基金基金合同》于</w:t>
      </w:r>
      <w:r>
        <w:rPr>
          <w:rFonts w:ascii="Times New Roman" w:hAnsi="Times New Roman"/>
          <w:kern w:val="0"/>
          <w:sz w:val="24"/>
        </w:rPr>
        <w:t>2016</w:t>
      </w:r>
      <w:r>
        <w:rPr>
          <w:rFonts w:ascii="Times New Roman" w:hAnsi="Times New Roman"/>
          <w:kern w:val="0"/>
          <w:sz w:val="24"/>
        </w:rPr>
        <w:t>年</w:t>
      </w:r>
      <w:r>
        <w:rPr>
          <w:rFonts w:ascii="Times New Roman" w:hAnsi="Times New Roman"/>
          <w:kern w:val="0"/>
          <w:sz w:val="24"/>
        </w:rPr>
        <w:t>3</w:t>
      </w:r>
      <w:r>
        <w:rPr>
          <w:rFonts w:ascii="Times New Roman" w:hAnsi="Times New Roman"/>
          <w:kern w:val="0"/>
          <w:sz w:val="24"/>
        </w:rPr>
        <w:t>月</w:t>
      </w:r>
      <w:r>
        <w:rPr>
          <w:rFonts w:ascii="Times New Roman" w:hAnsi="Times New Roman"/>
          <w:kern w:val="0"/>
          <w:sz w:val="24"/>
        </w:rPr>
        <w:t>25</w:t>
      </w:r>
      <w:r>
        <w:rPr>
          <w:rFonts w:ascii="Times New Roman" w:hAnsi="Times New Roman"/>
          <w:kern w:val="0"/>
          <w:sz w:val="24"/>
        </w:rPr>
        <w:t>日正式生效。</w:t>
      </w:r>
    </w:p>
    <w:p w:rsidR="00B50199" w:rsidRDefault="00834ECC">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交银施罗德荣鑫保本混合型证券投资基金第一个保本周期于</w:t>
      </w:r>
      <w:r>
        <w:rPr>
          <w:rFonts w:ascii="Times New Roman" w:hAnsi="Times New Roman"/>
          <w:kern w:val="0"/>
          <w:sz w:val="24"/>
        </w:rPr>
        <w:t>2019</w:t>
      </w:r>
      <w:r>
        <w:rPr>
          <w:rFonts w:ascii="Times New Roman" w:hAnsi="Times New Roman"/>
          <w:kern w:val="0"/>
          <w:sz w:val="24"/>
        </w:rPr>
        <w:t>年</w:t>
      </w:r>
      <w:r>
        <w:rPr>
          <w:rFonts w:ascii="Times New Roman" w:hAnsi="Times New Roman"/>
          <w:kern w:val="0"/>
          <w:sz w:val="24"/>
        </w:rPr>
        <w:t>3</w:t>
      </w:r>
      <w:r>
        <w:rPr>
          <w:rFonts w:ascii="Times New Roman" w:hAnsi="Times New Roman"/>
          <w:kern w:val="0"/>
          <w:sz w:val="24"/>
        </w:rPr>
        <w:t>月</w:t>
      </w:r>
      <w:r>
        <w:rPr>
          <w:rFonts w:ascii="Times New Roman" w:hAnsi="Times New Roman"/>
          <w:kern w:val="0"/>
          <w:sz w:val="24"/>
        </w:rPr>
        <w:t>25</w:t>
      </w:r>
      <w:r>
        <w:rPr>
          <w:rFonts w:ascii="Times New Roman" w:hAnsi="Times New Roman"/>
          <w:kern w:val="0"/>
          <w:sz w:val="24"/>
        </w:rPr>
        <w:t>日到期。按照《交银施罗德荣鑫保本混合型证券投资基金基金合同》的约定，该基金保本周期到期后转型为非保本的混合型基金，名称相应变更为</w:t>
      </w:r>
      <w:r>
        <w:rPr>
          <w:rFonts w:ascii="Times New Roman" w:hAnsi="Times New Roman"/>
          <w:kern w:val="0"/>
          <w:sz w:val="24"/>
        </w:rPr>
        <w:t>“</w:t>
      </w:r>
      <w:r>
        <w:rPr>
          <w:rFonts w:ascii="Times New Roman" w:hAnsi="Times New Roman"/>
          <w:kern w:val="0"/>
          <w:sz w:val="24"/>
        </w:rPr>
        <w:t>交银施罗德荣鑫灵活配置混合型证券投资基金</w:t>
      </w:r>
      <w:r>
        <w:rPr>
          <w:rFonts w:ascii="Times New Roman" w:hAnsi="Times New Roman"/>
          <w:kern w:val="0"/>
          <w:sz w:val="24"/>
        </w:rPr>
        <w:t>”</w:t>
      </w:r>
      <w:r>
        <w:rPr>
          <w:rFonts w:ascii="Times New Roman" w:hAnsi="Times New Roman"/>
          <w:kern w:val="0"/>
          <w:sz w:val="24"/>
        </w:rPr>
        <w:t>。</w:t>
      </w:r>
    </w:p>
    <w:p w:rsidR="00B50199" w:rsidRDefault="00834ECC">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根据本基金的基金合同编写，本基金的基金合同经中国证监会备案，但中国证监会对交银施罗德荣鑫保本混合型证券投资基金募集的注册以及其保本周期到期转型为本基金的备案，并不表明其对本基金的价值和收益作出实质性判断或保证，也不表明投资于本基金没有风险。中国证监会不对基金的投资价值及市场前景等作出实质性判断或者保证。</w:t>
      </w:r>
    </w:p>
    <w:p w:rsidR="00B50199" w:rsidRDefault="00834ECC">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勤勉尽责的原则管理和运用基金财产，但不保证投资本基金一定盈利，也不保证基金份额持有人的最低收益；因基金价格可升可跌，亦不保证基金份额持有人能全数取回其原本投资。</w:t>
      </w:r>
    </w:p>
    <w:p w:rsidR="00B50199" w:rsidRDefault="00834ECC">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投资本基金可能遇到的风险包括：因受到经济因素、政治因素、投资心理和交易制度等各种因素的影响而引起的市场风险；基金管理人在基金管理实施过程中产生的基金管理风险；流动性风险（包括实施侧袋机制时的特</w:t>
      </w:r>
      <w:r>
        <w:rPr>
          <w:rFonts w:ascii="Times New Roman" w:hAnsi="Times New Roman"/>
          <w:kern w:val="0"/>
          <w:sz w:val="24"/>
        </w:rPr>
        <w:lastRenderedPageBreak/>
        <w:t>定风险）；交易对手违约风险；本基金投资策略所特有的风险；投资股指期货的特定风险；投资资产支持证券的特定风险；投资科创板股票的特定风险；投资本基金的其他风险等等。本基金是一只混合型基金，其风险和预期收益高于债券型基金和货币市场基金，低于股票型基金。</w:t>
      </w:r>
    </w:p>
    <w:p w:rsidR="00B50199" w:rsidRDefault="00834ECC">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章节内容。</w:t>
      </w:r>
    </w:p>
    <w:p w:rsidR="00B50199" w:rsidRDefault="00834ECC">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本基金可根据投资策略需要或市场环境的变化，选择将部分基金资产投资于存托凭证或选择不将基金资产投资于存托凭证，基金资产并非必然投资存托凭证。</w:t>
      </w:r>
    </w:p>
    <w:p w:rsidR="00B50199" w:rsidRDefault="00834ECC">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有风险，投资人在投资本基金前应认真阅读本基金的招募说明书、基金合同、基金产品资料概要等信息披露文件，自主判断基金的投资价值，自主做出投资决策，自行承担投资风险。基金的过往业绩并不代表未来表现。基金管理人管理的其他基金的业绩并不构成对本基金业绩表现的保证。基金管理人提醒投资者基金投资的</w:t>
      </w:r>
      <w:r>
        <w:rPr>
          <w:rFonts w:ascii="Times New Roman" w:hAnsi="Times New Roman"/>
          <w:kern w:val="0"/>
          <w:sz w:val="24"/>
        </w:rPr>
        <w:t>“</w:t>
      </w:r>
      <w:r>
        <w:rPr>
          <w:rFonts w:ascii="Times New Roman" w:hAnsi="Times New Roman"/>
          <w:kern w:val="0"/>
          <w:sz w:val="24"/>
        </w:rPr>
        <w:t>买者自负</w:t>
      </w:r>
      <w:r>
        <w:rPr>
          <w:rFonts w:ascii="Times New Roman" w:hAnsi="Times New Roman"/>
          <w:kern w:val="0"/>
          <w:sz w:val="24"/>
        </w:rPr>
        <w:t>”</w:t>
      </w:r>
      <w:r>
        <w:rPr>
          <w:rFonts w:ascii="Times New Roman" w:hAnsi="Times New Roman"/>
          <w:kern w:val="0"/>
          <w:sz w:val="24"/>
        </w:rPr>
        <w:t>原则，在投资者作出投资决策后，基金运营状况与基金净值变化引致的投资风险，由投资者自行负责。</w:t>
      </w:r>
    </w:p>
    <w:p w:rsidR="00B50199" w:rsidRDefault="00834ECC">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本基金单一投资者持有基金份额数不得超过基金份额总数的</w:t>
      </w:r>
      <w:r>
        <w:rPr>
          <w:rFonts w:ascii="Times New Roman" w:hAnsi="Times New Roman"/>
          <w:kern w:val="0"/>
          <w:sz w:val="24"/>
        </w:rPr>
        <w:t>50%</w:t>
      </w:r>
      <w:r>
        <w:rPr>
          <w:rFonts w:ascii="Times New Roman" w:hAnsi="Times New Roman"/>
          <w:kern w:val="0"/>
          <w:sz w:val="24"/>
        </w:rPr>
        <w:t>，但在基金运作过程中因基金份额赎回等情形导致被动超过前述</w:t>
      </w:r>
      <w:r>
        <w:rPr>
          <w:rFonts w:ascii="Times New Roman" w:hAnsi="Times New Roman"/>
          <w:kern w:val="0"/>
          <w:sz w:val="24"/>
        </w:rPr>
        <w:t>50%</w:t>
      </w:r>
      <w:r>
        <w:rPr>
          <w:rFonts w:ascii="Times New Roman" w:hAnsi="Times New Roman"/>
          <w:kern w:val="0"/>
          <w:sz w:val="24"/>
        </w:rPr>
        <w:t>比例的除外。</w:t>
      </w:r>
    </w:p>
    <w:p w:rsidR="00B50199" w:rsidRDefault="00834ECC">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本招募说明书所载内容截止日为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06</w:t>
      </w:r>
      <w:r>
        <w:rPr>
          <w:rFonts w:ascii="Times New Roman" w:hAnsi="Times New Roman"/>
          <w:kern w:val="0"/>
          <w:sz w:val="24"/>
        </w:rPr>
        <w:t>月</w:t>
      </w:r>
      <w:r>
        <w:rPr>
          <w:rFonts w:ascii="Times New Roman" w:hAnsi="Times New Roman"/>
          <w:kern w:val="0"/>
          <w:sz w:val="24"/>
        </w:rPr>
        <w:t>17</w:t>
      </w:r>
      <w:r>
        <w:rPr>
          <w:rFonts w:ascii="Times New Roman" w:hAnsi="Times New Roman"/>
          <w:kern w:val="0"/>
          <w:sz w:val="24"/>
        </w:rPr>
        <w:t>日，有关财务和业绩表现数据截止日为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03</w:t>
      </w:r>
      <w:r>
        <w:rPr>
          <w:rFonts w:ascii="Times New Roman" w:hAnsi="Times New Roman"/>
          <w:kern w:val="0"/>
          <w:sz w:val="24"/>
        </w:rPr>
        <w:t>月</w:t>
      </w:r>
      <w:r>
        <w:rPr>
          <w:rFonts w:ascii="Times New Roman" w:hAnsi="Times New Roman"/>
          <w:kern w:val="0"/>
          <w:sz w:val="24"/>
        </w:rPr>
        <w:t>31</w:t>
      </w:r>
      <w:r>
        <w:rPr>
          <w:rFonts w:ascii="Times New Roman" w:hAnsi="Times New Roman"/>
          <w:kern w:val="0"/>
          <w:sz w:val="24"/>
        </w:rPr>
        <w:t>日，财务和业绩表现数据未经审计。</w:t>
      </w:r>
    </w:p>
    <w:p w:rsidR="00B50199" w:rsidRDefault="00B50199">
      <w:pPr>
        <w:autoSpaceDE w:val="0"/>
        <w:autoSpaceDN w:val="0"/>
        <w:adjustRightInd w:val="0"/>
        <w:snapToGrid w:val="0"/>
        <w:spacing w:before="51" w:line="360" w:lineRule="auto"/>
        <w:ind w:left="120" w:rightChars="6" w:right="13" w:firstLine="480"/>
        <w:rPr>
          <w:rFonts w:ascii="宋体" w:hAnsi="宋体"/>
          <w:kern w:val="0"/>
          <w:szCs w:val="24"/>
        </w:rPr>
        <w:sectPr w:rsidR="00B50199">
          <w:headerReference w:type="default" r:id="rId14"/>
          <w:pgSz w:w="11920" w:h="16840"/>
          <w:pgMar w:top="1440" w:right="1680" w:bottom="280" w:left="1680" w:header="0" w:footer="1073" w:gutter="0"/>
          <w:pgNumType w:start="1"/>
          <w:cols w:space="720"/>
        </w:sectPr>
      </w:pPr>
    </w:p>
    <w:p w:rsidR="00DF7AE8" w:rsidRPr="00DF7AE8" w:rsidRDefault="00834ECC" w:rsidP="00DF7AE8">
      <w:pPr>
        <w:pStyle w:val="ad"/>
        <w:snapToGrid w:val="0"/>
        <w:spacing w:after="240" w:line="360" w:lineRule="auto"/>
        <w:jc w:val="center"/>
        <w:rPr>
          <w:rFonts w:ascii="宋体" w:hAnsi="宋体"/>
          <w:noProof/>
          <w:sz w:val="24"/>
        </w:rPr>
      </w:pPr>
      <w:r w:rsidRPr="00DF7AE8">
        <w:rPr>
          <w:rFonts w:ascii="宋体" w:hAnsi="宋体"/>
          <w:color w:val="000000"/>
          <w:position w:val="-4"/>
          <w:sz w:val="24"/>
          <w:szCs w:val="30"/>
        </w:rPr>
        <w:lastRenderedPageBreak/>
        <w:t>目</w:t>
      </w:r>
      <w:r w:rsidRPr="00DF7AE8">
        <w:rPr>
          <w:rFonts w:ascii="宋体" w:hAnsi="宋体"/>
          <w:color w:val="000000"/>
          <w:position w:val="-4"/>
          <w:sz w:val="24"/>
          <w:szCs w:val="30"/>
        </w:rPr>
        <w:tab/>
        <w:t>录</w:t>
      </w:r>
      <w:r w:rsidR="00DF7AE8" w:rsidRPr="00DF7AE8">
        <w:rPr>
          <w:rFonts w:ascii="宋体" w:hAnsi="宋体"/>
          <w:color w:val="000000"/>
          <w:position w:val="-4"/>
          <w:sz w:val="24"/>
          <w:szCs w:val="30"/>
        </w:rPr>
        <w:fldChar w:fldCharType="begin"/>
      </w:r>
      <w:r w:rsidR="00DF7AE8" w:rsidRPr="00DF7AE8">
        <w:rPr>
          <w:rFonts w:ascii="宋体" w:hAnsi="宋体"/>
          <w:color w:val="000000"/>
          <w:position w:val="-4"/>
          <w:sz w:val="24"/>
          <w:szCs w:val="30"/>
        </w:rPr>
        <w:instrText xml:space="preserve"> TOC \o "1-3" \f - \h \t "-1" </w:instrText>
      </w:r>
      <w:r w:rsidR="00DF7AE8" w:rsidRPr="00DF7AE8">
        <w:rPr>
          <w:rFonts w:ascii="宋体" w:hAnsi="宋体"/>
          <w:color w:val="000000"/>
          <w:position w:val="-4"/>
          <w:sz w:val="24"/>
          <w:szCs w:val="30"/>
        </w:rPr>
        <w:fldChar w:fldCharType="separate"/>
      </w:r>
    </w:p>
    <w:p w:rsidR="00DF7AE8" w:rsidRPr="00DF7AE8" w:rsidRDefault="00DF7AE8" w:rsidP="00DF7AE8">
      <w:pPr>
        <w:pStyle w:val="10"/>
        <w:tabs>
          <w:tab w:val="right" w:leader="dot" w:pos="8550"/>
        </w:tabs>
        <w:spacing w:line="360" w:lineRule="auto"/>
        <w:rPr>
          <w:rFonts w:ascii="宋体" w:hAnsi="宋体" w:cstheme="minorBidi"/>
          <w:noProof/>
          <w:sz w:val="24"/>
        </w:rPr>
      </w:pPr>
      <w:hyperlink w:anchor="_Toc234247826" w:history="1">
        <w:r w:rsidRPr="00DF7AE8">
          <w:rPr>
            <w:rStyle w:val="aa"/>
            <w:rFonts w:ascii="宋体" w:hAnsi="宋体" w:hint="eastAsia"/>
            <w:noProof/>
            <w:kern w:val="0"/>
            <w:sz w:val="24"/>
          </w:rPr>
          <w:t>重要提示</w:t>
        </w:r>
        <w:r w:rsidRPr="00DF7AE8">
          <w:rPr>
            <w:rFonts w:ascii="宋体" w:hAnsi="宋体"/>
            <w:noProof/>
            <w:sz w:val="24"/>
          </w:rPr>
          <w:tab/>
        </w:r>
        <w:r w:rsidRPr="00DF7AE8">
          <w:rPr>
            <w:rFonts w:ascii="宋体" w:hAnsi="宋体"/>
            <w:noProof/>
            <w:sz w:val="24"/>
          </w:rPr>
          <w:fldChar w:fldCharType="begin"/>
        </w:r>
        <w:r w:rsidRPr="00DF7AE8">
          <w:rPr>
            <w:rFonts w:ascii="宋体" w:hAnsi="宋体"/>
            <w:noProof/>
            <w:sz w:val="24"/>
          </w:rPr>
          <w:instrText xml:space="preserve"> PAGEREF _Toc234247826 \h </w:instrText>
        </w:r>
        <w:r w:rsidRPr="00DF7AE8">
          <w:rPr>
            <w:rFonts w:ascii="宋体" w:hAnsi="宋体"/>
            <w:noProof/>
            <w:sz w:val="24"/>
          </w:rPr>
        </w:r>
        <w:r w:rsidRPr="00DF7AE8">
          <w:rPr>
            <w:rFonts w:ascii="宋体" w:hAnsi="宋体"/>
            <w:noProof/>
            <w:sz w:val="24"/>
          </w:rPr>
          <w:fldChar w:fldCharType="separate"/>
        </w:r>
        <w:r w:rsidRPr="00DF7AE8">
          <w:rPr>
            <w:rFonts w:ascii="宋体" w:hAnsi="宋体"/>
            <w:noProof/>
            <w:sz w:val="24"/>
          </w:rPr>
          <w:t>1</w:t>
        </w:r>
        <w:r w:rsidRPr="00DF7AE8">
          <w:rPr>
            <w:rFonts w:ascii="宋体" w:hAnsi="宋体"/>
            <w:noProof/>
            <w:sz w:val="24"/>
          </w:rPr>
          <w:fldChar w:fldCharType="end"/>
        </w:r>
      </w:hyperlink>
    </w:p>
    <w:p w:rsidR="00DF7AE8" w:rsidRPr="00DF7AE8" w:rsidRDefault="00DF7AE8" w:rsidP="00DF7AE8">
      <w:pPr>
        <w:pStyle w:val="10"/>
        <w:tabs>
          <w:tab w:val="right" w:leader="dot" w:pos="8550"/>
        </w:tabs>
        <w:spacing w:line="360" w:lineRule="auto"/>
        <w:rPr>
          <w:rFonts w:ascii="宋体" w:hAnsi="宋体" w:cstheme="minorBidi"/>
          <w:noProof/>
          <w:sz w:val="24"/>
        </w:rPr>
      </w:pPr>
      <w:hyperlink w:anchor="_Toc234247827" w:history="1">
        <w:r w:rsidRPr="00DF7AE8">
          <w:rPr>
            <w:rStyle w:val="aa"/>
            <w:rFonts w:ascii="宋体" w:hAnsi="宋体" w:hint="eastAsia"/>
            <w:noProof/>
            <w:sz w:val="24"/>
          </w:rPr>
          <w:t>一、绪言</w:t>
        </w:r>
        <w:r w:rsidRPr="00DF7AE8">
          <w:rPr>
            <w:rFonts w:ascii="宋体" w:hAnsi="宋体"/>
            <w:noProof/>
            <w:sz w:val="24"/>
          </w:rPr>
          <w:tab/>
        </w:r>
        <w:r w:rsidRPr="00DF7AE8">
          <w:rPr>
            <w:rFonts w:ascii="宋体" w:hAnsi="宋体"/>
            <w:noProof/>
            <w:sz w:val="24"/>
          </w:rPr>
          <w:fldChar w:fldCharType="begin"/>
        </w:r>
        <w:r w:rsidRPr="00DF7AE8">
          <w:rPr>
            <w:rFonts w:ascii="宋体" w:hAnsi="宋体"/>
            <w:noProof/>
            <w:sz w:val="24"/>
          </w:rPr>
          <w:instrText xml:space="preserve"> PAGEREF _Toc234247827 \h </w:instrText>
        </w:r>
        <w:r w:rsidRPr="00DF7AE8">
          <w:rPr>
            <w:rFonts w:ascii="宋体" w:hAnsi="宋体"/>
            <w:noProof/>
            <w:sz w:val="24"/>
          </w:rPr>
        </w:r>
        <w:r w:rsidRPr="00DF7AE8">
          <w:rPr>
            <w:rFonts w:ascii="宋体" w:hAnsi="宋体"/>
            <w:noProof/>
            <w:sz w:val="24"/>
          </w:rPr>
          <w:fldChar w:fldCharType="separate"/>
        </w:r>
        <w:r w:rsidRPr="00DF7AE8">
          <w:rPr>
            <w:rFonts w:ascii="宋体" w:hAnsi="宋体"/>
            <w:noProof/>
            <w:sz w:val="24"/>
          </w:rPr>
          <w:t>4</w:t>
        </w:r>
        <w:r w:rsidRPr="00DF7AE8">
          <w:rPr>
            <w:rFonts w:ascii="宋体" w:hAnsi="宋体"/>
            <w:noProof/>
            <w:sz w:val="24"/>
          </w:rPr>
          <w:fldChar w:fldCharType="end"/>
        </w:r>
      </w:hyperlink>
    </w:p>
    <w:p w:rsidR="00DF7AE8" w:rsidRPr="00DF7AE8" w:rsidRDefault="00DF7AE8" w:rsidP="00DF7AE8">
      <w:pPr>
        <w:pStyle w:val="10"/>
        <w:tabs>
          <w:tab w:val="right" w:leader="dot" w:pos="8550"/>
        </w:tabs>
        <w:spacing w:line="360" w:lineRule="auto"/>
        <w:rPr>
          <w:rFonts w:ascii="宋体" w:hAnsi="宋体" w:cstheme="minorBidi"/>
          <w:noProof/>
          <w:sz w:val="24"/>
        </w:rPr>
      </w:pPr>
      <w:hyperlink w:anchor="_Toc234247828" w:history="1">
        <w:r w:rsidRPr="00DF7AE8">
          <w:rPr>
            <w:rStyle w:val="aa"/>
            <w:rFonts w:ascii="宋体" w:hAnsi="宋体" w:hint="eastAsia"/>
            <w:noProof/>
            <w:sz w:val="24"/>
          </w:rPr>
          <w:t>二、释义</w:t>
        </w:r>
        <w:r w:rsidRPr="00DF7AE8">
          <w:rPr>
            <w:rFonts w:ascii="宋体" w:hAnsi="宋体"/>
            <w:noProof/>
            <w:sz w:val="24"/>
          </w:rPr>
          <w:tab/>
        </w:r>
        <w:r w:rsidRPr="00DF7AE8">
          <w:rPr>
            <w:rFonts w:ascii="宋体" w:hAnsi="宋体"/>
            <w:noProof/>
            <w:sz w:val="24"/>
          </w:rPr>
          <w:fldChar w:fldCharType="begin"/>
        </w:r>
        <w:r w:rsidRPr="00DF7AE8">
          <w:rPr>
            <w:rFonts w:ascii="宋体" w:hAnsi="宋体"/>
            <w:noProof/>
            <w:sz w:val="24"/>
          </w:rPr>
          <w:instrText xml:space="preserve"> PAGEREF _Toc234247828 \h </w:instrText>
        </w:r>
        <w:r w:rsidRPr="00DF7AE8">
          <w:rPr>
            <w:rFonts w:ascii="宋体" w:hAnsi="宋体"/>
            <w:noProof/>
            <w:sz w:val="24"/>
          </w:rPr>
        </w:r>
        <w:r w:rsidRPr="00DF7AE8">
          <w:rPr>
            <w:rFonts w:ascii="宋体" w:hAnsi="宋体"/>
            <w:noProof/>
            <w:sz w:val="24"/>
          </w:rPr>
          <w:fldChar w:fldCharType="separate"/>
        </w:r>
        <w:r w:rsidRPr="00DF7AE8">
          <w:rPr>
            <w:rFonts w:ascii="宋体" w:hAnsi="宋体"/>
            <w:noProof/>
            <w:sz w:val="24"/>
          </w:rPr>
          <w:t>5</w:t>
        </w:r>
        <w:r w:rsidRPr="00DF7AE8">
          <w:rPr>
            <w:rFonts w:ascii="宋体" w:hAnsi="宋体"/>
            <w:noProof/>
            <w:sz w:val="24"/>
          </w:rPr>
          <w:fldChar w:fldCharType="end"/>
        </w:r>
      </w:hyperlink>
    </w:p>
    <w:p w:rsidR="00DF7AE8" w:rsidRPr="00DF7AE8" w:rsidRDefault="00DF7AE8" w:rsidP="00DF7AE8">
      <w:pPr>
        <w:pStyle w:val="10"/>
        <w:tabs>
          <w:tab w:val="right" w:leader="dot" w:pos="8550"/>
        </w:tabs>
        <w:spacing w:line="360" w:lineRule="auto"/>
        <w:rPr>
          <w:rFonts w:ascii="宋体" w:hAnsi="宋体" w:cstheme="minorBidi"/>
          <w:noProof/>
          <w:sz w:val="24"/>
        </w:rPr>
      </w:pPr>
      <w:hyperlink w:anchor="_Toc234247829" w:history="1">
        <w:r w:rsidRPr="00DF7AE8">
          <w:rPr>
            <w:rStyle w:val="aa"/>
            <w:rFonts w:ascii="宋体" w:hAnsi="宋体" w:hint="eastAsia"/>
            <w:noProof/>
            <w:sz w:val="24"/>
          </w:rPr>
          <w:t>三、基金管理人</w:t>
        </w:r>
        <w:r w:rsidRPr="00DF7AE8">
          <w:rPr>
            <w:rFonts w:ascii="宋体" w:hAnsi="宋体"/>
            <w:noProof/>
            <w:sz w:val="24"/>
          </w:rPr>
          <w:tab/>
        </w:r>
        <w:r w:rsidRPr="00DF7AE8">
          <w:rPr>
            <w:rFonts w:ascii="宋体" w:hAnsi="宋体"/>
            <w:noProof/>
            <w:sz w:val="24"/>
          </w:rPr>
          <w:fldChar w:fldCharType="begin"/>
        </w:r>
        <w:r w:rsidRPr="00DF7AE8">
          <w:rPr>
            <w:rFonts w:ascii="宋体" w:hAnsi="宋体"/>
            <w:noProof/>
            <w:sz w:val="24"/>
          </w:rPr>
          <w:instrText xml:space="preserve"> PAGEREF _Toc234247829 \h </w:instrText>
        </w:r>
        <w:r w:rsidRPr="00DF7AE8">
          <w:rPr>
            <w:rFonts w:ascii="宋体" w:hAnsi="宋体"/>
            <w:noProof/>
            <w:sz w:val="24"/>
          </w:rPr>
        </w:r>
        <w:r w:rsidRPr="00DF7AE8">
          <w:rPr>
            <w:rFonts w:ascii="宋体" w:hAnsi="宋体"/>
            <w:noProof/>
            <w:sz w:val="24"/>
          </w:rPr>
          <w:fldChar w:fldCharType="separate"/>
        </w:r>
        <w:r w:rsidRPr="00DF7AE8">
          <w:rPr>
            <w:rFonts w:ascii="宋体" w:hAnsi="宋体"/>
            <w:noProof/>
            <w:sz w:val="24"/>
          </w:rPr>
          <w:t>10</w:t>
        </w:r>
        <w:r w:rsidRPr="00DF7AE8">
          <w:rPr>
            <w:rFonts w:ascii="宋体" w:hAnsi="宋体"/>
            <w:noProof/>
            <w:sz w:val="24"/>
          </w:rPr>
          <w:fldChar w:fldCharType="end"/>
        </w:r>
      </w:hyperlink>
    </w:p>
    <w:p w:rsidR="00DF7AE8" w:rsidRPr="00DF7AE8" w:rsidRDefault="00DF7AE8" w:rsidP="00DF7AE8">
      <w:pPr>
        <w:pStyle w:val="10"/>
        <w:tabs>
          <w:tab w:val="right" w:leader="dot" w:pos="8550"/>
        </w:tabs>
        <w:spacing w:line="360" w:lineRule="auto"/>
        <w:rPr>
          <w:rFonts w:ascii="宋体" w:hAnsi="宋体" w:cstheme="minorBidi"/>
          <w:noProof/>
          <w:sz w:val="24"/>
        </w:rPr>
      </w:pPr>
      <w:hyperlink w:anchor="_Toc234247830" w:history="1">
        <w:r w:rsidRPr="00DF7AE8">
          <w:rPr>
            <w:rStyle w:val="aa"/>
            <w:rFonts w:ascii="宋体" w:hAnsi="宋体" w:hint="eastAsia"/>
            <w:noProof/>
            <w:sz w:val="24"/>
          </w:rPr>
          <w:t>四、基金托管人</w:t>
        </w:r>
        <w:r w:rsidRPr="00DF7AE8">
          <w:rPr>
            <w:rFonts w:ascii="宋体" w:hAnsi="宋体"/>
            <w:noProof/>
            <w:sz w:val="24"/>
          </w:rPr>
          <w:tab/>
        </w:r>
        <w:r w:rsidRPr="00DF7AE8">
          <w:rPr>
            <w:rFonts w:ascii="宋体" w:hAnsi="宋体"/>
            <w:noProof/>
            <w:sz w:val="24"/>
          </w:rPr>
          <w:fldChar w:fldCharType="begin"/>
        </w:r>
        <w:r w:rsidRPr="00DF7AE8">
          <w:rPr>
            <w:rFonts w:ascii="宋体" w:hAnsi="宋体"/>
            <w:noProof/>
            <w:sz w:val="24"/>
          </w:rPr>
          <w:instrText xml:space="preserve"> PAGEREF _Toc234247830 \h </w:instrText>
        </w:r>
        <w:r w:rsidRPr="00DF7AE8">
          <w:rPr>
            <w:rFonts w:ascii="宋体" w:hAnsi="宋体"/>
            <w:noProof/>
            <w:sz w:val="24"/>
          </w:rPr>
        </w:r>
        <w:r w:rsidRPr="00DF7AE8">
          <w:rPr>
            <w:rFonts w:ascii="宋体" w:hAnsi="宋体"/>
            <w:noProof/>
            <w:sz w:val="24"/>
          </w:rPr>
          <w:fldChar w:fldCharType="separate"/>
        </w:r>
        <w:r w:rsidRPr="00DF7AE8">
          <w:rPr>
            <w:rFonts w:ascii="宋体" w:hAnsi="宋体"/>
            <w:noProof/>
            <w:sz w:val="24"/>
          </w:rPr>
          <w:t>17</w:t>
        </w:r>
        <w:r w:rsidRPr="00DF7AE8">
          <w:rPr>
            <w:rFonts w:ascii="宋体" w:hAnsi="宋体"/>
            <w:noProof/>
            <w:sz w:val="24"/>
          </w:rPr>
          <w:fldChar w:fldCharType="end"/>
        </w:r>
      </w:hyperlink>
    </w:p>
    <w:p w:rsidR="00DF7AE8" w:rsidRPr="00DF7AE8" w:rsidRDefault="00DF7AE8" w:rsidP="00DF7AE8">
      <w:pPr>
        <w:pStyle w:val="10"/>
        <w:tabs>
          <w:tab w:val="right" w:leader="dot" w:pos="8550"/>
        </w:tabs>
        <w:spacing w:line="360" w:lineRule="auto"/>
        <w:rPr>
          <w:rFonts w:ascii="宋体" w:hAnsi="宋体" w:cstheme="minorBidi"/>
          <w:noProof/>
          <w:sz w:val="24"/>
        </w:rPr>
      </w:pPr>
      <w:hyperlink w:anchor="_Toc234247831" w:history="1">
        <w:r w:rsidRPr="00DF7AE8">
          <w:rPr>
            <w:rStyle w:val="aa"/>
            <w:rFonts w:ascii="宋体" w:hAnsi="宋体" w:hint="eastAsia"/>
            <w:noProof/>
            <w:sz w:val="24"/>
          </w:rPr>
          <w:t>五、相关服务机构</w:t>
        </w:r>
        <w:r w:rsidRPr="00DF7AE8">
          <w:rPr>
            <w:rFonts w:ascii="宋体" w:hAnsi="宋体"/>
            <w:noProof/>
            <w:sz w:val="24"/>
          </w:rPr>
          <w:tab/>
        </w:r>
        <w:r w:rsidRPr="00DF7AE8">
          <w:rPr>
            <w:rFonts w:ascii="宋体" w:hAnsi="宋体"/>
            <w:noProof/>
            <w:sz w:val="24"/>
          </w:rPr>
          <w:fldChar w:fldCharType="begin"/>
        </w:r>
        <w:r w:rsidRPr="00DF7AE8">
          <w:rPr>
            <w:rFonts w:ascii="宋体" w:hAnsi="宋体"/>
            <w:noProof/>
            <w:sz w:val="24"/>
          </w:rPr>
          <w:instrText xml:space="preserve"> PAGEREF _Toc234247831 \h </w:instrText>
        </w:r>
        <w:r w:rsidRPr="00DF7AE8">
          <w:rPr>
            <w:rFonts w:ascii="宋体" w:hAnsi="宋体"/>
            <w:noProof/>
            <w:sz w:val="24"/>
          </w:rPr>
        </w:r>
        <w:r w:rsidRPr="00DF7AE8">
          <w:rPr>
            <w:rFonts w:ascii="宋体" w:hAnsi="宋体"/>
            <w:noProof/>
            <w:sz w:val="24"/>
          </w:rPr>
          <w:fldChar w:fldCharType="separate"/>
        </w:r>
        <w:r w:rsidRPr="00DF7AE8">
          <w:rPr>
            <w:rFonts w:ascii="宋体" w:hAnsi="宋体"/>
            <w:noProof/>
            <w:sz w:val="24"/>
          </w:rPr>
          <w:t>22</w:t>
        </w:r>
        <w:r w:rsidRPr="00DF7AE8">
          <w:rPr>
            <w:rFonts w:ascii="宋体" w:hAnsi="宋体"/>
            <w:noProof/>
            <w:sz w:val="24"/>
          </w:rPr>
          <w:fldChar w:fldCharType="end"/>
        </w:r>
      </w:hyperlink>
    </w:p>
    <w:p w:rsidR="00DF7AE8" w:rsidRPr="00DF7AE8" w:rsidRDefault="00DF7AE8" w:rsidP="00DF7AE8">
      <w:pPr>
        <w:pStyle w:val="10"/>
        <w:tabs>
          <w:tab w:val="right" w:leader="dot" w:pos="8550"/>
        </w:tabs>
        <w:spacing w:line="360" w:lineRule="auto"/>
        <w:rPr>
          <w:rFonts w:ascii="宋体" w:hAnsi="宋体" w:cstheme="minorBidi"/>
          <w:noProof/>
          <w:sz w:val="24"/>
        </w:rPr>
      </w:pPr>
      <w:hyperlink w:anchor="_Toc234247832" w:history="1">
        <w:r w:rsidRPr="00DF7AE8">
          <w:rPr>
            <w:rStyle w:val="aa"/>
            <w:rFonts w:ascii="宋体" w:hAnsi="宋体" w:hint="eastAsia"/>
            <w:noProof/>
            <w:sz w:val="24"/>
          </w:rPr>
          <w:t>六、基金的历史沿革与基金的存续</w:t>
        </w:r>
        <w:r w:rsidRPr="00DF7AE8">
          <w:rPr>
            <w:rFonts w:ascii="宋体" w:hAnsi="宋体"/>
            <w:noProof/>
            <w:sz w:val="24"/>
          </w:rPr>
          <w:tab/>
        </w:r>
        <w:r w:rsidRPr="00DF7AE8">
          <w:rPr>
            <w:rFonts w:ascii="宋体" w:hAnsi="宋体"/>
            <w:noProof/>
            <w:sz w:val="24"/>
          </w:rPr>
          <w:fldChar w:fldCharType="begin"/>
        </w:r>
        <w:r w:rsidRPr="00DF7AE8">
          <w:rPr>
            <w:rFonts w:ascii="宋体" w:hAnsi="宋体"/>
            <w:noProof/>
            <w:sz w:val="24"/>
          </w:rPr>
          <w:instrText xml:space="preserve"> PAGEREF _Toc234247832 \h </w:instrText>
        </w:r>
        <w:r w:rsidRPr="00DF7AE8">
          <w:rPr>
            <w:rFonts w:ascii="宋体" w:hAnsi="宋体"/>
            <w:noProof/>
            <w:sz w:val="24"/>
          </w:rPr>
        </w:r>
        <w:r w:rsidRPr="00DF7AE8">
          <w:rPr>
            <w:rFonts w:ascii="宋体" w:hAnsi="宋体"/>
            <w:noProof/>
            <w:sz w:val="24"/>
          </w:rPr>
          <w:fldChar w:fldCharType="separate"/>
        </w:r>
        <w:r w:rsidRPr="00DF7AE8">
          <w:rPr>
            <w:rFonts w:ascii="宋体" w:hAnsi="宋体"/>
            <w:noProof/>
            <w:sz w:val="24"/>
          </w:rPr>
          <w:t>48</w:t>
        </w:r>
        <w:r w:rsidRPr="00DF7AE8">
          <w:rPr>
            <w:rFonts w:ascii="宋体" w:hAnsi="宋体"/>
            <w:noProof/>
            <w:sz w:val="24"/>
          </w:rPr>
          <w:fldChar w:fldCharType="end"/>
        </w:r>
      </w:hyperlink>
    </w:p>
    <w:p w:rsidR="00DF7AE8" w:rsidRPr="00DF7AE8" w:rsidRDefault="00DF7AE8" w:rsidP="00DF7AE8">
      <w:pPr>
        <w:pStyle w:val="10"/>
        <w:tabs>
          <w:tab w:val="right" w:leader="dot" w:pos="8550"/>
        </w:tabs>
        <w:spacing w:line="360" w:lineRule="auto"/>
        <w:rPr>
          <w:rFonts w:ascii="宋体" w:hAnsi="宋体" w:cstheme="minorBidi"/>
          <w:noProof/>
          <w:sz w:val="24"/>
        </w:rPr>
      </w:pPr>
      <w:hyperlink w:anchor="_Toc234247833" w:history="1">
        <w:r w:rsidRPr="00DF7AE8">
          <w:rPr>
            <w:rStyle w:val="aa"/>
            <w:rFonts w:ascii="宋体" w:hAnsi="宋体" w:hint="eastAsia"/>
            <w:noProof/>
            <w:sz w:val="24"/>
          </w:rPr>
          <w:t>七、基金份额的申购与赎回</w:t>
        </w:r>
        <w:r w:rsidRPr="00DF7AE8">
          <w:rPr>
            <w:rFonts w:ascii="宋体" w:hAnsi="宋体"/>
            <w:noProof/>
            <w:sz w:val="24"/>
          </w:rPr>
          <w:tab/>
        </w:r>
        <w:r w:rsidRPr="00DF7AE8">
          <w:rPr>
            <w:rFonts w:ascii="宋体" w:hAnsi="宋体"/>
            <w:noProof/>
            <w:sz w:val="24"/>
          </w:rPr>
          <w:fldChar w:fldCharType="begin"/>
        </w:r>
        <w:r w:rsidRPr="00DF7AE8">
          <w:rPr>
            <w:rFonts w:ascii="宋体" w:hAnsi="宋体"/>
            <w:noProof/>
            <w:sz w:val="24"/>
          </w:rPr>
          <w:instrText xml:space="preserve"> PAGEREF _Toc234247833 \h </w:instrText>
        </w:r>
        <w:r w:rsidRPr="00DF7AE8">
          <w:rPr>
            <w:rFonts w:ascii="宋体" w:hAnsi="宋体"/>
            <w:noProof/>
            <w:sz w:val="24"/>
          </w:rPr>
        </w:r>
        <w:r w:rsidRPr="00DF7AE8">
          <w:rPr>
            <w:rFonts w:ascii="宋体" w:hAnsi="宋体"/>
            <w:noProof/>
            <w:sz w:val="24"/>
          </w:rPr>
          <w:fldChar w:fldCharType="separate"/>
        </w:r>
        <w:r w:rsidRPr="00DF7AE8">
          <w:rPr>
            <w:rFonts w:ascii="宋体" w:hAnsi="宋体"/>
            <w:noProof/>
            <w:sz w:val="24"/>
          </w:rPr>
          <w:t>49</w:t>
        </w:r>
        <w:r w:rsidRPr="00DF7AE8">
          <w:rPr>
            <w:rFonts w:ascii="宋体" w:hAnsi="宋体"/>
            <w:noProof/>
            <w:sz w:val="24"/>
          </w:rPr>
          <w:fldChar w:fldCharType="end"/>
        </w:r>
      </w:hyperlink>
    </w:p>
    <w:p w:rsidR="00DF7AE8" w:rsidRPr="00DF7AE8" w:rsidRDefault="00DF7AE8" w:rsidP="00DF7AE8">
      <w:pPr>
        <w:pStyle w:val="10"/>
        <w:tabs>
          <w:tab w:val="right" w:leader="dot" w:pos="8550"/>
        </w:tabs>
        <w:spacing w:line="360" w:lineRule="auto"/>
        <w:rPr>
          <w:rFonts w:ascii="宋体" w:hAnsi="宋体" w:cstheme="minorBidi"/>
          <w:noProof/>
          <w:sz w:val="24"/>
        </w:rPr>
      </w:pPr>
      <w:hyperlink w:anchor="_Toc234247834" w:history="1">
        <w:r w:rsidRPr="00DF7AE8">
          <w:rPr>
            <w:rStyle w:val="aa"/>
            <w:rFonts w:ascii="宋体" w:hAnsi="宋体" w:hint="eastAsia"/>
            <w:noProof/>
            <w:sz w:val="24"/>
          </w:rPr>
          <w:t>八、基金的转换</w:t>
        </w:r>
        <w:r w:rsidRPr="00DF7AE8">
          <w:rPr>
            <w:rFonts w:ascii="宋体" w:hAnsi="宋体"/>
            <w:noProof/>
            <w:sz w:val="24"/>
          </w:rPr>
          <w:tab/>
        </w:r>
        <w:r w:rsidRPr="00DF7AE8">
          <w:rPr>
            <w:rFonts w:ascii="宋体" w:hAnsi="宋体"/>
            <w:noProof/>
            <w:sz w:val="24"/>
          </w:rPr>
          <w:fldChar w:fldCharType="begin"/>
        </w:r>
        <w:r w:rsidRPr="00DF7AE8">
          <w:rPr>
            <w:rFonts w:ascii="宋体" w:hAnsi="宋体"/>
            <w:noProof/>
            <w:sz w:val="24"/>
          </w:rPr>
          <w:instrText xml:space="preserve"> PAGEREF _Toc234247834 \h </w:instrText>
        </w:r>
        <w:r w:rsidRPr="00DF7AE8">
          <w:rPr>
            <w:rFonts w:ascii="宋体" w:hAnsi="宋体"/>
            <w:noProof/>
            <w:sz w:val="24"/>
          </w:rPr>
        </w:r>
        <w:r w:rsidRPr="00DF7AE8">
          <w:rPr>
            <w:rFonts w:ascii="宋体" w:hAnsi="宋体"/>
            <w:noProof/>
            <w:sz w:val="24"/>
          </w:rPr>
          <w:fldChar w:fldCharType="separate"/>
        </w:r>
        <w:r w:rsidRPr="00DF7AE8">
          <w:rPr>
            <w:rFonts w:ascii="宋体" w:hAnsi="宋体"/>
            <w:noProof/>
            <w:sz w:val="24"/>
          </w:rPr>
          <w:t>63</w:t>
        </w:r>
        <w:r w:rsidRPr="00DF7AE8">
          <w:rPr>
            <w:rFonts w:ascii="宋体" w:hAnsi="宋体"/>
            <w:noProof/>
            <w:sz w:val="24"/>
          </w:rPr>
          <w:fldChar w:fldCharType="end"/>
        </w:r>
      </w:hyperlink>
    </w:p>
    <w:p w:rsidR="00DF7AE8" w:rsidRPr="00DF7AE8" w:rsidRDefault="00DF7AE8" w:rsidP="00DF7AE8">
      <w:pPr>
        <w:pStyle w:val="10"/>
        <w:tabs>
          <w:tab w:val="right" w:leader="dot" w:pos="8550"/>
        </w:tabs>
        <w:spacing w:line="360" w:lineRule="auto"/>
        <w:rPr>
          <w:rFonts w:ascii="宋体" w:hAnsi="宋体" w:cstheme="minorBidi"/>
          <w:noProof/>
          <w:sz w:val="24"/>
        </w:rPr>
      </w:pPr>
      <w:hyperlink w:anchor="_Toc234247835" w:history="1">
        <w:r w:rsidRPr="00DF7AE8">
          <w:rPr>
            <w:rStyle w:val="aa"/>
            <w:rFonts w:ascii="宋体" w:hAnsi="宋体" w:hint="eastAsia"/>
            <w:noProof/>
            <w:sz w:val="24"/>
          </w:rPr>
          <w:t>九、基金的投资</w:t>
        </w:r>
        <w:r w:rsidRPr="00DF7AE8">
          <w:rPr>
            <w:rFonts w:ascii="宋体" w:hAnsi="宋体"/>
            <w:noProof/>
            <w:sz w:val="24"/>
          </w:rPr>
          <w:tab/>
        </w:r>
        <w:r w:rsidRPr="00DF7AE8">
          <w:rPr>
            <w:rFonts w:ascii="宋体" w:hAnsi="宋体"/>
            <w:noProof/>
            <w:sz w:val="24"/>
          </w:rPr>
          <w:fldChar w:fldCharType="begin"/>
        </w:r>
        <w:r w:rsidRPr="00DF7AE8">
          <w:rPr>
            <w:rFonts w:ascii="宋体" w:hAnsi="宋体"/>
            <w:noProof/>
            <w:sz w:val="24"/>
          </w:rPr>
          <w:instrText xml:space="preserve"> PAGEREF _Toc234247835 \h </w:instrText>
        </w:r>
        <w:r w:rsidRPr="00DF7AE8">
          <w:rPr>
            <w:rFonts w:ascii="宋体" w:hAnsi="宋体"/>
            <w:noProof/>
            <w:sz w:val="24"/>
          </w:rPr>
        </w:r>
        <w:r w:rsidRPr="00DF7AE8">
          <w:rPr>
            <w:rFonts w:ascii="宋体" w:hAnsi="宋体"/>
            <w:noProof/>
            <w:sz w:val="24"/>
          </w:rPr>
          <w:fldChar w:fldCharType="separate"/>
        </w:r>
        <w:r w:rsidRPr="00DF7AE8">
          <w:rPr>
            <w:rFonts w:ascii="宋体" w:hAnsi="宋体"/>
            <w:noProof/>
            <w:sz w:val="24"/>
          </w:rPr>
          <w:t>70</w:t>
        </w:r>
        <w:r w:rsidRPr="00DF7AE8">
          <w:rPr>
            <w:rFonts w:ascii="宋体" w:hAnsi="宋体"/>
            <w:noProof/>
            <w:sz w:val="24"/>
          </w:rPr>
          <w:fldChar w:fldCharType="end"/>
        </w:r>
      </w:hyperlink>
    </w:p>
    <w:p w:rsidR="00DF7AE8" w:rsidRPr="00DF7AE8" w:rsidRDefault="00DF7AE8" w:rsidP="00DF7AE8">
      <w:pPr>
        <w:pStyle w:val="10"/>
        <w:tabs>
          <w:tab w:val="right" w:leader="dot" w:pos="8550"/>
        </w:tabs>
        <w:spacing w:line="360" w:lineRule="auto"/>
        <w:rPr>
          <w:rFonts w:ascii="宋体" w:hAnsi="宋体" w:cstheme="minorBidi"/>
          <w:noProof/>
          <w:sz w:val="24"/>
        </w:rPr>
      </w:pPr>
      <w:hyperlink w:anchor="_Toc234247836" w:history="1">
        <w:r w:rsidRPr="00DF7AE8">
          <w:rPr>
            <w:rStyle w:val="aa"/>
            <w:rFonts w:ascii="宋体" w:hAnsi="宋体" w:hint="eastAsia"/>
            <w:noProof/>
            <w:sz w:val="24"/>
          </w:rPr>
          <w:t>十、基金的业绩</w:t>
        </w:r>
        <w:r w:rsidRPr="00DF7AE8">
          <w:rPr>
            <w:rFonts w:ascii="宋体" w:hAnsi="宋体"/>
            <w:noProof/>
            <w:sz w:val="24"/>
          </w:rPr>
          <w:tab/>
        </w:r>
        <w:r w:rsidRPr="00DF7AE8">
          <w:rPr>
            <w:rFonts w:ascii="宋体" w:hAnsi="宋体"/>
            <w:noProof/>
            <w:sz w:val="24"/>
          </w:rPr>
          <w:fldChar w:fldCharType="begin"/>
        </w:r>
        <w:r w:rsidRPr="00DF7AE8">
          <w:rPr>
            <w:rFonts w:ascii="宋体" w:hAnsi="宋体"/>
            <w:noProof/>
            <w:sz w:val="24"/>
          </w:rPr>
          <w:instrText xml:space="preserve"> PAGEREF _Toc234247836 \h </w:instrText>
        </w:r>
        <w:r w:rsidRPr="00DF7AE8">
          <w:rPr>
            <w:rFonts w:ascii="宋体" w:hAnsi="宋体"/>
            <w:noProof/>
            <w:sz w:val="24"/>
          </w:rPr>
        </w:r>
        <w:r w:rsidRPr="00DF7AE8">
          <w:rPr>
            <w:rFonts w:ascii="宋体" w:hAnsi="宋体"/>
            <w:noProof/>
            <w:sz w:val="24"/>
          </w:rPr>
          <w:fldChar w:fldCharType="separate"/>
        </w:r>
        <w:r w:rsidRPr="00DF7AE8">
          <w:rPr>
            <w:rFonts w:ascii="宋体" w:hAnsi="宋体"/>
            <w:noProof/>
            <w:sz w:val="24"/>
          </w:rPr>
          <w:t>81</w:t>
        </w:r>
        <w:r w:rsidRPr="00DF7AE8">
          <w:rPr>
            <w:rFonts w:ascii="宋体" w:hAnsi="宋体"/>
            <w:noProof/>
            <w:sz w:val="24"/>
          </w:rPr>
          <w:fldChar w:fldCharType="end"/>
        </w:r>
      </w:hyperlink>
    </w:p>
    <w:p w:rsidR="00DF7AE8" w:rsidRPr="00DF7AE8" w:rsidRDefault="00DF7AE8" w:rsidP="00DF7AE8">
      <w:pPr>
        <w:pStyle w:val="10"/>
        <w:tabs>
          <w:tab w:val="right" w:leader="dot" w:pos="8550"/>
        </w:tabs>
        <w:spacing w:line="360" w:lineRule="auto"/>
        <w:rPr>
          <w:rFonts w:ascii="宋体" w:hAnsi="宋体" w:cstheme="minorBidi"/>
          <w:noProof/>
          <w:sz w:val="24"/>
        </w:rPr>
      </w:pPr>
      <w:hyperlink w:anchor="_Toc234247837" w:history="1">
        <w:r w:rsidRPr="00DF7AE8">
          <w:rPr>
            <w:rStyle w:val="aa"/>
            <w:rFonts w:ascii="宋体" w:hAnsi="宋体" w:hint="eastAsia"/>
            <w:noProof/>
            <w:sz w:val="24"/>
          </w:rPr>
          <w:t>十一、基金的财产</w:t>
        </w:r>
        <w:r w:rsidRPr="00DF7AE8">
          <w:rPr>
            <w:rFonts w:ascii="宋体" w:hAnsi="宋体"/>
            <w:noProof/>
            <w:sz w:val="24"/>
          </w:rPr>
          <w:tab/>
        </w:r>
        <w:r w:rsidRPr="00DF7AE8">
          <w:rPr>
            <w:rFonts w:ascii="宋体" w:hAnsi="宋体"/>
            <w:noProof/>
            <w:sz w:val="24"/>
          </w:rPr>
          <w:fldChar w:fldCharType="begin"/>
        </w:r>
        <w:r w:rsidRPr="00DF7AE8">
          <w:rPr>
            <w:rFonts w:ascii="宋体" w:hAnsi="宋体"/>
            <w:noProof/>
            <w:sz w:val="24"/>
          </w:rPr>
          <w:instrText xml:space="preserve"> PAGEREF _Toc234247837 \h </w:instrText>
        </w:r>
        <w:r w:rsidRPr="00DF7AE8">
          <w:rPr>
            <w:rFonts w:ascii="宋体" w:hAnsi="宋体"/>
            <w:noProof/>
            <w:sz w:val="24"/>
          </w:rPr>
        </w:r>
        <w:r w:rsidRPr="00DF7AE8">
          <w:rPr>
            <w:rFonts w:ascii="宋体" w:hAnsi="宋体"/>
            <w:noProof/>
            <w:sz w:val="24"/>
          </w:rPr>
          <w:fldChar w:fldCharType="separate"/>
        </w:r>
        <w:r w:rsidRPr="00DF7AE8">
          <w:rPr>
            <w:rFonts w:ascii="宋体" w:hAnsi="宋体"/>
            <w:noProof/>
            <w:sz w:val="24"/>
          </w:rPr>
          <w:t>86</w:t>
        </w:r>
        <w:r w:rsidRPr="00DF7AE8">
          <w:rPr>
            <w:rFonts w:ascii="宋体" w:hAnsi="宋体"/>
            <w:noProof/>
            <w:sz w:val="24"/>
          </w:rPr>
          <w:fldChar w:fldCharType="end"/>
        </w:r>
      </w:hyperlink>
    </w:p>
    <w:p w:rsidR="00DF7AE8" w:rsidRPr="00DF7AE8" w:rsidRDefault="00DF7AE8" w:rsidP="00DF7AE8">
      <w:pPr>
        <w:pStyle w:val="10"/>
        <w:tabs>
          <w:tab w:val="right" w:leader="dot" w:pos="8550"/>
        </w:tabs>
        <w:spacing w:line="360" w:lineRule="auto"/>
        <w:rPr>
          <w:rFonts w:ascii="宋体" w:hAnsi="宋体" w:cstheme="minorBidi"/>
          <w:noProof/>
          <w:sz w:val="24"/>
        </w:rPr>
      </w:pPr>
      <w:hyperlink w:anchor="_Toc234247838" w:history="1">
        <w:r w:rsidRPr="00DF7AE8">
          <w:rPr>
            <w:rStyle w:val="aa"/>
            <w:rFonts w:ascii="宋体" w:hAnsi="宋体" w:hint="eastAsia"/>
            <w:noProof/>
            <w:sz w:val="24"/>
          </w:rPr>
          <w:t>十二、基金资产的估值</w:t>
        </w:r>
        <w:r w:rsidRPr="00DF7AE8">
          <w:rPr>
            <w:rFonts w:ascii="宋体" w:hAnsi="宋体"/>
            <w:noProof/>
            <w:sz w:val="24"/>
          </w:rPr>
          <w:tab/>
        </w:r>
        <w:r w:rsidRPr="00DF7AE8">
          <w:rPr>
            <w:rFonts w:ascii="宋体" w:hAnsi="宋体"/>
            <w:noProof/>
            <w:sz w:val="24"/>
          </w:rPr>
          <w:fldChar w:fldCharType="begin"/>
        </w:r>
        <w:r w:rsidRPr="00DF7AE8">
          <w:rPr>
            <w:rFonts w:ascii="宋体" w:hAnsi="宋体"/>
            <w:noProof/>
            <w:sz w:val="24"/>
          </w:rPr>
          <w:instrText xml:space="preserve"> PAGEREF _Toc234247838 \h </w:instrText>
        </w:r>
        <w:r w:rsidRPr="00DF7AE8">
          <w:rPr>
            <w:rFonts w:ascii="宋体" w:hAnsi="宋体"/>
            <w:noProof/>
            <w:sz w:val="24"/>
          </w:rPr>
        </w:r>
        <w:r w:rsidRPr="00DF7AE8">
          <w:rPr>
            <w:rFonts w:ascii="宋体" w:hAnsi="宋体"/>
            <w:noProof/>
            <w:sz w:val="24"/>
          </w:rPr>
          <w:fldChar w:fldCharType="separate"/>
        </w:r>
        <w:r w:rsidRPr="00DF7AE8">
          <w:rPr>
            <w:rFonts w:ascii="宋体" w:hAnsi="宋体"/>
            <w:noProof/>
            <w:sz w:val="24"/>
          </w:rPr>
          <w:t>87</w:t>
        </w:r>
        <w:r w:rsidRPr="00DF7AE8">
          <w:rPr>
            <w:rFonts w:ascii="宋体" w:hAnsi="宋体"/>
            <w:noProof/>
            <w:sz w:val="24"/>
          </w:rPr>
          <w:fldChar w:fldCharType="end"/>
        </w:r>
      </w:hyperlink>
    </w:p>
    <w:p w:rsidR="00DF7AE8" w:rsidRPr="00DF7AE8" w:rsidRDefault="00DF7AE8" w:rsidP="00DF7AE8">
      <w:pPr>
        <w:pStyle w:val="10"/>
        <w:tabs>
          <w:tab w:val="right" w:leader="dot" w:pos="8550"/>
        </w:tabs>
        <w:spacing w:line="360" w:lineRule="auto"/>
        <w:rPr>
          <w:rFonts w:ascii="宋体" w:hAnsi="宋体" w:cstheme="minorBidi"/>
          <w:noProof/>
          <w:sz w:val="24"/>
        </w:rPr>
      </w:pPr>
      <w:hyperlink w:anchor="_Toc234247839" w:history="1">
        <w:r w:rsidRPr="00DF7AE8">
          <w:rPr>
            <w:rStyle w:val="aa"/>
            <w:rFonts w:ascii="宋体" w:hAnsi="宋体" w:hint="eastAsia"/>
            <w:noProof/>
            <w:sz w:val="24"/>
          </w:rPr>
          <w:t>十三、基金收益与分配</w:t>
        </w:r>
        <w:r w:rsidRPr="00DF7AE8">
          <w:rPr>
            <w:rFonts w:ascii="宋体" w:hAnsi="宋体"/>
            <w:noProof/>
            <w:sz w:val="24"/>
          </w:rPr>
          <w:tab/>
        </w:r>
        <w:r w:rsidRPr="00DF7AE8">
          <w:rPr>
            <w:rFonts w:ascii="宋体" w:hAnsi="宋体"/>
            <w:noProof/>
            <w:sz w:val="24"/>
          </w:rPr>
          <w:fldChar w:fldCharType="begin"/>
        </w:r>
        <w:r w:rsidRPr="00DF7AE8">
          <w:rPr>
            <w:rFonts w:ascii="宋体" w:hAnsi="宋体"/>
            <w:noProof/>
            <w:sz w:val="24"/>
          </w:rPr>
          <w:instrText xml:space="preserve"> PAGEREF _Toc234247839 \h </w:instrText>
        </w:r>
        <w:r w:rsidRPr="00DF7AE8">
          <w:rPr>
            <w:rFonts w:ascii="宋体" w:hAnsi="宋体"/>
            <w:noProof/>
            <w:sz w:val="24"/>
          </w:rPr>
        </w:r>
        <w:r w:rsidRPr="00DF7AE8">
          <w:rPr>
            <w:rFonts w:ascii="宋体" w:hAnsi="宋体"/>
            <w:noProof/>
            <w:sz w:val="24"/>
          </w:rPr>
          <w:fldChar w:fldCharType="separate"/>
        </w:r>
        <w:r w:rsidRPr="00DF7AE8">
          <w:rPr>
            <w:rFonts w:ascii="宋体" w:hAnsi="宋体"/>
            <w:noProof/>
            <w:sz w:val="24"/>
          </w:rPr>
          <w:t>92</w:t>
        </w:r>
        <w:r w:rsidRPr="00DF7AE8">
          <w:rPr>
            <w:rFonts w:ascii="宋体" w:hAnsi="宋体"/>
            <w:noProof/>
            <w:sz w:val="24"/>
          </w:rPr>
          <w:fldChar w:fldCharType="end"/>
        </w:r>
      </w:hyperlink>
    </w:p>
    <w:p w:rsidR="00DF7AE8" w:rsidRPr="00DF7AE8" w:rsidRDefault="00DF7AE8" w:rsidP="00DF7AE8">
      <w:pPr>
        <w:pStyle w:val="10"/>
        <w:tabs>
          <w:tab w:val="right" w:leader="dot" w:pos="8550"/>
        </w:tabs>
        <w:spacing w:line="360" w:lineRule="auto"/>
        <w:rPr>
          <w:rFonts w:ascii="宋体" w:hAnsi="宋体" w:cstheme="minorBidi"/>
          <w:noProof/>
          <w:sz w:val="24"/>
        </w:rPr>
      </w:pPr>
      <w:hyperlink w:anchor="_Toc234247840" w:history="1">
        <w:r w:rsidRPr="00DF7AE8">
          <w:rPr>
            <w:rStyle w:val="aa"/>
            <w:rFonts w:ascii="宋体" w:hAnsi="宋体" w:hint="eastAsia"/>
            <w:noProof/>
            <w:sz w:val="24"/>
          </w:rPr>
          <w:t>十四、基金的费用与税收</w:t>
        </w:r>
        <w:r w:rsidRPr="00DF7AE8">
          <w:rPr>
            <w:rFonts w:ascii="宋体" w:hAnsi="宋体"/>
            <w:noProof/>
            <w:sz w:val="24"/>
          </w:rPr>
          <w:tab/>
        </w:r>
        <w:r w:rsidRPr="00DF7AE8">
          <w:rPr>
            <w:rFonts w:ascii="宋体" w:hAnsi="宋体"/>
            <w:noProof/>
            <w:sz w:val="24"/>
          </w:rPr>
          <w:fldChar w:fldCharType="begin"/>
        </w:r>
        <w:r w:rsidRPr="00DF7AE8">
          <w:rPr>
            <w:rFonts w:ascii="宋体" w:hAnsi="宋体"/>
            <w:noProof/>
            <w:sz w:val="24"/>
          </w:rPr>
          <w:instrText xml:space="preserve"> PAGEREF _Toc234247840 \h </w:instrText>
        </w:r>
        <w:r w:rsidRPr="00DF7AE8">
          <w:rPr>
            <w:rFonts w:ascii="宋体" w:hAnsi="宋体"/>
            <w:noProof/>
            <w:sz w:val="24"/>
          </w:rPr>
        </w:r>
        <w:r w:rsidRPr="00DF7AE8">
          <w:rPr>
            <w:rFonts w:ascii="宋体" w:hAnsi="宋体"/>
            <w:noProof/>
            <w:sz w:val="24"/>
          </w:rPr>
          <w:fldChar w:fldCharType="separate"/>
        </w:r>
        <w:r w:rsidRPr="00DF7AE8">
          <w:rPr>
            <w:rFonts w:ascii="宋体" w:hAnsi="宋体"/>
            <w:noProof/>
            <w:sz w:val="24"/>
          </w:rPr>
          <w:t>94</w:t>
        </w:r>
        <w:r w:rsidRPr="00DF7AE8">
          <w:rPr>
            <w:rFonts w:ascii="宋体" w:hAnsi="宋体"/>
            <w:noProof/>
            <w:sz w:val="24"/>
          </w:rPr>
          <w:fldChar w:fldCharType="end"/>
        </w:r>
      </w:hyperlink>
    </w:p>
    <w:p w:rsidR="00DF7AE8" w:rsidRPr="00DF7AE8" w:rsidRDefault="00DF7AE8" w:rsidP="00DF7AE8">
      <w:pPr>
        <w:pStyle w:val="10"/>
        <w:tabs>
          <w:tab w:val="right" w:leader="dot" w:pos="8550"/>
        </w:tabs>
        <w:spacing w:line="360" w:lineRule="auto"/>
        <w:rPr>
          <w:rFonts w:ascii="宋体" w:hAnsi="宋体" w:cstheme="minorBidi"/>
          <w:noProof/>
          <w:sz w:val="24"/>
        </w:rPr>
      </w:pPr>
      <w:hyperlink w:anchor="_Toc234247841" w:history="1">
        <w:r w:rsidRPr="00DF7AE8">
          <w:rPr>
            <w:rStyle w:val="aa"/>
            <w:rFonts w:ascii="宋体" w:hAnsi="宋体" w:hint="eastAsia"/>
            <w:noProof/>
            <w:sz w:val="24"/>
          </w:rPr>
          <w:t>十五、基金的会计与审计</w:t>
        </w:r>
        <w:r w:rsidRPr="00DF7AE8">
          <w:rPr>
            <w:rFonts w:ascii="宋体" w:hAnsi="宋体"/>
            <w:noProof/>
            <w:sz w:val="24"/>
          </w:rPr>
          <w:tab/>
        </w:r>
        <w:r w:rsidRPr="00DF7AE8">
          <w:rPr>
            <w:rFonts w:ascii="宋体" w:hAnsi="宋体"/>
            <w:noProof/>
            <w:sz w:val="24"/>
          </w:rPr>
          <w:fldChar w:fldCharType="begin"/>
        </w:r>
        <w:r w:rsidRPr="00DF7AE8">
          <w:rPr>
            <w:rFonts w:ascii="宋体" w:hAnsi="宋体"/>
            <w:noProof/>
            <w:sz w:val="24"/>
          </w:rPr>
          <w:instrText xml:space="preserve"> PAGEREF _Toc234247841 \h </w:instrText>
        </w:r>
        <w:r w:rsidRPr="00DF7AE8">
          <w:rPr>
            <w:rFonts w:ascii="宋体" w:hAnsi="宋体"/>
            <w:noProof/>
            <w:sz w:val="24"/>
          </w:rPr>
        </w:r>
        <w:r w:rsidRPr="00DF7AE8">
          <w:rPr>
            <w:rFonts w:ascii="宋体" w:hAnsi="宋体"/>
            <w:noProof/>
            <w:sz w:val="24"/>
          </w:rPr>
          <w:fldChar w:fldCharType="separate"/>
        </w:r>
        <w:r w:rsidRPr="00DF7AE8">
          <w:rPr>
            <w:rFonts w:ascii="宋体" w:hAnsi="宋体"/>
            <w:noProof/>
            <w:sz w:val="24"/>
          </w:rPr>
          <w:t>97</w:t>
        </w:r>
        <w:r w:rsidRPr="00DF7AE8">
          <w:rPr>
            <w:rFonts w:ascii="宋体" w:hAnsi="宋体"/>
            <w:noProof/>
            <w:sz w:val="24"/>
          </w:rPr>
          <w:fldChar w:fldCharType="end"/>
        </w:r>
      </w:hyperlink>
    </w:p>
    <w:p w:rsidR="00DF7AE8" w:rsidRPr="00DF7AE8" w:rsidRDefault="00DF7AE8" w:rsidP="00DF7AE8">
      <w:pPr>
        <w:pStyle w:val="10"/>
        <w:tabs>
          <w:tab w:val="right" w:leader="dot" w:pos="8550"/>
        </w:tabs>
        <w:spacing w:line="360" w:lineRule="auto"/>
        <w:rPr>
          <w:rFonts w:ascii="宋体" w:hAnsi="宋体" w:cstheme="minorBidi"/>
          <w:noProof/>
          <w:sz w:val="24"/>
        </w:rPr>
      </w:pPr>
      <w:hyperlink w:anchor="_Toc234247842" w:history="1">
        <w:r w:rsidRPr="00DF7AE8">
          <w:rPr>
            <w:rStyle w:val="aa"/>
            <w:rFonts w:ascii="宋体" w:hAnsi="宋体" w:hint="eastAsia"/>
            <w:noProof/>
            <w:sz w:val="24"/>
          </w:rPr>
          <w:t>十六、基金的信息披露</w:t>
        </w:r>
        <w:r w:rsidRPr="00DF7AE8">
          <w:rPr>
            <w:rFonts w:ascii="宋体" w:hAnsi="宋体"/>
            <w:noProof/>
            <w:sz w:val="24"/>
          </w:rPr>
          <w:tab/>
        </w:r>
        <w:r w:rsidRPr="00DF7AE8">
          <w:rPr>
            <w:rFonts w:ascii="宋体" w:hAnsi="宋体"/>
            <w:noProof/>
            <w:sz w:val="24"/>
          </w:rPr>
          <w:fldChar w:fldCharType="begin"/>
        </w:r>
        <w:r w:rsidRPr="00DF7AE8">
          <w:rPr>
            <w:rFonts w:ascii="宋体" w:hAnsi="宋体"/>
            <w:noProof/>
            <w:sz w:val="24"/>
          </w:rPr>
          <w:instrText xml:space="preserve"> PAGEREF _Toc234247842 \h </w:instrText>
        </w:r>
        <w:r w:rsidRPr="00DF7AE8">
          <w:rPr>
            <w:rFonts w:ascii="宋体" w:hAnsi="宋体"/>
            <w:noProof/>
            <w:sz w:val="24"/>
          </w:rPr>
        </w:r>
        <w:r w:rsidRPr="00DF7AE8">
          <w:rPr>
            <w:rFonts w:ascii="宋体" w:hAnsi="宋体"/>
            <w:noProof/>
            <w:sz w:val="24"/>
          </w:rPr>
          <w:fldChar w:fldCharType="separate"/>
        </w:r>
        <w:r w:rsidRPr="00DF7AE8">
          <w:rPr>
            <w:rFonts w:ascii="宋体" w:hAnsi="宋体"/>
            <w:noProof/>
            <w:sz w:val="24"/>
          </w:rPr>
          <w:t>98</w:t>
        </w:r>
        <w:r w:rsidRPr="00DF7AE8">
          <w:rPr>
            <w:rFonts w:ascii="宋体" w:hAnsi="宋体"/>
            <w:noProof/>
            <w:sz w:val="24"/>
          </w:rPr>
          <w:fldChar w:fldCharType="end"/>
        </w:r>
      </w:hyperlink>
    </w:p>
    <w:p w:rsidR="00DF7AE8" w:rsidRPr="00DF7AE8" w:rsidRDefault="00DF7AE8" w:rsidP="00DF7AE8">
      <w:pPr>
        <w:pStyle w:val="10"/>
        <w:tabs>
          <w:tab w:val="right" w:leader="dot" w:pos="8550"/>
        </w:tabs>
        <w:spacing w:line="360" w:lineRule="auto"/>
        <w:rPr>
          <w:rFonts w:ascii="宋体" w:hAnsi="宋体" w:cstheme="minorBidi"/>
          <w:noProof/>
          <w:sz w:val="24"/>
        </w:rPr>
      </w:pPr>
      <w:hyperlink w:anchor="_Toc234247843" w:history="1">
        <w:r w:rsidRPr="00DF7AE8">
          <w:rPr>
            <w:rStyle w:val="aa"/>
            <w:rFonts w:ascii="宋体" w:hAnsi="宋体" w:hint="eastAsia"/>
            <w:noProof/>
            <w:sz w:val="24"/>
          </w:rPr>
          <w:t>十七、侧袋机制</w:t>
        </w:r>
        <w:r w:rsidRPr="00DF7AE8">
          <w:rPr>
            <w:rFonts w:ascii="宋体" w:hAnsi="宋体"/>
            <w:noProof/>
            <w:sz w:val="24"/>
          </w:rPr>
          <w:tab/>
        </w:r>
        <w:r w:rsidRPr="00DF7AE8">
          <w:rPr>
            <w:rFonts w:ascii="宋体" w:hAnsi="宋体"/>
            <w:noProof/>
            <w:sz w:val="24"/>
          </w:rPr>
          <w:fldChar w:fldCharType="begin"/>
        </w:r>
        <w:r w:rsidRPr="00DF7AE8">
          <w:rPr>
            <w:rFonts w:ascii="宋体" w:hAnsi="宋体"/>
            <w:noProof/>
            <w:sz w:val="24"/>
          </w:rPr>
          <w:instrText xml:space="preserve"> PAGEREF _Toc234247843 \h </w:instrText>
        </w:r>
        <w:r w:rsidRPr="00DF7AE8">
          <w:rPr>
            <w:rFonts w:ascii="宋体" w:hAnsi="宋体"/>
            <w:noProof/>
            <w:sz w:val="24"/>
          </w:rPr>
        </w:r>
        <w:r w:rsidRPr="00DF7AE8">
          <w:rPr>
            <w:rFonts w:ascii="宋体" w:hAnsi="宋体"/>
            <w:noProof/>
            <w:sz w:val="24"/>
          </w:rPr>
          <w:fldChar w:fldCharType="separate"/>
        </w:r>
        <w:r w:rsidRPr="00DF7AE8">
          <w:rPr>
            <w:rFonts w:ascii="宋体" w:hAnsi="宋体"/>
            <w:noProof/>
            <w:sz w:val="24"/>
          </w:rPr>
          <w:t>104</w:t>
        </w:r>
        <w:r w:rsidRPr="00DF7AE8">
          <w:rPr>
            <w:rFonts w:ascii="宋体" w:hAnsi="宋体"/>
            <w:noProof/>
            <w:sz w:val="24"/>
          </w:rPr>
          <w:fldChar w:fldCharType="end"/>
        </w:r>
      </w:hyperlink>
    </w:p>
    <w:p w:rsidR="00DF7AE8" w:rsidRPr="00DF7AE8" w:rsidRDefault="00DF7AE8" w:rsidP="00DF7AE8">
      <w:pPr>
        <w:pStyle w:val="10"/>
        <w:tabs>
          <w:tab w:val="right" w:leader="dot" w:pos="8550"/>
        </w:tabs>
        <w:spacing w:line="360" w:lineRule="auto"/>
        <w:rPr>
          <w:rFonts w:ascii="宋体" w:hAnsi="宋体" w:cstheme="minorBidi"/>
          <w:noProof/>
          <w:sz w:val="24"/>
        </w:rPr>
      </w:pPr>
      <w:hyperlink w:anchor="_Toc234247844" w:history="1">
        <w:r w:rsidRPr="00DF7AE8">
          <w:rPr>
            <w:rStyle w:val="aa"/>
            <w:rFonts w:ascii="宋体" w:hAnsi="宋体" w:hint="eastAsia"/>
            <w:noProof/>
            <w:sz w:val="24"/>
          </w:rPr>
          <w:t>十八、风险揭示</w:t>
        </w:r>
        <w:r w:rsidRPr="00DF7AE8">
          <w:rPr>
            <w:rFonts w:ascii="宋体" w:hAnsi="宋体"/>
            <w:noProof/>
            <w:sz w:val="24"/>
          </w:rPr>
          <w:tab/>
        </w:r>
        <w:r w:rsidRPr="00DF7AE8">
          <w:rPr>
            <w:rFonts w:ascii="宋体" w:hAnsi="宋体"/>
            <w:noProof/>
            <w:sz w:val="24"/>
          </w:rPr>
          <w:fldChar w:fldCharType="begin"/>
        </w:r>
        <w:r w:rsidRPr="00DF7AE8">
          <w:rPr>
            <w:rFonts w:ascii="宋体" w:hAnsi="宋体"/>
            <w:noProof/>
            <w:sz w:val="24"/>
          </w:rPr>
          <w:instrText xml:space="preserve"> PAGEREF _Toc234247844 \h </w:instrText>
        </w:r>
        <w:r w:rsidRPr="00DF7AE8">
          <w:rPr>
            <w:rFonts w:ascii="宋体" w:hAnsi="宋体"/>
            <w:noProof/>
            <w:sz w:val="24"/>
          </w:rPr>
        </w:r>
        <w:r w:rsidRPr="00DF7AE8">
          <w:rPr>
            <w:rFonts w:ascii="宋体" w:hAnsi="宋体"/>
            <w:noProof/>
            <w:sz w:val="24"/>
          </w:rPr>
          <w:fldChar w:fldCharType="separate"/>
        </w:r>
        <w:r w:rsidRPr="00DF7AE8">
          <w:rPr>
            <w:rFonts w:ascii="宋体" w:hAnsi="宋体"/>
            <w:noProof/>
            <w:sz w:val="24"/>
          </w:rPr>
          <w:t>107</w:t>
        </w:r>
        <w:r w:rsidRPr="00DF7AE8">
          <w:rPr>
            <w:rFonts w:ascii="宋体" w:hAnsi="宋体"/>
            <w:noProof/>
            <w:sz w:val="24"/>
          </w:rPr>
          <w:fldChar w:fldCharType="end"/>
        </w:r>
      </w:hyperlink>
    </w:p>
    <w:p w:rsidR="00DF7AE8" w:rsidRPr="00DF7AE8" w:rsidRDefault="00DF7AE8" w:rsidP="00DF7AE8">
      <w:pPr>
        <w:pStyle w:val="10"/>
        <w:tabs>
          <w:tab w:val="right" w:leader="dot" w:pos="8550"/>
        </w:tabs>
        <w:spacing w:line="360" w:lineRule="auto"/>
        <w:rPr>
          <w:rFonts w:ascii="宋体" w:hAnsi="宋体" w:cstheme="minorBidi"/>
          <w:noProof/>
          <w:sz w:val="24"/>
        </w:rPr>
      </w:pPr>
      <w:hyperlink w:anchor="_Toc234247845" w:history="1">
        <w:r w:rsidRPr="00DF7AE8">
          <w:rPr>
            <w:rStyle w:val="aa"/>
            <w:rFonts w:ascii="宋体" w:hAnsi="宋体" w:hint="eastAsia"/>
            <w:noProof/>
            <w:sz w:val="24"/>
          </w:rPr>
          <w:t>十九、基金合同的变更、终止与基金财产的清算</w:t>
        </w:r>
        <w:r w:rsidRPr="00DF7AE8">
          <w:rPr>
            <w:rFonts w:ascii="宋体" w:hAnsi="宋体"/>
            <w:noProof/>
            <w:sz w:val="24"/>
          </w:rPr>
          <w:tab/>
        </w:r>
        <w:r w:rsidRPr="00DF7AE8">
          <w:rPr>
            <w:rFonts w:ascii="宋体" w:hAnsi="宋体"/>
            <w:noProof/>
            <w:sz w:val="24"/>
          </w:rPr>
          <w:fldChar w:fldCharType="begin"/>
        </w:r>
        <w:r w:rsidRPr="00DF7AE8">
          <w:rPr>
            <w:rFonts w:ascii="宋体" w:hAnsi="宋体"/>
            <w:noProof/>
            <w:sz w:val="24"/>
          </w:rPr>
          <w:instrText xml:space="preserve"> PAGEREF _Toc234247845 \h </w:instrText>
        </w:r>
        <w:r w:rsidRPr="00DF7AE8">
          <w:rPr>
            <w:rFonts w:ascii="宋体" w:hAnsi="宋体"/>
            <w:noProof/>
            <w:sz w:val="24"/>
          </w:rPr>
        </w:r>
        <w:r w:rsidRPr="00DF7AE8">
          <w:rPr>
            <w:rFonts w:ascii="宋体" w:hAnsi="宋体"/>
            <w:noProof/>
            <w:sz w:val="24"/>
          </w:rPr>
          <w:fldChar w:fldCharType="separate"/>
        </w:r>
        <w:r w:rsidRPr="00DF7AE8">
          <w:rPr>
            <w:rFonts w:ascii="宋体" w:hAnsi="宋体"/>
            <w:noProof/>
            <w:sz w:val="24"/>
          </w:rPr>
          <w:t>115</w:t>
        </w:r>
        <w:r w:rsidRPr="00DF7AE8">
          <w:rPr>
            <w:rFonts w:ascii="宋体" w:hAnsi="宋体"/>
            <w:noProof/>
            <w:sz w:val="24"/>
          </w:rPr>
          <w:fldChar w:fldCharType="end"/>
        </w:r>
      </w:hyperlink>
    </w:p>
    <w:p w:rsidR="00DF7AE8" w:rsidRPr="00DF7AE8" w:rsidRDefault="00DF7AE8" w:rsidP="00DF7AE8">
      <w:pPr>
        <w:pStyle w:val="10"/>
        <w:tabs>
          <w:tab w:val="right" w:leader="dot" w:pos="8550"/>
        </w:tabs>
        <w:spacing w:line="360" w:lineRule="auto"/>
        <w:rPr>
          <w:rFonts w:ascii="宋体" w:hAnsi="宋体" w:cstheme="minorBidi"/>
          <w:noProof/>
          <w:sz w:val="24"/>
        </w:rPr>
      </w:pPr>
      <w:hyperlink w:anchor="_Toc234247846" w:history="1">
        <w:r w:rsidRPr="00DF7AE8">
          <w:rPr>
            <w:rStyle w:val="aa"/>
            <w:rFonts w:ascii="宋体" w:hAnsi="宋体" w:hint="eastAsia"/>
            <w:noProof/>
            <w:sz w:val="24"/>
          </w:rPr>
          <w:t>二十、基金合同内容摘要</w:t>
        </w:r>
        <w:r w:rsidRPr="00DF7AE8">
          <w:rPr>
            <w:rFonts w:ascii="宋体" w:hAnsi="宋体"/>
            <w:noProof/>
            <w:sz w:val="24"/>
          </w:rPr>
          <w:tab/>
        </w:r>
        <w:r w:rsidRPr="00DF7AE8">
          <w:rPr>
            <w:rFonts w:ascii="宋体" w:hAnsi="宋体"/>
            <w:noProof/>
            <w:sz w:val="24"/>
          </w:rPr>
          <w:fldChar w:fldCharType="begin"/>
        </w:r>
        <w:r w:rsidRPr="00DF7AE8">
          <w:rPr>
            <w:rFonts w:ascii="宋体" w:hAnsi="宋体"/>
            <w:noProof/>
            <w:sz w:val="24"/>
          </w:rPr>
          <w:instrText xml:space="preserve"> PAGEREF _Toc234247846 \h </w:instrText>
        </w:r>
        <w:r w:rsidRPr="00DF7AE8">
          <w:rPr>
            <w:rFonts w:ascii="宋体" w:hAnsi="宋体"/>
            <w:noProof/>
            <w:sz w:val="24"/>
          </w:rPr>
        </w:r>
        <w:r w:rsidRPr="00DF7AE8">
          <w:rPr>
            <w:rFonts w:ascii="宋体" w:hAnsi="宋体"/>
            <w:noProof/>
            <w:sz w:val="24"/>
          </w:rPr>
          <w:fldChar w:fldCharType="separate"/>
        </w:r>
        <w:r w:rsidRPr="00DF7AE8">
          <w:rPr>
            <w:rFonts w:ascii="宋体" w:hAnsi="宋体"/>
            <w:noProof/>
            <w:sz w:val="24"/>
          </w:rPr>
          <w:t>117</w:t>
        </w:r>
        <w:r w:rsidRPr="00DF7AE8">
          <w:rPr>
            <w:rFonts w:ascii="宋体" w:hAnsi="宋体"/>
            <w:noProof/>
            <w:sz w:val="24"/>
          </w:rPr>
          <w:fldChar w:fldCharType="end"/>
        </w:r>
      </w:hyperlink>
    </w:p>
    <w:p w:rsidR="00DF7AE8" w:rsidRPr="00DF7AE8" w:rsidRDefault="00DF7AE8" w:rsidP="00DF7AE8">
      <w:pPr>
        <w:pStyle w:val="10"/>
        <w:tabs>
          <w:tab w:val="right" w:leader="dot" w:pos="8550"/>
        </w:tabs>
        <w:spacing w:line="360" w:lineRule="auto"/>
        <w:rPr>
          <w:rFonts w:ascii="宋体" w:hAnsi="宋体" w:cstheme="minorBidi"/>
          <w:noProof/>
          <w:sz w:val="24"/>
        </w:rPr>
      </w:pPr>
      <w:hyperlink w:anchor="_Toc234247847" w:history="1">
        <w:r w:rsidRPr="00DF7AE8">
          <w:rPr>
            <w:rStyle w:val="aa"/>
            <w:rFonts w:ascii="宋体" w:hAnsi="宋体" w:hint="eastAsia"/>
            <w:noProof/>
            <w:sz w:val="24"/>
          </w:rPr>
          <w:t>二十一、托管协议的内容摘要</w:t>
        </w:r>
        <w:r w:rsidRPr="00DF7AE8">
          <w:rPr>
            <w:rFonts w:ascii="宋体" w:hAnsi="宋体"/>
            <w:noProof/>
            <w:sz w:val="24"/>
          </w:rPr>
          <w:tab/>
        </w:r>
        <w:r w:rsidRPr="00DF7AE8">
          <w:rPr>
            <w:rFonts w:ascii="宋体" w:hAnsi="宋体"/>
            <w:noProof/>
            <w:sz w:val="24"/>
          </w:rPr>
          <w:fldChar w:fldCharType="begin"/>
        </w:r>
        <w:r w:rsidRPr="00DF7AE8">
          <w:rPr>
            <w:rFonts w:ascii="宋体" w:hAnsi="宋体"/>
            <w:noProof/>
            <w:sz w:val="24"/>
          </w:rPr>
          <w:instrText xml:space="preserve"> PAGEREF _Toc234247847 \h </w:instrText>
        </w:r>
        <w:r w:rsidRPr="00DF7AE8">
          <w:rPr>
            <w:rFonts w:ascii="宋体" w:hAnsi="宋体"/>
            <w:noProof/>
            <w:sz w:val="24"/>
          </w:rPr>
        </w:r>
        <w:r w:rsidRPr="00DF7AE8">
          <w:rPr>
            <w:rFonts w:ascii="宋体" w:hAnsi="宋体"/>
            <w:noProof/>
            <w:sz w:val="24"/>
          </w:rPr>
          <w:fldChar w:fldCharType="separate"/>
        </w:r>
        <w:r w:rsidRPr="00DF7AE8">
          <w:rPr>
            <w:rFonts w:ascii="宋体" w:hAnsi="宋体"/>
            <w:noProof/>
            <w:sz w:val="24"/>
          </w:rPr>
          <w:t>134</w:t>
        </w:r>
        <w:r w:rsidRPr="00DF7AE8">
          <w:rPr>
            <w:rFonts w:ascii="宋体" w:hAnsi="宋体"/>
            <w:noProof/>
            <w:sz w:val="24"/>
          </w:rPr>
          <w:fldChar w:fldCharType="end"/>
        </w:r>
      </w:hyperlink>
    </w:p>
    <w:p w:rsidR="00DF7AE8" w:rsidRPr="00DF7AE8" w:rsidRDefault="00DF7AE8" w:rsidP="00DF7AE8">
      <w:pPr>
        <w:pStyle w:val="10"/>
        <w:tabs>
          <w:tab w:val="right" w:leader="dot" w:pos="8550"/>
        </w:tabs>
        <w:spacing w:line="360" w:lineRule="auto"/>
        <w:rPr>
          <w:rFonts w:ascii="宋体" w:hAnsi="宋体" w:cstheme="minorBidi"/>
          <w:noProof/>
          <w:sz w:val="24"/>
        </w:rPr>
      </w:pPr>
      <w:hyperlink w:anchor="_Toc234247848" w:history="1">
        <w:r w:rsidRPr="00DF7AE8">
          <w:rPr>
            <w:rStyle w:val="aa"/>
            <w:rFonts w:ascii="宋体" w:hAnsi="宋体" w:hint="eastAsia"/>
            <w:noProof/>
            <w:sz w:val="24"/>
          </w:rPr>
          <w:t>二十二、对基金份额持有人的服务</w:t>
        </w:r>
        <w:r w:rsidRPr="00DF7AE8">
          <w:rPr>
            <w:rFonts w:ascii="宋体" w:hAnsi="宋体"/>
            <w:noProof/>
            <w:sz w:val="24"/>
          </w:rPr>
          <w:tab/>
        </w:r>
        <w:r w:rsidRPr="00DF7AE8">
          <w:rPr>
            <w:rFonts w:ascii="宋体" w:hAnsi="宋体"/>
            <w:noProof/>
            <w:sz w:val="24"/>
          </w:rPr>
          <w:fldChar w:fldCharType="begin"/>
        </w:r>
        <w:r w:rsidRPr="00DF7AE8">
          <w:rPr>
            <w:rFonts w:ascii="宋体" w:hAnsi="宋体"/>
            <w:noProof/>
            <w:sz w:val="24"/>
          </w:rPr>
          <w:instrText xml:space="preserve"> PAGEREF _Toc234247848 \h </w:instrText>
        </w:r>
        <w:r w:rsidRPr="00DF7AE8">
          <w:rPr>
            <w:rFonts w:ascii="宋体" w:hAnsi="宋体"/>
            <w:noProof/>
            <w:sz w:val="24"/>
          </w:rPr>
        </w:r>
        <w:r w:rsidRPr="00DF7AE8">
          <w:rPr>
            <w:rFonts w:ascii="宋体" w:hAnsi="宋体"/>
            <w:noProof/>
            <w:sz w:val="24"/>
          </w:rPr>
          <w:fldChar w:fldCharType="separate"/>
        </w:r>
        <w:r w:rsidRPr="00DF7AE8">
          <w:rPr>
            <w:rFonts w:ascii="宋体" w:hAnsi="宋体"/>
            <w:noProof/>
            <w:sz w:val="24"/>
          </w:rPr>
          <w:t>149</w:t>
        </w:r>
        <w:r w:rsidRPr="00DF7AE8">
          <w:rPr>
            <w:rFonts w:ascii="宋体" w:hAnsi="宋体"/>
            <w:noProof/>
            <w:sz w:val="24"/>
          </w:rPr>
          <w:fldChar w:fldCharType="end"/>
        </w:r>
      </w:hyperlink>
    </w:p>
    <w:p w:rsidR="00DF7AE8" w:rsidRPr="00DF7AE8" w:rsidRDefault="00DF7AE8" w:rsidP="00DF7AE8">
      <w:pPr>
        <w:pStyle w:val="10"/>
        <w:tabs>
          <w:tab w:val="right" w:leader="dot" w:pos="8550"/>
        </w:tabs>
        <w:spacing w:line="360" w:lineRule="auto"/>
        <w:rPr>
          <w:rFonts w:ascii="宋体" w:hAnsi="宋体" w:cstheme="minorBidi"/>
          <w:noProof/>
          <w:sz w:val="24"/>
        </w:rPr>
      </w:pPr>
      <w:hyperlink w:anchor="_Toc234247849" w:history="1">
        <w:r w:rsidRPr="00DF7AE8">
          <w:rPr>
            <w:rStyle w:val="aa"/>
            <w:rFonts w:ascii="宋体" w:hAnsi="宋体" w:hint="eastAsia"/>
            <w:noProof/>
            <w:sz w:val="24"/>
          </w:rPr>
          <w:t>二十三、其他应披露事项</w:t>
        </w:r>
        <w:r w:rsidRPr="00DF7AE8">
          <w:rPr>
            <w:rFonts w:ascii="宋体" w:hAnsi="宋体"/>
            <w:noProof/>
            <w:sz w:val="24"/>
          </w:rPr>
          <w:tab/>
        </w:r>
        <w:r w:rsidRPr="00DF7AE8">
          <w:rPr>
            <w:rFonts w:ascii="宋体" w:hAnsi="宋体"/>
            <w:noProof/>
            <w:sz w:val="24"/>
          </w:rPr>
          <w:fldChar w:fldCharType="begin"/>
        </w:r>
        <w:r w:rsidRPr="00DF7AE8">
          <w:rPr>
            <w:rFonts w:ascii="宋体" w:hAnsi="宋体"/>
            <w:noProof/>
            <w:sz w:val="24"/>
          </w:rPr>
          <w:instrText xml:space="preserve"> PAGEREF _Toc234247849 \h </w:instrText>
        </w:r>
        <w:r w:rsidRPr="00DF7AE8">
          <w:rPr>
            <w:rFonts w:ascii="宋体" w:hAnsi="宋体"/>
            <w:noProof/>
            <w:sz w:val="24"/>
          </w:rPr>
        </w:r>
        <w:r w:rsidRPr="00DF7AE8">
          <w:rPr>
            <w:rFonts w:ascii="宋体" w:hAnsi="宋体"/>
            <w:noProof/>
            <w:sz w:val="24"/>
          </w:rPr>
          <w:fldChar w:fldCharType="separate"/>
        </w:r>
        <w:r w:rsidRPr="00DF7AE8">
          <w:rPr>
            <w:rFonts w:ascii="宋体" w:hAnsi="宋体"/>
            <w:noProof/>
            <w:sz w:val="24"/>
          </w:rPr>
          <w:t>151</w:t>
        </w:r>
        <w:r w:rsidRPr="00DF7AE8">
          <w:rPr>
            <w:rFonts w:ascii="宋体" w:hAnsi="宋体"/>
            <w:noProof/>
            <w:sz w:val="24"/>
          </w:rPr>
          <w:fldChar w:fldCharType="end"/>
        </w:r>
      </w:hyperlink>
    </w:p>
    <w:p w:rsidR="00DF7AE8" w:rsidRPr="00DF7AE8" w:rsidRDefault="00DF7AE8" w:rsidP="00DF7AE8">
      <w:pPr>
        <w:pStyle w:val="10"/>
        <w:tabs>
          <w:tab w:val="right" w:leader="dot" w:pos="8550"/>
        </w:tabs>
        <w:spacing w:line="360" w:lineRule="auto"/>
        <w:rPr>
          <w:rFonts w:ascii="宋体" w:hAnsi="宋体" w:cstheme="minorBidi"/>
          <w:noProof/>
          <w:sz w:val="24"/>
        </w:rPr>
      </w:pPr>
      <w:hyperlink w:anchor="_Toc234247850" w:history="1">
        <w:r w:rsidRPr="00DF7AE8">
          <w:rPr>
            <w:rStyle w:val="aa"/>
            <w:rFonts w:ascii="宋体" w:hAnsi="宋体" w:hint="eastAsia"/>
            <w:noProof/>
            <w:sz w:val="24"/>
          </w:rPr>
          <w:t>二十四、招募说明书的存放及查阅方式</w:t>
        </w:r>
        <w:r w:rsidRPr="00DF7AE8">
          <w:rPr>
            <w:rFonts w:ascii="宋体" w:hAnsi="宋体"/>
            <w:noProof/>
            <w:sz w:val="24"/>
          </w:rPr>
          <w:tab/>
        </w:r>
        <w:r w:rsidRPr="00DF7AE8">
          <w:rPr>
            <w:rFonts w:ascii="宋体" w:hAnsi="宋体"/>
            <w:noProof/>
            <w:sz w:val="24"/>
          </w:rPr>
          <w:fldChar w:fldCharType="begin"/>
        </w:r>
        <w:r w:rsidRPr="00DF7AE8">
          <w:rPr>
            <w:rFonts w:ascii="宋体" w:hAnsi="宋体"/>
            <w:noProof/>
            <w:sz w:val="24"/>
          </w:rPr>
          <w:instrText xml:space="preserve"> PAGEREF _Toc234247850 \h </w:instrText>
        </w:r>
        <w:r w:rsidRPr="00DF7AE8">
          <w:rPr>
            <w:rFonts w:ascii="宋体" w:hAnsi="宋体"/>
            <w:noProof/>
            <w:sz w:val="24"/>
          </w:rPr>
        </w:r>
        <w:r w:rsidRPr="00DF7AE8">
          <w:rPr>
            <w:rFonts w:ascii="宋体" w:hAnsi="宋体"/>
            <w:noProof/>
            <w:sz w:val="24"/>
          </w:rPr>
          <w:fldChar w:fldCharType="separate"/>
        </w:r>
        <w:r w:rsidRPr="00DF7AE8">
          <w:rPr>
            <w:rFonts w:ascii="宋体" w:hAnsi="宋体"/>
            <w:noProof/>
            <w:sz w:val="24"/>
          </w:rPr>
          <w:t>153</w:t>
        </w:r>
        <w:r w:rsidRPr="00DF7AE8">
          <w:rPr>
            <w:rFonts w:ascii="宋体" w:hAnsi="宋体"/>
            <w:noProof/>
            <w:sz w:val="24"/>
          </w:rPr>
          <w:fldChar w:fldCharType="end"/>
        </w:r>
      </w:hyperlink>
    </w:p>
    <w:p w:rsidR="00DF7AE8" w:rsidRPr="00DF7AE8" w:rsidRDefault="00DF7AE8" w:rsidP="00DF7AE8">
      <w:pPr>
        <w:pStyle w:val="10"/>
        <w:tabs>
          <w:tab w:val="right" w:leader="dot" w:pos="8550"/>
        </w:tabs>
        <w:spacing w:line="360" w:lineRule="auto"/>
        <w:rPr>
          <w:rFonts w:ascii="宋体" w:hAnsi="宋体" w:cstheme="minorBidi"/>
          <w:noProof/>
          <w:sz w:val="24"/>
        </w:rPr>
      </w:pPr>
      <w:hyperlink w:anchor="_Toc234247851" w:history="1">
        <w:r w:rsidRPr="00DF7AE8">
          <w:rPr>
            <w:rStyle w:val="aa"/>
            <w:rFonts w:ascii="宋体" w:hAnsi="宋体" w:hint="eastAsia"/>
            <w:noProof/>
            <w:sz w:val="24"/>
          </w:rPr>
          <w:t>二十五、备查文件</w:t>
        </w:r>
        <w:r w:rsidRPr="00DF7AE8">
          <w:rPr>
            <w:rFonts w:ascii="宋体" w:hAnsi="宋体"/>
            <w:noProof/>
            <w:sz w:val="24"/>
          </w:rPr>
          <w:tab/>
        </w:r>
        <w:r w:rsidRPr="00DF7AE8">
          <w:rPr>
            <w:rFonts w:ascii="宋体" w:hAnsi="宋体"/>
            <w:noProof/>
            <w:sz w:val="24"/>
          </w:rPr>
          <w:fldChar w:fldCharType="begin"/>
        </w:r>
        <w:r w:rsidRPr="00DF7AE8">
          <w:rPr>
            <w:rFonts w:ascii="宋体" w:hAnsi="宋体"/>
            <w:noProof/>
            <w:sz w:val="24"/>
          </w:rPr>
          <w:instrText xml:space="preserve"> PAGEREF _Toc234247851 \h </w:instrText>
        </w:r>
        <w:r w:rsidRPr="00DF7AE8">
          <w:rPr>
            <w:rFonts w:ascii="宋体" w:hAnsi="宋体"/>
            <w:noProof/>
            <w:sz w:val="24"/>
          </w:rPr>
        </w:r>
        <w:r w:rsidRPr="00DF7AE8">
          <w:rPr>
            <w:rFonts w:ascii="宋体" w:hAnsi="宋体"/>
            <w:noProof/>
            <w:sz w:val="24"/>
          </w:rPr>
          <w:fldChar w:fldCharType="separate"/>
        </w:r>
        <w:r w:rsidRPr="00DF7AE8">
          <w:rPr>
            <w:rFonts w:ascii="宋体" w:hAnsi="宋体"/>
            <w:noProof/>
            <w:sz w:val="24"/>
          </w:rPr>
          <w:t>154</w:t>
        </w:r>
        <w:r w:rsidRPr="00DF7AE8">
          <w:rPr>
            <w:rFonts w:ascii="宋体" w:hAnsi="宋体"/>
            <w:noProof/>
            <w:sz w:val="24"/>
          </w:rPr>
          <w:fldChar w:fldCharType="end"/>
        </w:r>
      </w:hyperlink>
    </w:p>
    <w:p w:rsidR="00B50199" w:rsidRPr="00DF7AE8" w:rsidRDefault="00DF7AE8" w:rsidP="00DF7AE8">
      <w:pPr>
        <w:pStyle w:val="ad"/>
        <w:snapToGrid w:val="0"/>
        <w:spacing w:after="240" w:line="360" w:lineRule="auto"/>
        <w:jc w:val="center"/>
        <w:rPr>
          <w:rFonts w:ascii="宋体" w:hAnsi="宋体"/>
          <w:color w:val="000000"/>
          <w:sz w:val="24"/>
        </w:rPr>
      </w:pPr>
      <w:r w:rsidRPr="00DF7AE8">
        <w:rPr>
          <w:rFonts w:ascii="宋体" w:hAnsi="宋体"/>
          <w:color w:val="000000"/>
          <w:position w:val="-4"/>
          <w:sz w:val="24"/>
          <w:szCs w:val="30"/>
        </w:rPr>
        <w:fldChar w:fldCharType="end"/>
      </w:r>
      <w:bookmarkStart w:id="3" w:name="_GoBack"/>
      <w:bookmarkEnd w:id="3"/>
    </w:p>
    <w:p w:rsidR="00B50199" w:rsidRDefault="00B50199">
      <w:pPr>
        <w:autoSpaceDE w:val="0"/>
        <w:autoSpaceDN w:val="0"/>
        <w:adjustRightInd w:val="0"/>
        <w:snapToGrid w:val="0"/>
        <w:spacing w:line="360" w:lineRule="auto"/>
        <w:ind w:left="120" w:rightChars="6" w:right="13"/>
        <w:rPr>
          <w:rFonts w:ascii="宋体" w:hAnsi="宋体"/>
          <w:kern w:val="0"/>
          <w:szCs w:val="24"/>
        </w:rPr>
        <w:sectPr w:rsidR="00B50199">
          <w:pgSz w:w="11920" w:h="16840"/>
          <w:pgMar w:top="1480" w:right="1680" w:bottom="280" w:left="1680" w:header="0" w:footer="1073" w:gutter="0"/>
          <w:cols w:space="720"/>
        </w:sectPr>
      </w:pPr>
    </w:p>
    <w:p w:rsidR="00B50199" w:rsidRDefault="00834ECC">
      <w:pPr>
        <w:pStyle w:val="1"/>
        <w:snapToGrid w:val="0"/>
        <w:spacing w:beforeLines="0" w:before="240" w:after="240"/>
        <w:rPr>
          <w:rFonts w:ascii="宋体" w:hAnsi="宋体"/>
          <w:szCs w:val="30"/>
        </w:rPr>
      </w:pPr>
      <w:bookmarkStart w:id="4" w:name="_Toc234247827"/>
      <w:r>
        <w:rPr>
          <w:rFonts w:ascii="Times New Roman" w:hAnsi="Times New Roman"/>
          <w:sz w:val="30"/>
        </w:rPr>
        <w:lastRenderedPageBreak/>
        <w:t>一、绪言</w:t>
      </w:r>
      <w:bookmarkEnd w:id="4"/>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荣鑫灵活配置混合型证券投资基金招募说明书》（以下简称“本招募说明书”）依据《中华人民共和国证券投资基金法》（以下简称“《基金法》”）、《公开募集证券投资基金运作管理办法》（以下简称“《运作办法》”）、《证券投资基金销售管理办法》（以下简称“《销售办法》”）、《公开募集证券投资基金信息披露管理办法》（以下简称“《信息披露办法》”）、《公开募集开放式证券投资基金流动性风险管理规定》（以下简称“《流动性规定》”）和其他相关法律法规的规定以及《交银施罗德荣鑫灵活配置混合型证券投资基金基金合同》（以下简称“基金合同”）编写。</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备案。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rsidR="00B439CC" w:rsidRDefault="00834EC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50199" w:rsidRDefault="00834ECC">
      <w:pPr>
        <w:pStyle w:val="1"/>
        <w:snapToGrid w:val="0"/>
        <w:spacing w:beforeLines="0" w:before="240" w:after="240"/>
        <w:rPr>
          <w:rFonts w:ascii="宋体" w:hAnsi="宋体"/>
          <w:szCs w:val="30"/>
        </w:rPr>
      </w:pPr>
      <w:bookmarkStart w:id="5" w:name="_Toc234247828"/>
      <w:r>
        <w:rPr>
          <w:rFonts w:ascii="Times New Roman" w:hAnsi="Times New Roman"/>
          <w:sz w:val="30"/>
        </w:rPr>
        <w:lastRenderedPageBreak/>
        <w:t>二、释义</w:t>
      </w:r>
      <w:bookmarkEnd w:id="5"/>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1、基金或本基金：指交银施罗德荣鑫灵活配置混合型证券投资基金，由交银施罗德荣鑫保本混合型证券投资基金保本周期到期转型而来</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2、基金管理人或本基金管理人：指交银施罗德基金管理有限公司</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3、基金托管人或本基金托管人：指中国民生银行股份有限公司</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4、基金合同或《基金合同》：指《交银施罗德荣鑫灵活配置混合型证券投资基金基金合同》及对基金合同的任何有效修订和补充</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5、托管协议：指基金管理人与基金托管人就本基金签订之《交银施罗德荣鑫灵活配置混合型证券投资基金托管协议》及对该托管协议的任何有效修订和补充</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6、招募说明书或《招募说明书》或本招募说明书：指《交银施罗德荣鑫灵活配置混合型证券投资基金招募说明书》及其更新</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7、基金产品资料概要：指《交银施罗德荣鑫灵活配置混合型证券投资基金基金产品资料概要》及其更新</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8、法律法规：指中国现行有效并公布实施的法律、行政法规、规范性文件、司法解释、行政规章以及其他对基金合同当事人有约束力的决定、决议、通知等</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法》：指2003年10月28日经第十届全国人民代表大会常务委员会第五次会议通过，并经2012年12月28日第十一届全国人民代表大会常务委员会第三十次会议修订，自2013年6月1日起实施，并经2015年4月24日第十二届全国人民代表大会常务委员会第十四次会议《全国人民代表大会常务委员会关于修改&lt;中华人民共和国港口法&gt;等七部法律的决定》修改的《中华人民共和国证券投资基金法》及其后颁布机关对其不时做出的修订</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10、《销售办法》：指中国证监会2013年3月15日颁布、同年6月1日实施的《证券投资基金销售管理办法》及颁布机关对其不时做出的修订</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11、《信息披露办法》：指《公开募集证券投资基金信息披露管理办法》及颁布机关对其不时做出的修订</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12、《运作办法》：指中国证监会2014年7月7日颁布、同年8月8日实施的《公开募集证券投资基金运作管理办法》及颁布机关对其不时做出的修订</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13、《流动性规定》：指中国证监会2017年8月31日颁布、同年10月1日实施的</w:t>
      </w:r>
      <w:r>
        <w:rPr>
          <w:rFonts w:ascii="宋体" w:hAnsi="宋体"/>
          <w:sz w:val="24"/>
        </w:rPr>
        <w:lastRenderedPageBreak/>
        <w:t>《公开募集开放式证券投资基金流动性风险管理规定》及颁布机关对其不时做出的修订</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14、中国证监会：指中国证券监督管理委员会</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15、银行业监督管理机构：指中国人民银行和/或中国银行保险监督管理委员会</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16、基金合同当事人：指受基金合同约束，根据基金合同享有权利并承担义务的法律主体，包括基金管理人、基金托管人和基金份额持有人</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17、个人投资者：指依据有关法律法规规定可投资于证券投资基金的自然人</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18、机构投资者：指依法可以投资证券投资基金的、在中华人民共和国境内合法登记并存续或经有关政府部门批准设立并存续的企业法人、事业法人、社会团体或其他组织</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19、合格境外机构投资者：指符合《合格境外机构投资者境内证券投资管理办法》及相关法律法规规定可以投资于在中国境内依法募集的证券投资基金的中国境外的机构投资者</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20、人民币合格境外机构投资者：指按照《人民币合格境外机构投资者境内证券投资试点办法》及相关法律法规规定，运用来自境外的人民币资金进行中国境内证券投资的境外机构投资者</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21、投资人或投资者：指个人投资者、机构投资者、合格境外机构投资者和人民币合格境外机构投资者以及法律法规或中国证监会允许购买证券投资基金的其他投资人的合称</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22、基金份额持有人：指依基金合同和招募说明书合法取得基金份额的投资人</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23、基金销售业务：指基金管理人或销售机构宣传推介基金，销售基金份额，办理基金份额的申购、赎回、转换、转托管及定期定额投资等业务</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24、销售机构：指交银施罗德基金管理有限公司以及符合《销售办法》和中国证监会规定的其他条件，取得基金销售业务资格并与基金管理人签订了基金销售服务协议，办理基金销售业务的机构</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登记业务：指基金登记、存管、过户、清算和结算业务，具体内容包括投资人基金账户的建立和管理、基金份额登记、基金销售业务的确认、清算和结算、代理发放红利、建立并保管基金份额持有人名册和办理非交易过户等</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26、登记机构：指办理登记业务的机构。基金的登记机构为交银施罗德基金管</w:t>
      </w:r>
      <w:r>
        <w:rPr>
          <w:rFonts w:ascii="宋体" w:hAnsi="宋体"/>
          <w:sz w:val="24"/>
        </w:rPr>
        <w:lastRenderedPageBreak/>
        <w:t>理有限公司或接受交银施罗德基金管理有限公司委托办理登记业务的机构</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27、基金账户：指登记机构为投资人开立的、记录其持有的、基金管理人所管理的基金份额余额及其变动情况的账户</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28、基金交易账户：指销售机构为投资人开立的、记录投资人通过该销售机构办理认购、申购、赎回、转换及转托管等业务而引起的基金份额变动及结余情况的账户</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基金合同生效日：交银施罗德荣鑫保本混合型证券投资基金第一个保本周期到期期间截止日的次日，即“交银施罗德荣鑫保本混合型证券投资基金”转型为“交银施罗德荣鑫灵活配置混合型证券投资基金”之日</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30、基金合同终止日：指基金合同规定的基金合同终止事由出现后，基金财产清算完毕，清算结果报中国证监会备案并予以公告的日期</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31、存续期：指基金合同生效至终止之间的不定期期限</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32、工作日：指上海证券交易所、深圳证券交易所的正常交易日</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33、T日：指销售机构在规定时间受理投资人申购、赎回或其他业务申请的开放日</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34、T+n日：指自T日起第n个工作日(不包含T日)</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35、开放日：指为投资人办理基金份额申购、赎回或其他业务的工作日</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36、开放时间：指开放日基金接受申购、赎回或其他交易的时间段</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业务规则》：指《中国证券登记结算有限责任公司开放式证券投资基金及证券公司集合资产管理计划份额登记及资金结算业务指南》及其后修订，是规范基金管理人所管理的开放式证券投资基金登记方面的业务规则，由基金管理人和投资人共同遵守</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38、申购：指基金合同生效后，投资人根据基金合同和招募说明书的规定申请购买基金份额的行为</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39、赎回：指基金合同生效后，基金份额持有人按基金合同和招募说明书规定的条件要求将基金份额兑换为现金的行为</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40、基金转换：指基金份额持有人按照基金合同和基金管理人届时有效公告规定的条件，申请将其持有基金管理人管理的、某一基金的基金份额转换为基金管理人管理的其他基金基金份额的行为</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41、转托管：指基金份额持有人在本基金的不同销售机构之间实施的变更所持</w:t>
      </w:r>
      <w:r>
        <w:rPr>
          <w:rFonts w:ascii="宋体" w:hAnsi="宋体"/>
          <w:sz w:val="24"/>
        </w:rPr>
        <w:lastRenderedPageBreak/>
        <w:t>基金份额销售机构的操作</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巨额赎回：指本基金单个开放日，基金净赎回申请（赎回申请份额总数加上基金转换中转出申请份额总数后扣除申购申请份额总数及基金转换中转入申请份额总数后的余额）超过上一开放日基金总份额的10%的情形</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44、元：指人民币元</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45、基金收益：指基金投资所得红利、股息、债券利息、买卖证券价差、银行存款利息、已实现的其他合法收入及因运用基金财产带来的成本和费用的节约</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46、基金资产总值：指基金拥有的各类有价证券、股指期货合约、银行存款本息、基金应收申购款及其他资产的价值总和</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47、基金资产净值：指基金资产总值减去基金负债后的价值</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48、基金份额净值：指计算日基金资产净值除以计算日基金份额总数</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49、基金资产估值：指计算评估基金资产和负债的价值，以确定基金资产净值和基金份额净值的过程</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50、销售服务费：指从基金财产中计提的，用于本基金市场推广、销售以及基金份额持有人服务的费用</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51、A类基金份额：指在投资人申购时收取申购费用且不从本类别基金资产中计提销售服务费的基金份额</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52、C类基金份额：指在投资人申购时不收取申购费用，并从本类别基金资产中计提销售服务费的基金份额</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54、指定媒介：指中国证监会指定的用以进行信息披露的全国性报刊及指定互联网网站（包括基金管理人网站、基金托管人网站、中国证监会基金电子披露网站）等媒介</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55、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57、不可抗力：指基金合同当事人不能预见、不能避免且不能克服的客观事件</w:t>
      </w:r>
    </w:p>
    <w:p w:rsidR="00B439CC" w:rsidRDefault="00834EC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50199" w:rsidRDefault="00834ECC">
      <w:pPr>
        <w:pStyle w:val="1"/>
        <w:snapToGrid w:val="0"/>
        <w:spacing w:beforeLines="0" w:before="240" w:after="240"/>
        <w:rPr>
          <w:rFonts w:ascii="宋体" w:hAnsi="宋体"/>
          <w:szCs w:val="30"/>
        </w:rPr>
      </w:pPr>
      <w:bookmarkStart w:id="6" w:name="_Toc234247829"/>
      <w:r>
        <w:rPr>
          <w:rFonts w:ascii="Times New Roman" w:hAnsi="Times New Roman"/>
          <w:sz w:val="30"/>
        </w:rPr>
        <w:lastRenderedPageBreak/>
        <w:t>三、基金管理人</w:t>
      </w:r>
      <w:bookmarkEnd w:id="6"/>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B501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B501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B501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B501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代任董事长，硕士。历任交通银行乌鲁木齐分行财务会计处副处长、会计结算部高级经理，交通银行总行资产托管业务中心（资产托管部）副总裁、总裁，交通银行总行金融机构部总经理、资产管理业务中心总裁等职务。</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w:t>
      </w:r>
      <w:r>
        <w:rPr>
          <w:rFonts w:ascii="宋体" w:hAnsi="宋体"/>
          <w:sz w:val="24"/>
        </w:rPr>
        <w:lastRenderedPageBreak/>
        <w:t>总行托管部基金业务部内控综合处副处长、资产委托高级经理、保险及养老金高级经理、资产托管部副总经理，交银施罗德基金管理有限公司党委委员、副总经理、首席信息官，交通银行总行养老金融部总经理。</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单锋先生，独立董事，博士。现任南京大学法学教授职务。历任南京大学法学院助教、讲师、副教授。</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w:t>
      </w:r>
      <w:r>
        <w:rPr>
          <w:rFonts w:ascii="宋体" w:hAnsi="宋体"/>
          <w:sz w:val="24"/>
        </w:rPr>
        <w:lastRenderedPageBreak/>
        <w:t>理；交通银行总行营运与渠道部副总经理。</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庆祥先生:基金经理，上海交通大学管理学硕士、学士。10年证券投资行业从业经验。2016年加入交银施罗德基金管理有限公司，历任行业分析师、混合资产投资部基金经理助理，现任混合资产投资部基金经理。曾任交银施罗德鸿泰一年持有期混合型证券投资基金(2025年08月29日至2025年12月16日)的基金经理。现任交银施罗德鸿信一年持有期混合型证券投资基金(2025年07月19日至今)、交银施罗德鸿光一年持有期混合型证券投资基金(2026年02月07日至今)、交银施罗德荣鑫灵活配置混合型证券投资基金(2026年02月13日至今)的基金经理。</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本基金历任基金经理：</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孙超先生(2016年03月25日至2017年06月21日)；</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于海颖女士(2017年06月10日至2019年03月15日)；</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唐赟先生(2019年02月28日至2022年03月11日)；</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王艺伟女士(2019年11月28日至2023年02月16日)；</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余李平先生(2022年03月12日至2026年02月13日)。</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委员：马俊（副总经理）</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迟鑫（权益部总经理兼任跨境投资部总经理）</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黄莹洁（固定收益（公募）投资助理总监、基金经理）</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马韬（研究总监）</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樊继拓（多资产研究部副总经理）</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上述人员之间无近亲属关系。</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1、依法募集资金，办理或者委托经中国证监会认定的其他机构办理基金份额的销售、申购、赎回和登记事宜；</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w:t>
      </w:r>
      <w:r>
        <w:rPr>
          <w:rFonts w:ascii="宋体" w:hAnsi="宋体"/>
          <w:sz w:val="24"/>
        </w:rPr>
        <w:lastRenderedPageBreak/>
        <w:t>收益；</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9、按照规定召集基金份额持有人大会；</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（5）侵占、挪用基金财产；</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（6）法律、行政法规和中国证监会禁止的其他行为。</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2、不利用职务之便为自己、受雇人或任何第三者谋取利益；</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3、不泄露在任职期间知悉的有关证券、基金的商业秘密，尚未依法公开的基金投资内容、基金投资计划等信息，或利用该信息从事或者明示、暗示他人从事相关的交易活动；</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w:t>
      </w:r>
      <w:r>
        <w:rPr>
          <w:rFonts w:ascii="宋体" w:hAnsi="宋体"/>
          <w:sz w:val="24"/>
        </w:rPr>
        <w:lastRenderedPageBreak/>
        <w:t>法性、合规性和风险状况进行检查和评估，对公司监察稽核制度的有效性进行评价，监督检查公司财务状况，审计公司的财务报表，评估公司的财务表现，保证公司的财务运作符合法律的要求和通行的会计标准。</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公司建立、健全了内控体系，通过高管人员关于内控的明确分工，确保各项业务活动有恰当的组织和授权，确保监察活动独立，并得到高管人员的支持，同时置备操作手册，并定期更新。</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采取数量化、技术化的风险控制手段，建立数量化的风险管理模型，用以提示指数趋势、行业及个股的风险，以便公司及时采取有效的措施，对风险进行分散、控制和规避，尽可能地减少损失。</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834EC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50199" w:rsidRDefault="00834ECC">
      <w:pPr>
        <w:pStyle w:val="1"/>
        <w:snapToGrid w:val="0"/>
        <w:spacing w:beforeLines="0" w:before="240" w:after="240"/>
        <w:rPr>
          <w:rFonts w:ascii="宋体" w:hAnsi="宋体"/>
          <w:szCs w:val="30"/>
        </w:rPr>
      </w:pPr>
      <w:bookmarkStart w:id="7" w:name="_Toc234247830"/>
      <w:r>
        <w:rPr>
          <w:rFonts w:ascii="Times New Roman" w:hAnsi="Times New Roman"/>
          <w:sz w:val="30"/>
        </w:rPr>
        <w:lastRenderedPageBreak/>
        <w:t>四、基金托管人</w:t>
      </w:r>
      <w:bookmarkEnd w:id="7"/>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(一)基金托管人概况</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1、基本情况</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名称：中国民生银行股份有限公司（以下简称“中国民生银行”）</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住所：北京市西城区复兴门内大街2号</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办公地址：北京市西城区复兴门内大街2号</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法定代表人：高迎欣</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成立日期：1996年2月7日</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基金托管业务批准文号：证监基金字［2004］101号</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组织形式：其他股份有限公司（上市）</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注册资本：43,782,418,502元人民币</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电话：010-58560666</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联系人：罗菲菲</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中国民生银行成立于1996年，是中国第一家主要由民营企业发起设立的全国性股份制商业银行，也是严格按照中国《公司法》和《商业银行法》设立的一家现代金融企业。</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2000年12月19日，中国民生银行A 股股票（代码：600016）在上海证券交易所挂牌上市。2005年10月26日，中国民生银行完成股权分置改革，成为国内首家实施股权分置改革的商业银行。2009年11月26日，中国民生银行H股股票（代码：01988）在香港证券交易所挂牌上市。成立30年以来，中国民生银行始终秉承“服务大众，情系民生”的企业使命，聚焦“民营企业的银行、敏捷开放的银行、用心服务的银行”战略定位，坚持走市场化、差异化经营之路，努力建设一家特色鲜明、持续创新、价值成长、稳健经营的一流商业银行，致力于成就“长青银行，百年民生”的宏伟愿景。</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2、主要人员情况</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崔岩女士，中国民生银行资产托管部负责人，博士研究生，具有基金托管人高级管理人员任职资格，从事过全球托管业务、托管业务运作、银行信息管理等工作，具有多年金融从业经历，具备扎实的总部管理经历。曾任中国工商银行总行资产托管部营销专家。</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3、基金托管业务经营情况</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民生银行股份有限公司于2004年7月9日获得基金托管资格，成为《中华人民共和国证券投资基金法》颁布后首家获批从事基金托管业务的银行。为了更好地发挥后发优势，大力发展托管业务，中国民生银行股份有限公司资产托管部从成立伊始就本着充分保护基金持有人的利益、为客户提供高品质托管服务的原则，高起点地建立系统、完善制度、组织人员。资产托管部目前共有员工108人，平均年龄38岁，100%员工拥有大学本科以上学历，67%以上员工具有硕士以上学位。</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民生银行坚持以客户需求为导向，秉承“诚信、严谨、高效、务实”的经营理念，依托丰富的资产托管经验、专业的托管业务服务和先进的托管业务平台，为境内外客户提供安全、准确、及时、高效的专业托管服务。中国民生银行资产托管部于2018年2月6日发布了“爱托管”品牌，近百余家资管机构及合作客户的代表受邀参加了启动仪式。资产托管部始终坚持以客户为中心，致力于为客户提供全面的综合金融服务。对内大力整合行内资源，对外广泛搭建客户服务平台，向各类托管客户提供专业化、增值化的托管综合金融服务，得到各界的充分认可，也在市场上树立了良好品牌形象，成为市场上一家有特色的托管银行。自2021年以来，中国民生银行荣获人力资源社会保障部颁发的“2020 年度企业年金和养老金产品信息报告工作优秀管理机构”奖，连续三年蝉联中央国债登记结算有限责任公司“年度优秀资产托管机构”奖项，获评《金融理财》颁发的“第十三届金貔貅奖2022年度金牌资产托管银行”。2023年至今，本行荣获《金融时报》“年度最佳资产托管银行”，《证券时报》“2023年度杰出资产托管银行天玑奖”、“2024年度杰出资产托管银行天玑奖”，《新浪财经》“养老金融服务创新银行”奖，《每日经济新闻报》“2024年度卓越资产托管银行奖”《经济观察报》“2025年度卓越养老金托管银行”、《中国经营报》“2025卓越竞争力资产托管银行”、《金融时报》2025年度入选金融高水平开发案例等奖项。</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截至2026年3月31日，中国民生银行托管建信稳定得利债券型证券投资基金、中银新趋势灵活配置混合型证券投资基金等共333只证券投资基金，基金托管规模14246.4724亿元。</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(二)基金托管人的内部控制制度</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1、内部风险控制目标</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(1)建立完整、严密、高效的风险控制体系，形成科学的决策机制、执行机制</w:t>
      </w:r>
      <w:r>
        <w:rPr>
          <w:rFonts w:ascii="宋体" w:hAnsi="宋体"/>
          <w:sz w:val="24"/>
        </w:rPr>
        <w:lastRenderedPageBreak/>
        <w:t>和监督机制，防范和化解经营风险，保障资产托管业务的稳健运行和托管财产的安全完整。</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(2)大力培育合规文化，自觉形成守法经营、规范运作的经营思想和经营理念，严格控制合规风险，保证资产托管业务符合国家有关法律法规和行业监管规则。</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以相互制衡健全有效的风控组织结构为保障，以完善健全的制度为基础，以落实到位的过程控制为着眼点，以先进的信息技术手段为依托，建立全面、系统、动态、主动、有利于差错防弊、堵塞漏洞、消除隐患、保证业务稳健运行的风险控制制度，确保托管业务信息真实、准确、完整、及时。</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2、内部风险控制组织结构</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总行高级管理层负责部署全行的风险管理工作。总行风险管理委员会是总行高级管理层下设的风险管理专业委员会，对高级管理层负责，支持高级管理层履行职责。资产托管业务风险控制工作在总行风险管理委员会的统一部署和指导下开展。</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总行各部门紧密配合，共同把控资产托管业务运行中的风险，具体职责与分工如下：总行风险管理部作为总行风险管理委员会秘书机构，是全行风险管理的统筹部门，对资产托管部的风险控制工作进行指导；总行法律合规部负责资产托管业务项下的相关合同、协议等法律性文件的审定，对业务开展进行合规检查并督导问题整改落实；总行审计部对全行托管业务进行内部审计，包括定期内部审计、现场和非现场检查等；总行办公室与资产托管部共同制定声誉风险应急预案。</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3、内部风险控制原则</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(1)合法合规原则。风险控制应符合和体现国家法律、法规、规章和各项政策。</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(2)全面性原则。风险控制覆盖托管部的各个业务中心、各个岗位和各级人员，并涵盖资产托管业务各环节。</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(3)有效性原则。资产托管业务从业人员应全力维护内部控制制度的有效执行，任何人都没有超越制度约束的权力。</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(4)预防性原则。必须树立“预防为主”的管理理念，控制资产托管业务中风险发生的源头，防患于未然，尽量避免业务操作中各种问题的产生。</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(5)及时性原则。资产托管业务风险控制制度的制定应当具有前瞻性，并且随着托管部经营战略、经营方针、经营理念等内部环境的变化和国家法律法规、政策</w:t>
      </w:r>
      <w:r>
        <w:rPr>
          <w:rFonts w:ascii="宋体" w:hAnsi="宋体"/>
          <w:sz w:val="24"/>
        </w:rPr>
        <w:lastRenderedPageBreak/>
        <w:t>制度等外部环境的改变进行及时的修改或完善。发现问题，要及时处理，堵塞漏洞。</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独立性原则。各业务中心、各岗位职能上保持相对独立性。风险合规管理中心是资产托管部下设的执行机构，不受其他业务中心和个人干涉。业务操作人员和检查人员严格分开，以保证风险控制机构的工作不受干扰。</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(7)相互制约原则。各业务中心、各岗位权责明确，相互牵制，通过切实可行的相互制衡措施来消除风险控制的盲点。</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(8)防火墙原则。托管银行自身财务与托管资产财务严格分开；托管业务日常操作部门与行政、研发和营销等部门隔离。</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4、内部风险控制制度和措施</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(1)制度建设：建立了明确的岗位职责、科学的业务流程、详细的操作手册、严格的人员行为规范等一系列规章制度。</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(2)建立健全的组织管理结构：前后台分离，不同部门、岗位相互牵制。</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(3)风险识别与评估：定期组织进行风险识别、评估，制定并实施风险控制措施。</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(4)相对独立的业务操作空间：业务操作区相对独立，实施门禁管理和音像监控。</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(5)人员管理：进行定期的业务与职业道德培训，使员工树立风险防范与控制理念，并签订承诺书。</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(6)应急预案：制定完备的应急预案，并组织员工定期演练；建立异地灾备中心，保证业务不中断。</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5、资产托管部内部风险控制</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中国民生银行股份有限公司从控制环境、风险评估、控制活动、信息沟通、监控等五个方面构建了托管业务风险控制体系。</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坚持风险管理与业务发展同等重要的理念。中国民生银行股份有限公司资产托管部从成立之日起就特别强调规范运作，一直将建立一个系统、高效的风险防范和控制体系作为工作重点。随着市场环境的变化和托管业务的快速发展，新问题新情况不断出现，我们始终将风险管理放在与业务发展同等重要的位置，视风险防范和控制为托管业务生存和发展的生命线。</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(2)实施全员风险管理。将风险控制责任落实到具体业务中心和业务岗位，每</w:t>
      </w:r>
      <w:r>
        <w:rPr>
          <w:rFonts w:ascii="宋体" w:hAnsi="宋体"/>
          <w:sz w:val="24"/>
        </w:rPr>
        <w:lastRenderedPageBreak/>
        <w:t>位员工对自己岗位职责范围内的风险负责。</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(3)建立分工明确、相互牵制的风险控制组织结构。我们通过建立纵向双人制，横向多中心制的内部组织结构，形成不同中心、不同岗位相互制衡的组织结构。</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以制度建设作为风险管理的核心。我们十分重视内部控制制度的建设，已经建立了一整套内部风险控制制度，包括业务管理办法、内部控制制度、员工行为规范、岗位职责及涵括所有后台运作环节的操作手册。以上制度随着外部环境和业务的发展还会不断增加和完善。</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制度的执行和监督是风险控制的关键。制度落实检查是风险控制管理的有力保证。资产托管部内部设置风险合规管理中心，依照有关法律规章，定期对业务的运行进行检查。总行审计部不定期对托管业务进行审计。</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(6)将先进的技术手段运用于风险控制中。托管业务系统需求不仅从业务方面而且从风险控制方面都要经过多方论证，托管业务技术系统具有较强的自动风险控制功能。</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(三)基金托管人对基金管理人运作基金进行监督的方法和程序</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中华人民共和国证券投资基金法》《公开募集证券投资基金运作管理办法》《公开募集证券投资基金信息披露管理办法》等有关法律法规的规定及基金合同、基金托管协议的约定，基金托管人对基金的投资范围、基金投资比例、基金资产的核算、基金资产净值的计算、基金份额净值的计算、基金管理人报酬的计提和支付、基金托管人报酬的计提和支付、基金申购资金的到账和赎回资金的划付、基金收益分配等进行监督和核查。</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违反《中华人民共和国证券投资基金法》等有关法律法规规定及基金合同、基金托管协议约定的行为，应及时以书面形式通知基金管理人限期纠正，基金管理人收到通知后应及时核对确认，并以书面形式对基金托管人发出回函。在限期内，基金托管人有权随时对通知事项进行复查，督促基金管理人改正。基金管理人对基金托管人通知的违规事项未能在限期内纠正的，基金托管人应报告中国证监会。</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基金托管人发现基金管理人有重大违规行为，应立即报告中国证监会，同时通知基金管理人限期纠正。</w:t>
      </w:r>
    </w:p>
    <w:p w:rsidR="00B439CC" w:rsidRDefault="00834EC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50199" w:rsidRDefault="00834ECC">
      <w:pPr>
        <w:pStyle w:val="1"/>
        <w:snapToGrid w:val="0"/>
        <w:spacing w:beforeLines="0" w:before="240" w:after="240"/>
        <w:rPr>
          <w:rFonts w:ascii="宋体" w:hAnsi="宋体"/>
          <w:szCs w:val="30"/>
        </w:rPr>
      </w:pPr>
      <w:bookmarkStart w:id="8" w:name="_Toc234247831"/>
      <w:r>
        <w:rPr>
          <w:rFonts w:ascii="Times New Roman" w:hAnsi="Times New Roman"/>
          <w:sz w:val="30"/>
        </w:rPr>
        <w:lastRenderedPageBreak/>
        <w:t>五、相关服务机构</w:t>
      </w:r>
      <w:bookmarkEnd w:id="8"/>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本基金直销机构为基金管理人直销柜台以及基金管理人的网上直销交易平台（网站及APP，下同）。</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个人投资者可以通过基金管理人网上直销交易平台办理开户、本基金的申购、赎回、定期定额投资、转换等业务，具体交易细则请参阅基金管理人网站。</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 fund001.com。</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2、代销机构</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（1）名称：交通银行股份有限公司</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（2）名称：杭州银行股份有限公司</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住所：杭州市庆春路46号杭州银行大厦</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办公地址：杭州市庆春路46号杭州银行大厦</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法定代表人：陈震山</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电话：（0571）85108195、85120696</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传真：（0571）86475527</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联系人：严峻、夏帆</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客户服务电话:96523</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网址：www.hzbank.com.cn</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（3）名称：华夏银行股份有限公司</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住所：北京市东城区建国门内大街22号</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办公地址：北京市东城区建国门内大街22号</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法定代表人：李民吉</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客户服务电话：95577</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网址：www.hxb.com.cn</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（4）名称：招商银行股份有限公司</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住所：深圳市福田区深南大道7088号</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办公地址：深圳市福田区深南大道7088号</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传真：（0755）83195109</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（5）名称：中国民生银行股份有限公司</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住所：北京市西城区复兴门内大街2号</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办公地址：北京市西城区复兴门内大街2号</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法定代表人：洪崎</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电话：（010）58560666</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传真：（010）57092611</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联系人：许野</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 95568</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网址：www.cmbc.com.cn</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（6）名称：平安银行股份有限公司</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注册地址：深圳市罗湖区深南东路5047号</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办公地址：深圳市深南东路5047号</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法定代表人：谢永林</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电话：0755-22166574</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传真：0755-82080406</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联系人：赵杨</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客服电话：95511-3或95501</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网址：bank.pingan.com</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（7）名称：宁波银行股份有限公司</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住所：宁波市江东区中山东路294号</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法定代表人：陆华裕</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电话：（021）63586210</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传真：（021）63586215</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联系人：胡技勋</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客户服务电话：96528（上海地区962528）</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网址：www.nbcb.com.cn</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（8）名称：中国邮政储蓄银行股份有限公司</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住所：北京市西城区金融大街3号</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办公地址：北京市西城区金融大街3号</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法定代表人：李国华</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传真：（010）68858117</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联系人：陈春林</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客户服务电话：95580</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网址：www.psbc.com</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（9）名称：兴业银行股份有限公司</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注册地址：福建省福州市台江区江滨中大道398号兴业银行大厦</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办公地址：上海市浦东新区银城路 167 号兴业银行大厦</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法定代表人：吕家进</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联系人：蔡宣铭</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联系电话：021-52629999</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客服热线：95561</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网址：www.cib.com.cn</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（10）名称：中国银河证券股份有限公司</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住所：北京市西城区金融大街35号国际企业大厦C座</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法定代表人：陈共炎</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电话：010-83574507</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联系人：辛国政</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客户服务电话：400-888-8888</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网址：www.chinastock.com.cn</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（11）名称：中信证券股份有限公司</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住所：广东省深圳市福田区中心三路8号卓越时代广场（二期）北座</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（12）名称：中信证券华南股份有限公司</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住所：广州市天河区珠江西路5号广州国际金融中心主塔19层、20层</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法定代表人：陈可可</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传真：020-88836984</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联系人：郭杏燕</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（13）名称：申万宏源证券有限公司</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住所：上海市徐汇区长乐路989号世纪商贸广场45层</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办公地址：上海市徐汇区长乐路989号世纪商贸广场45层</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法定代表人：杨玉成</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电话：（021）33389888</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联系人：李清怡</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客户服务电话：95523或4008895523</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网址：www.sywg.com</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（14）名称：国都证券股份有限公司</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住所：北京市东城区东直门南大街3号国华投资大厦9层10层</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办公地址：北京市东城区东直门南大街3号国华投资大厦9层10层</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法定代表人：王少华</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客户服务电话：400-818-8118</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网址：www.guodu.com</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（15）名称：平安证券股份有限公司</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住所：深圳市福田区金田路大中华国际交易广场裙楼8楼</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办公地址：深圳市福田区金田路大中华国际交易广场裙楼8楼(518048)</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法定代表人：杨宇翔</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电话：（0755）22627802</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传真：（0755）82400862</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联系人：郑舒丽</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客户服务电话：95511-8</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网址：www.pingan.com</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（16）名称：中信证券（山东）有限责任公司</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法定代表人：肖海峰</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联系人：赵如意</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网址：sd.citics.com</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（17）名称：申万宏源西部证券有限公司</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住所：新疆乌鲁木齐市建设路2号</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办公地址：北京市西城区太平桥大街19号宏源证券</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法定代表人：冯戎</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电话：（010）88085858</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传真：（010）88085195</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联系人：李巍</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客户服务电话：4008-000-562</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网址：www.hysec.com</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（18）名称：中泰证券股份有限公司</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注册地址：济南市高新区经十路7000号汉峪金融商务中心五区3号楼</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办公地址：济南市高新区经十路7000号汉峪金融商务中心五区3号楼</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法定代表人：王洪</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电话：（0531）68889155</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传真：（0531）68889752</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联系人：许曼华</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客户服务电话：95538</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网址：www.zts.com.cn</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（19）名称：中国国际金融股份有限公司</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住所：北京建国门外大街1号国贸大厦2座27层及28层</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办公地址：北京建国门外大街1号国贸大厦2座27层及28层</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法定代表人：毕明建</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电话：（010）65051166</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传真：（010）85679203</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联系人：杨涵宇</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网址：www.cicc.com.cn</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（20）名称：国金证券股份有限公司</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办公地址：成都市东城根上街95号</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法定代表人：冉云</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（21）名称：信达证券股份有限公司</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住所：北京市西城区闹市口大街9号院1号楼信达金融中心</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办公地址：北京市西城区闹市口大街9号院1号楼信达金融中心</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法定代表人：张志刚</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电话：（010）63081000</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传真：（010）63081344</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联系人：尹旭航</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客户服务电话：95321</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网址：www.cindasc.com</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（22）名称：西南证券股份有限公司</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住所：重庆市江北区桥北苑8号</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办公地址：重庆市江北区桥北苑8号西南证券大厦</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法定代表人：吴坚</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电话：（023）63786141</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传真：（023）63786212</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联系人：张煜</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客户服务电话：95355、400-809-6096</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网址：www.swsc.com.cn</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（23）名称：中国中金财富证券有限公司</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办公地址：深圳市福田区益田路6003号荣超商务中心A栋第04、18层至21层</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法定代表人：高涛</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电话：（0755）88320851</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联系人：胡芷境</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客户服务电话：95532/400-600-8008</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网址：www.ciccwm.com</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（24）名称：万联证券股份有限公司</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注册地址：广州市天河区珠江东路11号18、19楼全层</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办公地址：广东省广州市天河区珠江东路13号高德置地广场E座12层</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法定代表人：王达</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 系 人：丁思</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联系方式：020-83988334</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客服电话：95322</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公司官网：www.wlzq.cn</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（25）名称：广发证券股份有限公司</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住所：广州市黄埔区中新广州知识城腾飞一街2号618室</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办公地址：广州市天河区马场路26号广发证券大厦</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法定代表人：林传辉</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电话：（020）66338888</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传真：（020）87553600</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联系人：任嘉鹏</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客户服务电话：95575</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网址：www.gf.com.cn</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（26）名称：华泰证券股份有限公司</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住所：江苏省南京市江东中路228号</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办公地址：江苏省南京市建邺区江东中路228号华泰证券广场</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法定代表人：张伟</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电话：（0755）82492193</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传真：（0755）82492962</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联系人：徐浩津</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客户服务电话：95597</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网址：www.htsc.com.cn</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（27）名称：国新证券股份有限公司</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住所：北京市西城区金融大街8号</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办公地址：北京市西城区金融大街8号</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法定代表人：宋德清</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电话：（010）58568235</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传真：（010）58568062</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联系人：黄恒</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客户服务电话：（010）58568118</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网址：www.crsec.com.cn</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（28）名称：华宝证券股份有限公司</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住所：中国上海市陆家嘴环路166号未来资产大厦27楼</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办公地址：中国上海市浦东新区世纪大道100号上海环球金融中心57楼</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陈林</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电话：（021）68777222</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传真：（021）68777822</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联系人：赵洁</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客户服务电话：400-820-9898</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网址：www.cnhbstock.com</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（29）名称：第一创业证券股份有限公司</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住所：深圳市罗湖区笋岗路12号中民时代广场 B 座25、26层</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办公地址：深圳市罗湖区笋岗路12号中民时代广场 B 座25、26层</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法定代表人：刘学民</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电话：（0755）25832852</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传真：（0755）25831718</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联系人：崔国良</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客户服务电话：4008881888</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网址：www.firstcapital.com.cn</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（30）名称：中信建投证券股份有限公司</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法定代表人：刘成</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电话：（010）56135784</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联系人：刘芸</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（31）名称：华西证券股份有限公司</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住所：四川省成都市高新区天府二街198号华西证券大厦</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办公地址：四川省成都市高新区天府二街198号华西证券大厦</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法定代表人：杨炯洋</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电话：（028）86135991</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传真：（028）86150400</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联系人：周志茹</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客户服务电话：95584</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网址：www.hx168.com.cn</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（32）名称：长江证券股份有限公司</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住所：武汉市新华路特8号长江证券大厦</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办公地址：武汉市新华路特8号长江证券大厦</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法定代表人：胡运钊</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电话：（027）65799999</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传真：（027）85481900</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联系人：李良</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客户服务电话：95579或4008-888-999</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网址：www.95579.com</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（33）名称：国泰海通证券股份有限公司</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注册地址：中国（上海）自由贸易试验区商城路618号</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办公地址：上海市静安区南京西路768号国泰君安大厦</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法定代表人：朱健</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联系电话：021-38676666</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传真：021-38670666</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联系人：邵亚杰</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服务热线 : 95521 / 4008888666</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网址：www.gtht.com</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（34）名称：东莞证券股份有限公司</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住所：广东省东莞市莞城区可园南路一号</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办公地址：广东省东莞市莞城区可园南路一号</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电话：（0769）22115712</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传真：（0769）22115712</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联系人：李荣</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客户服务电话：95328</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网址：www.dgzq.com</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（35）名称：北京广源达信基金销售有限公司</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注册地址：北京市西城区新街口外大街28号C座六层605室</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办公地址：北京市顺义区天祥路6号院北京东航中心T1A-304B室</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法定代表人：齐剑辉</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电话：400-616-7531</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联系人：赵明锦</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客户服务电话：400-616-7531</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网址：https://www.niuniufund.com/</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（36）名称：中信期货有限公司</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住所：深圳市福田区中心三路8号卓越时代广场（二期）北座13层1301-1305室、14层</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办公地址：深圳市福田区中心三路8号卓越时代广场（二期）北座13层1301-1305室、14层</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电话：010-60833754</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传真：021-60819988</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网站：www.citicsf.com</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（37）名称：中国人寿保险股份有限公司</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住所：中国北京市西城区金融大街16号</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办公地址：北京市西城区金融大街16号中国人寿广场A座</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法定代表人：王滨</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客户服务电话：95519</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www.e-chinalife.com</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（38）名称：上海中欧财富基金销售有限公司</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住所：中国（上海）自由贸易试验区陆家嘴环路479号1008-1室</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办公地址：上海市虹口区公平路18号嘉昱大厦6楼</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法定代表人：许欣</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电话：021-68609600</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传真：021-33830351</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刘弘义</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客户服务电话：400-700-9700</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公司网址：https://www.zocaifu.com</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（39）名称：济安财富（北京）基金销售有限公司</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传真：010-65330699</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网址：www.jianfortune.com</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（40）名称：博时财富基金销售有限公司</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客户服务电话：400-610-5568</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（41）名称：大连网金基金销售有限公司</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辽宁省大连市沙河口区体坛路22号诺德大厦2层202室</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辽宁省大连市沙河口区体坛路22号诺德大厦2层202室</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樊怀东</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电话：（0411-39027810）</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传真：（0411-39027835）</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于秀</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4000-899-100</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（42）名称：阳光人寿保险股份有限公司</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住所：海南省三亚市迎宾路360-1号三亚阳光金融广场16层</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办公地址：北京市朝阳区朝阳门外大街乙12号院1号昆泰国际大厦12层</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法定代表人：李科</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电话：（010）85632771</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传真：（010）85632773</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联系人：王超</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客户服务电话：95510</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网址：http://fund.sinosig.com/</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（43）名称：玄元保险代理有限公司</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住所：中国(上海)自由贸易试验区张杨路707号1105室</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办公地址：中国(上海)自由贸易试验区张杨路707号1105室</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法定代表人：马永谙</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电话：（021）50701053</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传真：（021）50701053</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客户服务电话：400-080-8208</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网址：www.licaimofang.cn</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（44）名称：京东肯特瑞基金销售有限公司</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办公地址：北京市通州区亦庄经济技术开发区科创十一街18号院京东集团总部A座17层</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（45）名称：上海大智慧基金销售有限公司</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住所：上海市浦东新区杨高南路428号1号楼10-11层</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办公地址：上海市浦东新区杨高南路428号1号楼10-11层</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法定代表人：申健</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电话：021-0219988-35374</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传真：021-20219923</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联系人：张蜓</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客户服务电话：021-20292031</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网址：https://www.wg.com.cn</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（46）名称：腾安基金销售（深圳）有限公司</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网址：http://www.tenganxinxi.com/</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（47）名称：珠海盈米基金销售有限公司</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电话：（020）89629099</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（48）名称：上海华夏财富投资管理有限公司</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住所：上海市虹口区东大名路687号1幢2楼268室</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北京市西城区金融大街33号通泰大厦B座8层</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毛淮平</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电话：010-88066632</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传真：010-63136184</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张静怡</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客户服务电话：400-817-5666</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www.amcfortune.com</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（49）名称：北京度小满基金销售有限公司</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注册地址：北京市海淀区西北旺东路10号院西区4号楼1层103室</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（50）名称：南京苏宁基金销售有限公司</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住所：南京市玄武区苏宁大道1-5号</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办公地址：南京市玄武区苏宁大道1-5号</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法定代表人：王锋</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电话：025-66996699</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传真：025-66996699</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联系人：冯鹏鹏</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客户服务电话：95177</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网址：www.snjijin.com</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（51）名称：嘉实财富管理有限公司</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住所：海南省三亚市天涯区三亚湾路国际客运港区国际养生度假中心酒店B座(2＃楼)27楼2714室</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办公地址及其联系方式：北京市朝阳区建国门外大街21号北京国际俱乐部C座</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010-85097302</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（52）名称：北京汇成基金销售有限公司</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（53）名称：上海利得基金销售有限公司</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（54）名称：北京虹点基金销售有限公司</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住所：北京市朝阳区工人体育场北路甲2号裙房2层222单元</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办公地址：北京市朝阳区工人体育场北路甲2号裙房2层222单元</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法定代表人：胡伟</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电话：（010）65951887</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传真：（010）65951887</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联系人：姜颖</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客户服务电话：400-618-0707</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网址：www.hongdianfund.com/</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（55）名称：上海陆金所基金销售有限公司</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住所：上海市浦东新区陆家嘴环路1333号14楼09单元</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办公地址：上海市浦东新区陆家嘴环路1333号</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法定代表人：王之光</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电话：（021）20665952</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传真：（021）22066653</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联系人：宁博宇</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客户服务电话：4008219031</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网址：www.lufunds.com</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（56）名称：上海挖财基金销售有限公司</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注册地址：中国(上海)自由贸易试验区杨高南路759号18层03单元</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办公地址：中国(上海)自由贸易试验区杨高南路759号18层03单元</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法定代表人：吕柳霞</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电话：021-50810673</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传真：021-50810687</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邮编：200120</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联系人：毛善波</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客服电话：400-711-8718</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网址：www.wacaijijin.com</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（57）名称：万家财富基金销售（天津）有限公司</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住所：天津自贸区（中心商务区）迎宾大道1988号滨海浙商大厦公寓2-2413室</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办公地址：北京市西城区丰盛胡同28号太平洋保险大厦A座5层</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法定代表人：张军</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电话：（010）59013825</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传真：（010）59013828</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联系人：王茜蕊</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客户服务电话：010-59013895</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网址：http://www.wanjiawealth.com/</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（58）名称：上海万得基金销售有限公司</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住所：中国（上海）自由贸易试验区福山路33号11楼B座</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办公地址：上海市浦东新区浦明路1500号万得大厦11楼</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宋晓言</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电话：021-50712782</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传真：021-50710161</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马烨莹</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客户服务电话：400-799-1888</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www.520fund.com.cn</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（59）名称：格上富信投资顾问有限公司</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住所：北京市朝阳区东三环北路19号楼701内09室</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办公地址：北京市朝阳区东三环北路19号楼701内09室</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法定代表人：李悦章</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电话：（010）85594745</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传真：（010）65983333</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客户服务电话：400-066-8586</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网址：www.igesafe.com</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（60）名称：深圳市金斧子基金销售有限公司</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住所：深圳市南山区粤海街道科苑路16号东方科技大厦18楼</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办公地址：深圳市南山区粤海街道科苑路科兴科学园B3单元7楼</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法定代表人：赖任军</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电话：（0755）66892301</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传真：（0755）66892399</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联系人：张烨</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客户服务电话：400-9500-888</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网址：www.jfzinv.com</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（61）名称：北京雪球基金销售有限公司</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（62）名称：北京新浪仓石基金销售有限公司</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注册地址：北京市海淀区东北旺西路中关村软件园二期（西扩）N-1、N-2地块新浪总部科研楼5层518室</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办公地址：北京市海淀区东北旺西路中关村软件园二期（西扩）N-1、N-2地块新浪总部科研楼5层518室</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法定代表人：穆飞虎</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电话：010-58982465</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联系人：穆飞虎</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客服电话：010-6267 5369</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网址：www.xincai.com</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（63）名称：上海证达通基金销售有限公司</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上海市浦东新区金葵路118号3层B区</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办公地址：上海市浦东新区金葵路118号3层B区</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法定代表人：姚杨</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电话：（021）20530186</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传真：（021）20538999</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潘梦茹</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客户服务电话：021-20538880</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网址：www.zdt.fund</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（64）名称：北京创金启富基金销售有限公司</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北京市西城区白纸坊东街2号院6号楼712室</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北京市西城区白纸坊东街2号院6号楼712室</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梁蓉</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电话：010-66154828-8047</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传真：010-63583991</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魏素清</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客户服务电话：010-66154828</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https://www.5irich.com</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（65）名称：奕丰基金销售有限公司</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住所：深圳市前海深港合作区前湾一路1号A栋201室（入住深圳市前海商务秘书有限公司）</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办公地址：深圳市南山区海德三道航天科技广场A座17楼1704室</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法定代表人：TEO WEE HOWE</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电话：（0755）89460500</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传真：（0755）21674453</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联系人：叶健</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客户服务电话：400-684-0500</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网址：www.ifastps.com.cn</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（66）名称：上海天天基金销售有限公司</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（67）名称：和讯信息科技有限公司</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住所：北京市朝阳区朝外大街22号泛利大厦10层</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办公地址：北京市朝阳区朝外大街22号泛利大厦10层</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法定代表人：王莉</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电话：（021）20835789</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传真：（021）20835879</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联系人：周轶</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客户服务电话：4009200022</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网址：http://licaike.hexun.com/</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（68）名称：诺亚正行基金销售有限公司</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住所:上海市虹口区飞虹路360弄9号3724室</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法定代表：汪静波</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电话：（021）80358523</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联系人：李娟</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（69）名称：上海好买基金销售有限公司</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（70）名称：上海长量基金销售有限公司</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住所：上海市浦东新区高翔路526号2幢220室</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办公地址：上海市浦东新区浦东大道555号裕景国际B座16层</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法定代表人：张跃伟</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电话：（021）20691832</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传真：（021）20691861</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联系人：单丙烨</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网址：www.erichfund.com</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（71）名称：深圳众禄基金销售股份有限公司</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办公地址：深圳市罗湖区梨园路物资控股置地大厦8楼</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（72）名称：蚂蚁（杭州）基金销售有限公司</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（73）名称：上海基煜基金销售有限公司</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客户服务电话：（021）65370077</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（74）名称：浙江同花顺基金销售有限公司</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法定代表人：吴强</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联系人：吴强</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（75）名称：宜信普泽（北京）基金销售有限公司</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住所：北京市朝阳区建国路乙118号12层01D、02A—02F、03A—03C</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办公地址：北京市朝阳区建国路乙118号12层01D、02A—02F、03A—03C</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法定代表人：汤蕾</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电话：010-5090-5707</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联系人：蒋凯帆</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客户服务电话：400-6099-200</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网址：http://www.puzefund.com</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（76）名称：上海联泰基金销售有限公司</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（77）名称：深圳市新兰德证券投资咨询有限公司</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住所：深圳市福田区华强北路赛格科技园4栋10层1006#</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办公地址：北京市西城区金融大街35号国际企业大厦C座9层</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法定代表人：陈操</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电话：（010）58325395</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传真：（010）58325282</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联系人：刘宝文</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客户服务电话：400-850-7771</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网址：http://8.jrj.com.cn/</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（78）名称：北京展恒基金销售股份有限公司</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住所：北京市顺义区后沙峪镇安富街6号</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办公地址：北京市朝阳区安苑路15-1号邮电新闻大厦2层</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法定代表人：闫振杰</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电话：（010）59601366-7024</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传真：（010）62020355</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马林</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客户服务电话：400-888-6661</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网址：www.myfund.com</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（79）名称：泛华普益基金销售有限公司</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住所：成都市成华区建设路9号高地中心1101室</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办公地址：成都市金牛区花照壁西顺街399号1栋1单元龙湖西宸天街B座1201号</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（80）名称：和耕传承基金销售有限公司</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办公地址：河南自贸试验区郑州片区（郑东）东风南路东康宁街北6号楼5楼503</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法定代表人：温丽燕</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电话：0371-85518395</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传真：0371-85518397</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联系人：胡静华</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客户服务电话：4000555671</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（81）名称：深圳前海微众银行股份有限公司</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住所：深圳前海深港合作区前湾一路1号A栋201室（入驻深圳市前海商务秘书有限公司）</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办公地址：广东省深圳市南山区沙河西路1819号深圳湾科技生态园7栋A座</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法定代表人：顾敏</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电话：15112686889</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联系人：白冰</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客户服务电话：95384</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网址：www.webank.com</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基金管理人可根据有关法律法规的要求，选择其它符合要求的机构销售本基金，并在管理人网站公示。</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（二）登记机构</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名称：中国证券登记结算有限责任公司</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住所：北京市西城区太平桥大街17号</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办公地址：北京市西城区太平桥大街17号</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法定代表人：于文强</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电话：（010）50938782</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传真：（010）50938907</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联系人：赵亦清</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办公地址：上海市银城中路68号时代金融中心19楼</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负责人：陈臻</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传真：（021）31358600</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联系人：丁媛</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经办律师：黎明、丁媛</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名称：毕马威华振会计师事务所(特殊普通合伙)</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住所：北京市东城区东长安街1号东方广场2座办公楼8层</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办公地址：中国上海南京西路1266号恒隆广场2期25楼</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执行事务合伙人：邹俊</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电话：+86 (21) 2212 2888</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传真：+86 (21) 6288 1889</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联系人：侯雯</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经办注册会计师：王国蓓、侯雯</w:t>
      </w:r>
    </w:p>
    <w:p w:rsidR="00B439CC" w:rsidRDefault="00834EC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50199" w:rsidRDefault="00834ECC">
      <w:pPr>
        <w:pStyle w:val="1"/>
        <w:snapToGrid w:val="0"/>
        <w:spacing w:beforeLines="0" w:before="240" w:after="240"/>
        <w:rPr>
          <w:rFonts w:ascii="宋体" w:hAnsi="宋体"/>
          <w:szCs w:val="30"/>
        </w:rPr>
      </w:pPr>
      <w:bookmarkStart w:id="9" w:name="_Toc234247832"/>
      <w:r>
        <w:rPr>
          <w:rFonts w:ascii="Times New Roman" w:hAnsi="Times New Roman"/>
          <w:sz w:val="30"/>
        </w:rPr>
        <w:lastRenderedPageBreak/>
        <w:t>六、基金的历史沿革与基金的存续</w:t>
      </w:r>
      <w:bookmarkEnd w:id="9"/>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本基金由交银施罗德荣鑫保本混合型证券投资基金保本周期到期转型而来。</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荣鑫保本混合型证券投资基金经中国证监会《关于准予交银施罗德荣鑫保本混合型证券投资基金注册的批复》（证监许可[2016]449号）准予募集注册，基金管理人为交银施罗德基金管理有限公司，基金托管人为中国民生银行股份有限公司。</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荣鑫保本混合型证券投资基金自2016年3月21日至2016年3月22日进行公开募集，募集结束后基金管理人向中国证监会办理基金备案手续。经中国证监会书面确认，《交银施罗德荣鑫保本混合型证券投资基金基金合同》于2016年3月25日生效。</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荣鑫保本混合型证券投资基金于2019年3月25日第一个保本周期到期，由于不符合保本基金存续条件，按照《交银施罗德荣鑫保本混合型证券投资基金基金合同》的约定，该基金保本周期到期后转型为非保本的混合型基金，名称相应变更为“交银施罗德荣鑫灵活配置混合型证券投资基金”。</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荣鑫保本混合型证券投资基金的第一个保本周期到期期间为保本周期到期日及之后3个工作日（含第3个工作日），即2019年3月25日至2019年3月28日。自2019年3月29日起交银施罗德荣鑫保本混合型证券投资基金正式转型为交银施罗德荣鑫灵活配置混合型证券投资基金，转型后的《交银施罗德荣鑫灵活配置混合型证券投资基金基金合同》自该日起生效。</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连续二十个工作日基金份额持有人数量不满200人或者基金资产净值低于5000万元的，基金管理人应当在定期报告中予以披露。连续六十个工作日出现基金份额持有人数量不满200人或者基金资产净值低于5000万元情形的，基金管理人应当向中国证监会报告并提出解决方案，如转换运作方式、与其他基金合并或者终止基金合同等，并召开基金份额持有人大会进行表决。</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法律法规或监管部门另有规定时，从其规定。</w:t>
      </w:r>
    </w:p>
    <w:p w:rsidR="00B439CC" w:rsidRDefault="00834EC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50199" w:rsidRDefault="00834ECC">
      <w:pPr>
        <w:pStyle w:val="1"/>
        <w:snapToGrid w:val="0"/>
        <w:spacing w:beforeLines="0" w:before="240" w:after="240"/>
        <w:rPr>
          <w:rFonts w:ascii="宋体" w:hAnsi="宋体"/>
          <w:szCs w:val="30"/>
        </w:rPr>
      </w:pPr>
      <w:bookmarkStart w:id="10" w:name="_Toc234247833"/>
      <w:r>
        <w:rPr>
          <w:rFonts w:ascii="Times New Roman" w:hAnsi="Times New Roman"/>
          <w:sz w:val="30"/>
        </w:rPr>
        <w:lastRenderedPageBreak/>
        <w:t>七、基金份额的申购与赎回</w:t>
      </w:r>
      <w:bookmarkEnd w:id="10"/>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（一）申购和赎回的场所</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投资人可通过下述场所按照规定的方式进行申购或赎回：</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1、本基金管理人的直销机构</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本基金直销机构为基金管理人以及基金管理人的网上直销交易平台。</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个人投资者可以通过基金管理人网上直销交易平台办理开户、本基金A类基金份额和C类基金份额的申购、赎回、转换、定期定额投资等业务，具体交易细则请参阅基金管理人网站。</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2、除基金管理人之外的其他销售机构</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本基金除基金管理人之外的其他销售机构参见本招募说明书“五、相关服务机构”章节或拨打本公司客户服务电话进行咨询。</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投资人应当通过上述销售机构办理基金申购、赎回业务的营业场所或按上述销售机构提供的其他方式进行申购或赎回。本基金管理人可根据情况变更或增减基金销售机构，并在管理人网站公示。</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若基金管理人或其指定的销售机构开通电话、传真或网上等交易方式，投资人可以通过上述方式进行申购与赎回。</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（二）申购和赎回的开放日及时间</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投资人在开放日办理基金份额的申购和赎回，具体办理时间为上海证券交易所、深圳证券交易所的正常交易日的交易时间，但基金管理人根据法律法规、中国</w:t>
      </w:r>
      <w:r>
        <w:rPr>
          <w:rFonts w:ascii="宋体" w:hAnsi="宋体"/>
          <w:sz w:val="24"/>
        </w:rPr>
        <w:lastRenderedPageBreak/>
        <w:t>证监会的要求或基金合同的规定公告暂停申购、赎回时除外。</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若出现新的证券/期货交易市场、证券/期货交易所交易时间变更或其他特殊情况，基金管理人将视情况对前述开放日及开放时间进行相应的调整，但应在实施日前依照《信息披露办法》的有关规定在指定媒介上公告。</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2、申购、赎回开始日及业务办理时间</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本基金A类基金份额已于2019年4月2日起开放申购、赎回业务。</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本基金C类基金份额已于2023年9月15日起开放申购、赎回业务。</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确定申购开始与赎回开始时间后，基金管理人应在申购、赎回开放日前依照《信息披露办法》的有关规定在指定媒介上公告申购与赎回的开始时间。基金管理人不得在基金合同约定之外的日期或者时间办理基金份额的申购、赎回或者转换。投资人在基金合同约定之外的日期和时间提出申购、赎回或转换申请且登记机构确认接受的，其基金份额申购、赎回价格为下一开放日基金份额申购、赎回的价格。</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（三）申购与赎回的原则</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1、“未知价”原则，即申购、赎回价格以申请当日收市后计算的基金份额净值为基准进行计算；</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3、当日的申购与赎回申请可以在基金管理人规定的时间以内撤销，但申请经登记机构受理的不得撤销；</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注册登记确认日期在先的基金份额先赎回，注册登记确认日期在后的基金份额后赎回，以确定被赎回基金份额的持有期限和所适用的赎回费率。对于由转型前基金转入变更后基金的基金份额，其持有期将从原份额取得之日起连续计算。</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基金管理人可在法律法规允许的情况下，对上述原则进行调整。基金管理人必须在新规则开始实施前依照《信息披露办法》的有关规定在指定媒介上公告。</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（四）申购和赎回的数额限定</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w:t>
      </w:r>
      <w:r>
        <w:rPr>
          <w:rFonts w:ascii="宋体" w:hAnsi="宋体"/>
          <w:sz w:val="24"/>
        </w:rPr>
        <w:lastRenderedPageBreak/>
        <w:t>理基金申购业务的不受直销机构单笔申购最低金额的限制，申购最低金额为单笔1元。本基金直销机构单笔申购最低金额可由基金管理人酌情调整。其他销售机构接受申购申请的最低金额为单笔1元，如果销售机构业务规则规定的最低单笔申购金额高于1元，以该销售机构的规定为准。</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3、最低保留余额的限制</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投资人在单个交易账户保留的本基金份额余额少于1份时，若当日该账户同时有基金份额减少类业务（如赎回、转换出等）被确认，则基金管理人有权将投资人在该账户保留的本基金份额一次性全部赎回。</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相关公告。</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在法律法规允许的情况下，调整上述规定申购金额、赎回份额和最低基金份额保留余额的数量限制。基金管理人必须在调整实施前依照《信息披露办法》的有关规定在指定媒介上公告并报中国证监会备案。</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（五）申购和赎回的程序</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2、申购和赎回的款项支付</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投资人申购基金份额时，必须全额交付申购款项，若申购资金在规定时间内未全额到账则申购不成立。投资人全额交付申购款项，申购成立；登记机构确认基金份额时，申购生效。</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投资人递交赎回申请，赎回成立；登记机构确认赎回时，赎回生效。投资人赎回申请成功后，基金管理人将在T＋7日（包括该日）内支付赎回款项。在发生巨额</w:t>
      </w:r>
      <w:r>
        <w:rPr>
          <w:rFonts w:ascii="宋体" w:hAnsi="宋体"/>
          <w:sz w:val="24"/>
        </w:rPr>
        <w:lastRenderedPageBreak/>
        <w:t>赎回以及基金合同载明的其他暂停赎回或延缓支付赎回款项的情形时，款项的支付办法参照基金合同有关条款处理。</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3、申购和赎回申请的确认</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管理人委托的登记机构应以交易时间结束前受理有效申购和赎回申请的当天作为申购或赎回申请日（T日），在正常情况下，本基金登记机构在T+1日（包括该日）内对该交易的有效性进行确认。T日提交的有效申请，投资人应在T+2日后（包括该日）及时到销售网点柜台或以销售机构规定的其他方式查询申请的确认情况。若申购不成功，则申购款项退还给投资人。</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基金管理人可在法律法规允许的范围内，依法对上述申购和赎回申请的确认时间进行调整，并必须在调整实施日前按照《信息披露办法》的有关规定在指定媒介上公告并报中国证监会备案。</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4、申购和赎回的登记</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（1）投资人T日申购基金成功后，正常情况下，登记机构在T＋1日为投资人增加权益并办理登记手续，投资人自T＋2日起（包括该日）有权赎回该部分基金份额。投资人应及时查询有关申请的确认情况。</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（2）投资人T日赎回基金成功后，正常情况下，登记机构在T＋1日为投资人扣除权益并办理相应的登记手续。</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（3）基金管理人可在法律法规允许的范围内，对上述登记办理时间进行调整，并于开始实施前按照《信息披露办法》的有关规定在指定媒介上公告并报中国证监会备案。</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（六）基金的申购费和赎回费</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本基金基金份额分为A类基金份额和C类基金份额。投资人申购A类基金份额在申购时支付申购费用；申购C类基金份额不支付申购费用，并从该类别基金资产中计提销售服务费。</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本基金A类基金份额的申购费用由申购A类基金份额的申购人承担，不列入基金财产，主要用于本基金的市场推广、销售、登记等各项费用。</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投资人可以多次申购本基金，A类基金份额的申购费用按每笔A类基金份额申购申请单独计算。</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本基金A类基金份额（非养老金客户）的申购费率如下：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B50199">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类基金份额的申购费率</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类基金份额的申购费率</w:t>
            </w:r>
          </w:p>
        </w:tc>
      </w:tr>
      <w:tr w:rsidR="00B50199">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B50199" w:rsidRDefault="00B50199">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0.8%</w:t>
            </w:r>
          </w:p>
        </w:tc>
      </w:tr>
      <w:tr w:rsidR="00B50199">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B50199" w:rsidRDefault="00B50199">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B50199">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B50199" w:rsidRDefault="00B50199">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B50199">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B50199" w:rsidRDefault="00B50199">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0.3%</w:t>
            </w:r>
          </w:p>
        </w:tc>
      </w:tr>
      <w:tr w:rsidR="00B50199">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B50199" w:rsidRDefault="00B50199">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持有A类基金份额的投资人因红利自动再投资而产生的A类基金份额，不收取相应的申购费用。</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本基金对通过基金管理人直销柜台申购本基金A类基金份额的养老金客户实施特定申购费率。</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1）全国社会保障基金；</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2）可以投资基金的地方社会保障基金；</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3）企业年金单一计划以及集合计划；</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4）企业年金理事会委托的特定客户资产管理计划；</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5）企业年金养老金产品。</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如将来出现经养老基金监管部门认可的新的养老基金类型，基金管理人可在招募说明书更新或发布临时公告将其纳入养老金客户范围，并按规定向中国证监会备案。</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通过基金管理人直销柜台申购本基金A类基金份额的养老金客户特定申购费率如下表：</w:t>
      </w:r>
    </w:p>
    <w:tbl>
      <w:tblPr>
        <w:tblW w:w="5000" w:type="pct"/>
        <w:tblCellMar>
          <w:left w:w="0" w:type="dxa"/>
          <w:right w:w="0" w:type="dxa"/>
        </w:tblCellMar>
        <w:tblLook w:val="0000" w:firstRow="0" w:lastRow="0" w:firstColumn="0" w:lastColumn="0" w:noHBand="0" w:noVBand="0"/>
      </w:tblPr>
      <w:tblGrid>
        <w:gridCol w:w="1238"/>
        <w:gridCol w:w="3716"/>
        <w:gridCol w:w="3716"/>
      </w:tblGrid>
      <w:tr w:rsidR="00B50199">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类基金份额的申购费率</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类基金份额的特定申购费率</w:t>
            </w:r>
          </w:p>
        </w:tc>
      </w:tr>
      <w:tr w:rsidR="00B50199">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B50199" w:rsidRDefault="00B50199">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0.32%</w:t>
            </w:r>
          </w:p>
        </w:tc>
      </w:tr>
      <w:tr w:rsidR="00B50199">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B50199" w:rsidRDefault="00B50199">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0.18%</w:t>
            </w:r>
          </w:p>
        </w:tc>
      </w:tr>
      <w:tr w:rsidR="00B50199">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B50199" w:rsidRDefault="00B50199">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0.10%</w:t>
            </w:r>
          </w:p>
        </w:tc>
      </w:tr>
      <w:tr w:rsidR="00B50199">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B50199" w:rsidRDefault="00B50199">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0.06%</w:t>
            </w:r>
          </w:p>
        </w:tc>
      </w:tr>
      <w:tr w:rsidR="00B50199">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B50199" w:rsidRDefault="00B50199">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w:t>
      </w:r>
      <w:r>
        <w:rPr>
          <w:rFonts w:ascii="宋体" w:hAnsi="宋体"/>
          <w:sz w:val="24"/>
        </w:rPr>
        <w:lastRenderedPageBreak/>
        <w:t>告或本基金管理人网站。本基金管理人基金网上直销业务已开通的银行卡及各银行卡交易金额限额请参阅本基金管理人网站。</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（1）本基金A类基金份额的赎回费率</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赎回费用由赎回A类基金份额的基金份额持有人承担，在基金份额持有人赎回A类基金份额时收取，对持续持有期少于7日的投资人收取1.5%的赎回费，对持续持有期大于等于7日但少于30日的投资人收取0.75%的赎回费，并将上述赎回费全额计入基金财产；对持续持有期大于等于30日但少于3个月的投资人收取0.5%的赎回费，并将赎回费总额的75%计入基金财产；对持续持有期大于等于3个月但少于6个月的投资人收取0.5%的赎回费，并将赎回费总额的50%计入基金财产；对持续持有期大于等于6个月的投资人，应当将赎回费总额的25%计入基金财产，上述“月”指的是30个自然日。其余用于支付登记费和其他必要的手续费。赎回费率随基金份额的持有时间递减，本基金A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B50199">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类基金份额的赎回费率</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类基金份额赎回费率</w:t>
            </w:r>
          </w:p>
        </w:tc>
      </w:tr>
      <w:tr w:rsidR="00B50199">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B50199" w:rsidRDefault="00B50199">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B50199">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B50199" w:rsidRDefault="00B50199">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—30</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0.75%</w:t>
            </w:r>
          </w:p>
        </w:tc>
      </w:tr>
      <w:tr w:rsidR="00B50199">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B50199" w:rsidRDefault="00B50199">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日（含）</w:t>
            </w:r>
            <w:r>
              <w:rPr>
                <w:rFonts w:ascii="Times New Roman" w:hAnsi="Times New Roman"/>
                <w:color w:val="000000"/>
                <w:kern w:val="0"/>
                <w:sz w:val="25"/>
                <w:szCs w:val="24"/>
              </w:rPr>
              <w:t>—6</w:t>
            </w:r>
            <w:r>
              <w:rPr>
                <w:rFonts w:ascii="Times New Roman" w:hAnsi="Times New Roman"/>
                <w:color w:val="000000"/>
                <w:kern w:val="0"/>
                <w:sz w:val="25"/>
                <w:szCs w:val="24"/>
              </w:rPr>
              <w:t>个月</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B50199">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B50199" w:rsidRDefault="00B50199">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r>
              <w:rPr>
                <w:rFonts w:ascii="Times New Roman" w:hAnsi="Times New Roman"/>
                <w:color w:val="000000"/>
                <w:kern w:val="0"/>
                <w:sz w:val="25"/>
                <w:szCs w:val="24"/>
              </w:rPr>
              <w:t>个月以上（含）</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上表中的“月”指的是30个自然日。</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（2）本基金C类基金份额的赎回费率如下：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B50199">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r>
              <w:rPr>
                <w:rFonts w:ascii="Times New Roman" w:hAnsi="Times New Roman"/>
                <w:color w:val="000000"/>
                <w:kern w:val="0"/>
                <w:sz w:val="25"/>
                <w:szCs w:val="24"/>
              </w:rPr>
              <w:t>类基金份额的赎回费率</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r>
              <w:rPr>
                <w:rFonts w:ascii="Times New Roman" w:hAnsi="Times New Roman"/>
                <w:color w:val="000000"/>
                <w:kern w:val="0"/>
                <w:sz w:val="25"/>
                <w:szCs w:val="24"/>
              </w:rPr>
              <w:t>类基金份额赎回费率</w:t>
            </w:r>
          </w:p>
        </w:tc>
      </w:tr>
      <w:tr w:rsidR="00B50199">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B50199" w:rsidRDefault="00B50199">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B50199">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B50199" w:rsidRDefault="00B50199">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—30</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B50199">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B50199" w:rsidRDefault="00B50199">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日以上（含）</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本基金C类基金份额的赎回费用由赎回C类基金份额的基金份额持有人承担，在基金份额持有人赎回C类基金份额时收取，对C类基金份额持有人收取的赎回费全额计入基金财产。</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3、基金管理人可以在基金合同约定的范围内调整费率或收费方式，并最迟应于新的费率或收费方式实施日前依照《信息披露办法》的有关规定在指定媒介上公告。</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4、基金管理人可以在不违背法律法规规定及基金合同约定的情况下根据市场情况制定基金促销计划，针对投资人定期和不定期地开展基金促销活动。在基金促</w:t>
      </w:r>
      <w:r>
        <w:rPr>
          <w:rFonts w:ascii="宋体" w:hAnsi="宋体"/>
          <w:sz w:val="24"/>
        </w:rPr>
        <w:lastRenderedPageBreak/>
        <w:t>销活动期间，基金管理人可以按中国证监会要求履行必要手续后，对投资人适当调低基金申购费率和赎回费率。</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（七）申购和赎回的数额和价格</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A类基金份额或C类基金份额的有效份额为净申购金额除以当日该类基金份额的基金份额净值，有效份额单位为份，申购份额计算结果按四舍五入方法，保留到小数点后2位，由此产生的收益或损失由基金财产承担。</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金额为按实际确认的A类基金份额或C类基金份额有效赎回份额乘以当日该类基金份额的基金份额净值并扣除相应的费用（如有），赎回金额单位为元。赎回金额计算结果按四舍五入方法，保留到小数点后2位，由此产生的收益或损失由基金财产承担。</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（1）A类基金份额的申购</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（注：对于适用固定金额申购费用的申购，净申购金额＝申购总金额－固定申购费用金额）</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（注：对于适用固定金额申购费用的申购，申购费用＝固定申购费用金额）</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申购份额=（申购总金额-申购费用）/ T日A类基金份额净值</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例一：某投资者（非养老金客户）投资100,000元申购本基金A类基金份额，假设申购当日A类基金份额净值为1.0400元，申购费率为0.8%，则其可得到的申购份额为：</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净申购金额=100,000/（1+0.8%）=99,206.35元</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申购费用=100,000-99,206.35=793.65元</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申购份额=（100,000-793.65）/1.0400=95,390.72份</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即：某投资者（非养老金客户）投资100,000元申购本基金A类基金份额，假设申购当日A类基金份额净值为1.0400元，则其可得到95,390.72份A类基金份额。</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例二：某养老金客户投资100,000元通过基金管理人的直销柜台申购本基金A类</w:t>
      </w:r>
      <w:r>
        <w:rPr>
          <w:rFonts w:ascii="宋体" w:hAnsi="宋体"/>
          <w:sz w:val="24"/>
        </w:rPr>
        <w:lastRenderedPageBreak/>
        <w:t>基金份额，假设申购当日A类基金份额净值为1.0400元，申购费率为0.32%，则其可得到的申购份额为：</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净申购金额=100,000/（1+0.32%）=99,681.02元</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申购费用=100,000-99,681.02=318.98元</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申购份额=（100,000-318.98）/1.0400=95,847.13份</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即：该养老金客户投资100,000元通过基金管理人的直销柜台申购本基金A类基金份额，假设申购当日A类基金份额净值为1.0400元，则其可得到95,847.13份A类基金份额。</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（2）C类基金份额的申购</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如果投资者选择申购C类基金份额，则申购份额的计算方法如下：</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申购份额=申购总金额/T日C类基金份额净值</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例三：某投资者投资100,000元申购本基金的C类基金份额，假设申购当日C类基金份额净值为1.0400元，则其可得到的申购份额为：</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申购份额＝100,000/1.0400＝96,153.85份</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即：投资者投资100,000元申购本基金的C类基金份额，假设申购当日C类基金份额净值为1.0400元，则其可得到96,153.85份C类基金份额。</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赎回金额为按实际确认的A类基金份额或C类基金份额有效赎回份额乘以当日该类基金份额净值并扣除相应的费用（如有），赎回金额单位为元，计算结果保留到小数点后两位，第三位四舍五入。</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（1）A类基金份额的赎回</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投资者赎回A类基金份额，赎回金额的计算方法如下：</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赎回费用=赎回份额×T日A类基金份额净值×赎回费率</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赎回金额=赎回份额×T日A类基金份额净值-赎回费用</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例四：某投资者赎回持有的10,000份A类基金份额，持有期限为30日，对应的赎回费率为0.5%，假设赎回当日A类基金份额净值是1.0160元，则其可得到的赎回金额为：</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赎回费用 = 10,000×1.0160×0.5% ＝ 50.80元</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 = 10,000×1.0160-50.80 ＝ 10,109.20元</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即：投资者赎回本基金10,000份A类基金份额，持有期限为30日，对应的赎回费率为0.5%，假设赎回当日A类基金份额净值是1.0160元，则其可得到的赎回金额为10,109.20元。</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（2）C类基金份额的赎回</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投资者赎回C类基金份额，赎回金额的计算方法如下：</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赎回费用=赎回份额×T日C类基金份额净值×赎回费率</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赎回金额=赎回份额×T日C类基金份额净值-赎回费用</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例五：某投资者赎回10,000份C类基金份额，持有期限为20日，对应的赎回费率为0.5%，假设赎回当日C类基金份额净值是1.0160元，则其可得到的赎回金额为：</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赎回费用=10,000×1.0160×0.5%＝50.80元</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赎回金额=10,000×1.0160-50.80＝10,109.20元</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即：投资者赎回10,000份C类基金份额，持有期限为20日，对应的赎回费率为0.5%，假设赎回当日C类基金份额净值是1.0160元，则其可得到的赎回金额为10,109.20元。</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A类基金份额净值＝A类基金份额的基金资产净值总额/发行在外的A类基金份额总数</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C类基金份额净值＝C类基金份额的基金资产净值总额/发行在外的C类基金份额总数</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T日的基金份额净值在当天收市后计算，并在T＋1日（包括该日）内公告。遇特殊情况，经中国证监会同意，可以适当延迟计算或公告。本基金A类基金份额和C类基金份额的基金份额净值的计算，均保留到小数点后4位，小数点后第5位四舍五入，由此误差产生的收益或损失由基金财产承担。</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（八）拒绝或暂停申购的情形</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发生下列情况时，基金管理人可拒绝或暂停接受投资人的申购申请：</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w:t>
      </w:r>
      <w:r>
        <w:rPr>
          <w:rFonts w:ascii="宋体" w:hAnsi="宋体"/>
          <w:sz w:val="24"/>
        </w:rPr>
        <w:lastRenderedPageBreak/>
        <w:t>资人的申购申请。</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3、证券、期货交易所交易时间非正常停市，导致基金管理人无法计算当日基金资产净值。</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4、接受某笔或某些申购申请可能会影响或损害现有基金份额持有人利益时。</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5、基金资产规模过大，使基金管理人无法找到合适的投资品种，或其他可能对基金业绩产生负面影响，或基金管理人认定的其他损害现有基金份额持有人利益的情形。</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6、基金管理人、基金托管人、基金销售机构、基金销售支付结算机构或登记机构的异常情况导致基金销售系统、基金销售支付结算系统、基金注册登记系统或基金会计系统无法正常运行。</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7、当前一估值日基金资产净值50%以上的资产出现无可参考的活跃市场价格且采用估值技术仍导致公允价值存在重大不确定性时，经与基金托管人协商确认后，基金管理人应当暂停接受基金申购申请。</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8、基金管理人接受某笔或者某些申购申请有可能导致单一投资者持有基金份额的比例超过50%，或者变相规避50%集中度的情形。出现上述情形时，基金管理人有权将上述申购申请全部或部分确认失败。</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9、基金合同约定、法律法规规定或中国证监会认定的其他情形。</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第1、2、3、5、6、7、9项暂停申购情形之一且基金管理人决定暂停接受投资人的申购申请时，基金管理人应当根据有关规定在指定媒介上刊登暂停申购公告。如果投资人的申购申请被拒绝，被拒绝的申购款项将退还给投资人。在暂停申购的情况消除时，基金管理人应及时恢复申购业务的办理。</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（九）暂停赎回或延缓支付赎回款项的情形</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发生下列情形时，基金管理人可暂停接受投资人的赎回申请或延缓支付赎回款项：</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1、因不可抗力导致基金管理人不能支付赎回款项。</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3、证券、期货交易所交易时间非正常停市，导致基金管理人无法计算当日基金资产净值。</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4、连续两个或两个以上开放日发生巨额赎回。</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5、基金管理人、基金托管人、基金销售机构、基金销售支付结算机构或登记机构的异常情况导致基金销售系统、基金销售支付结算系统、基金注册登记系统或基金会计系统无法正常运行。</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6、继续接受赎回申请将损害现有基金份额持有人利益的情形时，可暂停接受投资人的赎回申请。</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当前一估值日基金资产净值50%以上的资产出现无可参考的活跃市场价格且采用估值技术仍导致公允价值存在重大不确定性时，经与基金托管人协商确认后，基金管理人应当暂停接受基金赎回申请或延缓支付赎回款项。</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8、基金合同约定、法律法规规定或中国证监会认定的其他情形。</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之一且基金管理人决定暂停接受投资人的赎回申请或延缓支付赎回款项时，基金管理人应在当日报中国证监会备案，已确认的赎回申请，基金管理人应足额支付；如暂时不能足额支付，应将可支付部分按单个账户申请量占申请总量的比例分配给赎回申请人，未支付部分可延期确认并支付，并以后续开放日的基金份额净值为依据计算赎回金额。若出现上述第4项所述情形，按基金合同的相关条款处理。基金份额持有人在申请赎回时可事先选择将当日可能未获受理部分予以撤销。在暂停赎回的情况消除时，基金管理人应及时恢复赎回业务的办理并公告。</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（十）巨额赎回的情形及处理方式</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w:t>
      </w:r>
      <w:r>
        <w:rPr>
          <w:rFonts w:ascii="宋体" w:hAnsi="宋体"/>
          <w:sz w:val="24"/>
        </w:rPr>
        <w:lastRenderedPageBreak/>
        <w:t>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基金份额持有人当日超过20%的赎回申请，可以对其赎回申请延期办理；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日以上（含本数）发生巨额赎回，如基金管理人认为有必要，可暂停接受基金的赎回申请；已经接受的赎回申请可以延缓支付赎回款项，但不得超过20个工作日，并应当在指定媒介上进行公告。</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当发生上述延期赎回并延期办理时，基金管理人应当通过邮寄、传真、刊登公告或者通知销售机构代为告知等方式在3个交易日内通知基金份额持有人，说明有关处理方法，并在2日内在指定媒介上刊登公告。</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（十一）暂停申购或赎回的公告和重新开放申购或赎回的公告</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1、发生上述暂停申购或赎回情况的，基金管理人应在规定期限内在指定媒介上刊登暂停公告。</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暂停结束，基金重新开放申购或赎回时，基金管理人应依照《信息披露办法》的有关规定，不迟于重新开放日，在指定媒介上刊登基金重新开放申购或赎回公告，并公布最近一个开放日各类基金份额的基金份额净值。</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（十二）基金的非交易过户</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（十三）基金的转托管</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（十四）定期定额投资计划</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受理基金的申购申请。定期定额投资计划并不构成对基金日常申购、赎回等业务的影响，投资人在办理相关基金定期定额投资计划的同时，仍然可以进行日常申购、赎回业务。</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2019年3月29日刊登公告自2019年4月2日起开通A类基金份额的定期定额投资计划业务，本基金2023年9月14日刊登公告自2023年9月15日起增设C类基金份额并开通C类基金份额的定期定额投资计划业务，具体开通销售机构名单和业务规则参见相关公告。</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（十五）基金份额的冻结和解冻</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登记机构只受理国家有权机关依法要求的基金份额的冻结与解冻，以及登记机构认可、符合法律法规的其他情况下的冻结与解冻。</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（十六）基金上市交易和场内申购赎回业务</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未来系统条件允许的情况下，基金管理人可以根据相关证券交易所上市交易规则安排本基金上市交易和/或开通场内申购赎回业务事宜。具体上市交易和/或开通场内申购赎回的安排由基金管理人届时提前发布公告，并告知基金托管人与相关机构。场内申购赎回业务按照证券交易所及登记机构的相关业务规则办理。</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（十七）基金份额的转让</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在法律法规允许且条件具备的情况下，基金管理人可受理基金份额持有人通过中国证监会认可的交易场所或者交易方式进行份额转让的申请并由登记机构办理基</w:t>
      </w:r>
      <w:r>
        <w:rPr>
          <w:rFonts w:ascii="宋体" w:hAnsi="宋体"/>
          <w:sz w:val="24"/>
        </w:rPr>
        <w:lastRenderedPageBreak/>
        <w:t>金份额的过户登记。基金管理人拟受理基金份额转让业务的，将提前公告，基金份额持有人应根据基金管理人公告的业务规则办理基金份额转让业务。</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（十八）实施侧袋机制期间本基金的申购与赎回</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本基金实施侧袋机制的，本基金的申购和赎回安排详见本招募说明书“侧袋机制”部分的规定或相关公告。</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（十九）其他业务</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rsidR="00B439CC" w:rsidRDefault="00834EC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50199" w:rsidRDefault="00834ECC">
      <w:pPr>
        <w:pStyle w:val="1"/>
        <w:snapToGrid w:val="0"/>
        <w:spacing w:beforeLines="0" w:before="240" w:after="240"/>
        <w:rPr>
          <w:rFonts w:ascii="宋体" w:hAnsi="宋体"/>
          <w:szCs w:val="30"/>
        </w:rPr>
      </w:pPr>
      <w:bookmarkStart w:id="11" w:name="_Toc234247834"/>
      <w:r>
        <w:rPr>
          <w:rFonts w:ascii="Times New Roman" w:hAnsi="Times New Roman"/>
          <w:sz w:val="30"/>
        </w:rPr>
        <w:lastRenderedPageBreak/>
        <w:t>八、基金的转换</w:t>
      </w:r>
      <w:bookmarkEnd w:id="11"/>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（一）基金转换</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是指开放式基金份额持有人将其持有某只基金的部分或全部份额转换为同一基金管理人管理的另一只开放式基金份额。基金转换只能在同一销售机构进行。转换的两只基金必须都是该销售机构代理的同一基金管理人管理的、在同一注册登记机构处注册登记的、同一收费模式的开放式基金。</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（二）转换业务办理时间</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本基金2019年4月16日刊登公告自2019年4月18日起开放A类基金份额的日常转换业务。本基金2023年9月14日刊登公告自2023年9月15日起增设C类基金份额并开通C类基金份额的日常转换业务。</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办理基金间转换的时间为上海证券交易所、深圳证券交易所交易日。若出现新的证券交易市场或交易所交易时间更改或其它原因，基金管理人将视情况进行相应的调整并公告。</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本基金转换业务具体开通销售机构名单参见相关公告。</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（三）基金转换的程序</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1、申请方式：书面申请或销售机构公布的其他方式。</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2、基金转换申请的确认</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3、基金转换的注册登记</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（四）基金转换的数额限制</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基金转换以份额为单位进行申请，申请转换份额精确到小数点后两位，小数点后两位以后的部分四舍五入，误差部分归基金财产。</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本基金遵循“份额转换”的原则，单笔转换份额不得低于1份。基金持有人可将其全部或部分基金份额转换成其它基金，单笔转换申请不受转入基金最低申购限额限制。</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（五）基金转换费用</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2、转出基金的赎回费用</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3、前端收费模式下转出与转入基金的申购补差费用</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4、后端收费模式下转出与转入基金的申购补差费用</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从不收取申购费用的基金或后端申购费用低的基金向后端申购费用高的基金转</w:t>
      </w:r>
      <w:r>
        <w:rPr>
          <w:rFonts w:ascii="宋体" w:hAnsi="宋体"/>
          <w:sz w:val="24"/>
        </w:rPr>
        <w:lastRenderedPageBreak/>
        <w:t>换，不收取后端申购补差费用，但转入的基金份额赎回的时候需全额收取转入基金的后端申购费；从后端申购费用高的基金向后端申购费用低的基金或不收取申购费用的基金转换，收取后端申购补差费用，且转入的基金份额赎回的时候需全额收取转入基金的后端申购费。后端申购补差费用按照转出份额持有时间对应分档的转出基金后端申购费率减去转入基金后端申购费率差额进行补差。</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5、网上直销的申购补差费率优惠</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6、本基金管理人可以根据法律法规及基金合同的规定对上述转换费用收费方式和费率进行调整，并应于调整后的收费方式和费率实施前依照《信息披露办法》的有关规定在中国证监会规定媒介上公告。</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（六）基金转换份额的计算公式</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1、前端收费模式下基金转换份额的计算公式及举例</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（注：若转出基金申购费率不低于转入基金申购费率，转出与转入基金的申购补差费为零）</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对于涉及固定费用的，转出与转入基金的申购补差费＝MAX（0，转出基金和转入基金申购费用之差）</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转入基金确认份额的计算精确到小数点后两位，小数点后两位以后的部分四舍五入，误差部分归基金财产。</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持有交银趋势前端收费模式的A类基金份额100,000份，持有期半年，转换申请当日交银趋势的A类基金份额净值为1.0100元，交银成长的基金份额净值为2.2700元。若该投资者将100,000份交银趋势前端A类基金份额转换为交银成长前端基金份额，则转入交银成长确认的基金份额为：</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转出确认金额=100,000×1.0100=101,000元</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转出基金的赎回费=101,000×0.5%=505元</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转入确认金额=101,000-505=100,495元</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转出与转入基金的申购补差费=100,495×0/（1+0）=0元</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转入基金确认份额=（100,495-0）/2.2700=44,270.93份</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转出确认金额=1,000,000×1.0200=1,020,000元</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转出基金的赎回费=1,020,000×0.05%=510元</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转入确认金额=1,020,000-510=1,019,490元</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转出与转入基金的申购补差费=1,019,490×0.5%/（1+0.5%）=5,072.09元</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转入基金确认份额=（1,019,490-5,072.09）/1.0100=1,004,374.17份</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转入确认金额=125,000-0=125,000元</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转出与转入基金的申购补差费=125,000×1.5%/（1+1.5%）=1,847.29元</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转入基金确认份额=（125,000-1,847.29）/2.2700=54,252.30份</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例四：某投资者持有交银货币A级基金份额100,000份，该100,000份基金份额</w:t>
      </w:r>
      <w:r>
        <w:rPr>
          <w:rFonts w:ascii="宋体" w:hAnsi="宋体"/>
          <w:sz w:val="24"/>
        </w:rPr>
        <w:lastRenderedPageBreak/>
        <w:t>未结转的待支付收益为61.52元，转换申请当日交银增利A类基金份额净值为1.2700元，交银货币的基金份额净值为1.00元。若该投资者将100,000份交银货币A级基金份额转换为交银增利A类基金份额，则转入确认的交银增利A类基金份额为：</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转出与转入基金的申购补差费=100,000×0.8%/（1+0.8%）=793.65元</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转入基金确认份额=（100,000-793.65+61.52）/1.2700=78,163.68份</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2、后端收费模式下基金转换份额的计算公式及举例</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转出与转入基金的申购补差费=124,750×0=0元</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转入基金确认份额=（124,750-0）/2.2700=54,955.95份</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例六：某投资者持有交银先锋后端收费模式的A类基金份额100,000份，持有期一年半，转换申请当日交银先锋的A类基金份额净值为1.2500元，交银货币的基金份额净值为1.00元。若该投资者将100,000份交银先锋后端A类基金份额转换为交银货币，则转入交银货币的基金份额为：</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转出与转入基金的申购补差费=124,750×1.2%=1497元</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转入基金确认份额=（124,750-1497）/1.00=123,253.00份</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转出确认金额=100,000×0.8500=85,000元</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转出基金的赎回费=85,000×0=0元</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转入确认金额=85,000-0=85,000元</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转出与转入基金的申购补差费=85,000×0.2%=170元</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转入基金确认份额=（85,000-170）/1.0500=80,790.48份</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持有交银货币A级基金份额100,000份，该100,000份基金份额未结转的待支付收益为61.52元，转换申请当日交银增利B类基金份额净值为1.2700元，交银货币的基金份额净值为1.00元。若该投资者将100,000份交银货币A级基金份额转换为交银增利B类基金份额，则转入确认的交银增利B类基金份额为：</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转出与转入基金的申购补差费=100,000×0=0元</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转入基金确认份额=（100,000-0+61.52）/1.2700=78,788.60份</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（七）业务规则</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1、基金转换只能在同一销售机构进行。转换的两只基金必须都是该销售机构销售的同一基金管理人管理的、在同一注册登记机构处注册登记的基金。投资人办</w:t>
      </w:r>
      <w:r>
        <w:rPr>
          <w:rFonts w:ascii="宋体" w:hAnsi="宋体"/>
          <w:sz w:val="24"/>
        </w:rPr>
        <w:lastRenderedPageBreak/>
        <w:t>理基金转换业务时，转出方的基金必须处于可赎回状态，转入方的基金必须处于可申购状态。</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只能在相同收费模式下进行基金转换。前端收费模式的开放式基金只能转换到前端收费模式的其他基金，后端收费模式的基金只能转换到后端收费模式的其他基金。交银货币、债券基金C类基金份额与其他基金之间的转换不受上述收费模式的限制。</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（八）暂停基金转换</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有关规定也一般适用于暂停基金转换。具体暂停或恢复基金转换的相关业务请详见届时本基金管理人发布的相关公告。</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个开放日，基金净赎回申请份额（该基金赎回申请总份额加上基金转换中转出申请总份额扣除申购申请总份额及基金转换中转入申请总份额后的余额）超过上一日基金总份额的10%时，为巨额赎回。发生巨额赎回时，基金转出与基金赎回具有相同的优先级，本基金管理人可根据基金资产组合情况，决定全额转出或部分转出，并且对于基金转出和基金赎回，将采取相同的比例确认。在转出申请得到部分确认的情况下，未确认的转出申请将自动予以撤销，不再视为下一开放日的基金转换申请。</w:t>
      </w:r>
    </w:p>
    <w:p w:rsidR="00B439CC" w:rsidRDefault="00834EC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50199" w:rsidRDefault="00834ECC">
      <w:pPr>
        <w:pStyle w:val="1"/>
        <w:snapToGrid w:val="0"/>
        <w:spacing w:beforeLines="0" w:before="240" w:after="240"/>
        <w:rPr>
          <w:rFonts w:ascii="宋体" w:hAnsi="宋体"/>
          <w:szCs w:val="30"/>
        </w:rPr>
      </w:pPr>
      <w:bookmarkStart w:id="12" w:name="_Toc234247835"/>
      <w:r>
        <w:rPr>
          <w:rFonts w:ascii="Times New Roman" w:hAnsi="Times New Roman"/>
          <w:sz w:val="30"/>
        </w:rPr>
        <w:lastRenderedPageBreak/>
        <w:t>九、基金的投资</w:t>
      </w:r>
      <w:bookmarkEnd w:id="12"/>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（一）投资目标</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在严格控制投资风险和保持资产流动性的基础上，力争实现基金资产的长期稳定增值。</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（二）投资范围</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中小板、创业板及其他经中国证监会核准上市的股票、存托凭证）、债券、中期票据、货币市场工具、权证、资产支持证券、银行存款、股指期货以及法律法规或中国证监会允许基金投资的其他金融工具（但须符合中国证监会相关规定）。</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股票资产（含存托凭证）占基金资产的0%-95%，股票资产按照基金所持有的股票市值以及买入、卖出股指期货合约价值合计（轧差计算)；权证的投资比例不超过基金资产净值的3%；基金保留的现金或者投资于到期日在一年以内的政府债券的比例合计不低于基金资产净值的5%，其中现金不包括结算备付金、存出保证金和应收申购款等；基金在任何交易日日终，持有的买入股指期货合约价值，不得超过基金资产净值的10%；基金在任何交易日日终，持有的卖出期货合约价值不得超过基金持有的股票总市值的20%。</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（三）投资策略</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结合宏观经济环境、政策形势、证券市场走势的综合分析，自上而下灵活配置大类资产，精选投资标的，合理确定基金在股票、债券等各类资产类别上的投资比例，同时进行高效的流动性管理，获得稳健投资收益。</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（1）资产配置策略</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分析和判断国内外宏观经济形势的基础上，结合定性分析和定量分析的方法，形成对各大类资产的预测和判断，在基金合同约定的范围内确定债券资产、权益类资产和现金类资产的配置比例，并根据市场运行状况以及各类资产预期表现的相对变化，动态调整大类资产的配置比例，有效控制基金资产运作风险，提</w:t>
      </w:r>
      <w:r>
        <w:rPr>
          <w:rFonts w:ascii="宋体" w:hAnsi="宋体"/>
          <w:sz w:val="24"/>
        </w:rPr>
        <w:lastRenderedPageBreak/>
        <w:t>高基金资产风险调整后收益。</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（2）股票投资策略</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在自上而下的投资分析框架下，结合对行业和企业成长性的基本面研究，把握经济发展和变更中的个股投资机会；同时还将通过对市场氛围和个股价格走势分析，把握组合买卖时机和调整节奏。</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1）行业选择和配置</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采用多因素的定性与定量相结合的分析和预测方法，确定宏观及行业经济变量的变动对不同行业的潜在影响，得出各行业的相对投资价值与投资时机，据此挑选出预期具有良好增长前景的优势行业，把握行业景气轮换带来的投资机会。</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2）个股精选</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本基金在前述行业优选的基础上，根据下述标准挑选出其中具有投资潜力的上市公司构建股票池并从中精选个股，且需满足以下要求：</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 公司未来预期销售收入、主营业务收入、息税前利润等成长性财务指标处于行业前列或高于市场平均水平；</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 公司的市场占有率高于行业平均水平；</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 公司拥有难以为竞争对手模仿的竞争优势，如在资源、技术、人才、资金、经营许可证、销售网络等方面的优势；</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 公司在技术上或商业模式上具有突出的创新，代表行业发展的方向，或直接受益于经济转型；</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⑤ 公司治理结构完善、拥有良好管理团队，具备清晰的公司发展战略，企业经营具备持续成长潜力；</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对上述重点上市公司进行内在价值的评估和成长性跟踪研究，在明确的价值评估基础上精选优秀质地的投资标的构建股票组合。</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3）存托凭证的投资策略</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本基金投资存托凭证的策略依照境内上市交易的股票投资策略执行。</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（3）债券投资策略</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充分发挥基金管理人的研究优势，将规范化的基本面研究、严谨的信用分析与积极主动的投资风格相结合，在分析和判断宏观经济运行状况和金融市场运行趋势的基础上，自上而下决定债券组合久期及债券类属配置；在严谨深入的信用</w:t>
      </w:r>
      <w:r>
        <w:rPr>
          <w:rFonts w:ascii="宋体" w:hAnsi="宋体"/>
          <w:sz w:val="24"/>
        </w:rPr>
        <w:lastRenderedPageBreak/>
        <w:t>分析基础上，综合考量信用债券的信用评级，以及各类债券的流动性、供求关系和收益率水平等，自下而上地精选个券。</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（4）权证投资策略</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以权证的市场价值分析为基础，配以权证定价模型寻求其合理估值水平，以主动的科学投资管理为手段，充分考虑权证资产的收益性、流动性及风险收益特征，通过资产配置、品种与类属选择，追求当期稳定的基金资产收益。</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（5）资产支持证券投资</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资产支持证券将综合运用久期管理、收益率曲线、个券选择和把握市场交易机会等积极策略，在严格控制风险的情况下，通过信用研究和流动性管理，选择风险调整后的收益高的品种进行投资，以期获得长期稳定收益。</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（6）股指期货投资</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参与股指期货投资将根据风险管理的原则，以套期保值为主要目的。本基金将在风险可控的前提下，本着谨慎原则，参与股指期货的投资，以管理投资组合的系统性风险，改善组合的风险收益特性。套期保值将主要采用流动性好、交易活跃的期货合约。本基金在进行股指期货投资时，将通过对证券市场和期货市场运行趋势的研究，并结合股指期货的定价模型寻求其合理的估值水平。</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针对股指期货交易制订严格的授权管理制度和投资决策流程，确保研究分析、投资决策、交易执行及风险控制各环节的独立运作，并明确相关岗位职责。此外，基金管理人建立股指期货交易决策部门或小组，并授权特定的管理人员负责股指期货的投资审批事项。</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（四）投资限制</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（1）组合限制</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1）股票资产（含存托凭证）占基金资产的0%-95%，股票资产按照基金所持有的股票市值以及买入、卖出股指期货合约价值合计（轧差计算)；</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2）保持不低于基金资产净值5％的现金或者到期日在一年以内的政府债券，其中现金不包括结算备付金、存出保证金和应收申购款等；</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3）本基金持有一家公司发行的证券，其市值不超过基金资产净值的10%；</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4）本基金管理人管理的全部基金持有一家公司发行的证券，不超过该证券的10%；</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5）本基金持有的全部权证，其市值不得超过基金资产净值的3%；</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6）本基金管理人管理的全部基金持有的同一权证，不得超过该权证的10%；</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7）本基金在任何交易日买入权证的总金额，不得超过上一交易日基金资产净值的0.5%；</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8）本基金投资于同一原始权益人的各类资产支持证券的比例，不得超过基金资产净值的10%；</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9）本基金持有的全部资产支持证券，其市值不得超过基金资产净值的20%；</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10）本基金持有的同一(指同一信用级别)资产支持证券的比例，不得超过该资产支持证券规模的10%；</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11）本基金管理人管理的全部基金投资于同一原始权益人的各类资产支持证券，不得超过其各类资产支持证券合计规模的10%；</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12）本基金应投资于信用级别评级为BBB以上(含BBB)的资产支持证券。基金持有资产支持证券期间，如果其信用等级下降、不再符合投资标准，应在评级报告发布之日起3个月内予以全部卖出；</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13）基金财产参与股票发行申购，本基金所申报的金额不超过本基金的总资产，本基金所申报的股票数量不超过拟发行股票公司本次发行股票的总量；</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14）本基金进入全国银行间同业市场进行债券回购的资金余额不得超过基金资产净值的40%；债券回购最长期限为1年，债券回购到期后不得展期；</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15）本基金若投资股指期货，则：</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a）本基金在任何交易日日终，持有的买入股指期货合约价值，不得超过基金资产净值的10%；</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本基金在任何交易日日终，持有的买入期货合约价值与有价证券市值之和，不得超过基金资产净值的95%。其中，有价证券指股票、债券（不含到期日在一年以内的政府债券）、权证、资产支持证券、买入返售金融资产（不含质押式回购）等；</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c）本基金在任何交易日日终，持有的卖出期货合约价值不得超过基金持有的股票总市值的20%；</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d）本基金所持有的股票市值和买入、卖出股指期货合约价值，合计（轧差计算）应当符合基金合同关于股票投资比例的有关约定，即占基金资产的0%-95%；</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e）本基金在任何交易日内交易（不包括平仓）的股指期货合约的成交金额不</w:t>
      </w:r>
      <w:r>
        <w:rPr>
          <w:rFonts w:ascii="宋体" w:hAnsi="宋体"/>
          <w:sz w:val="24"/>
        </w:rPr>
        <w:lastRenderedPageBreak/>
        <w:t>得超过上一交易日基金资产净值的20%；</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f）本基金每个交易日日终在扣除股指期货合约需缴纳的交易保证金后，应当保持不低于基金资产净值5%的现金或到期日在一年以内的政府债券，其中现金不包括结算备付金、存出保证金和应收申购款等。</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16）本基金持有其他证券投资基金（不含货币市场基金），其市值不得超过基金资产净值的10%；</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17）本基金的基金资产总值不得超过基金资产净值的140%；</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基金投资流通受限证券，基金管理人应事先根据中国证监会相关规定，与基金托管人在基金托管协议中明确基金投资流通受限证券的比例，根据比例进行投资。基金管理人应制订严格的投资决策流程和风险控制制度，防范流动性风险、法律风险和操作风险等各种风险；</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21）本基金与私募类证券资管产品及中国证监会认定的其他主体为交易对手开展逆回购交易的，可接受质押品的资质要求应当与基金合同约定的投资范围保持一致；</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22）本基金投资存托凭证的比例限制依照境内上市交易的股票执行；</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23）法律法规及中国证监会规定的和《基金合同》约定的其他投资限制。</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自变更之日起不超过3个月的时间区间内为其投资转型期，投资转型期的具体起止日期由基金管理人确定并届时公告。基金管理人应当自投资转型期结束日起次个工作日使本基金的投资组合比例符合基金合同的有关约定。</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2）、12）、15）项第f）目、20）、21）项以外，因证券、期货市场波动、证券发行人合并、基金规模变动、股权分置改革中支付对价等基金管理人之外的因素致使基金投资比例不符合上述规定投资比例的，基金管理人应当在10个交易</w:t>
      </w:r>
      <w:r>
        <w:rPr>
          <w:rFonts w:ascii="宋体" w:hAnsi="宋体"/>
          <w:sz w:val="24"/>
        </w:rPr>
        <w:lastRenderedPageBreak/>
        <w:t>日内进行调整，但中国证监会规定的特殊情形除外。法律法规另有规定的，从其规定。</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（2）禁止行为</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7）法律、行政法规和中国证监会规定禁止的其他活动。</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如法律、行政法规或监管部门取消上述禁止性规定，如适用于本基金，则履行适当程序后本基金投资不再受相关限制。</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（五）业绩比较基准</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沪深300指数收益率×50%+中债综合全价指数收益率×50%</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沪深300指数是沪深证券交易所第一次联合发布的反映A股市场整体走势的指数，由中证指数有限公司编制和维护，是在上海和深圳证券市场中选取300只A股作为样本编制而成。该指数样本对沪深市场的覆盖度高，具有良好的市场代表性，投资者可以方便地从报纸、互联网等财经媒体中获取。沪深300指数引进国际指数编制和管理的经验，编制方法清晰透明，具有独立性和良好的市场流动性；与</w:t>
      </w:r>
      <w:r>
        <w:rPr>
          <w:rFonts w:ascii="宋体" w:hAnsi="宋体"/>
          <w:sz w:val="24"/>
        </w:rPr>
        <w:lastRenderedPageBreak/>
        <w:t>市场整体表现具有较高的相关度，且指数历史表现强于市场平均收益水平，适合作为本基金权益类资产投资的业绩比较基准；</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中债综合全价指数由中央国债登记结算有限责任公司编制并发布，其指数样本涵盖国债、政策性银行债、商业银行债、地方企业债、中期票据以及证券公司短期融资券等各类券种，综合反映了债券市场整体价格和回报情况，是目前市场上较为权威的反映债券市场整体走势的基准指数之一。该指数合理、透明、公开，具有较好的市场接受度，适合作为本基金固定收益类资产投资的业绩比较基准。</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根据本基金的投资范围和投资比例，选用上述业绩比较基准能够客观、合理地反映本基金的风险收益特征。</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上述基准指数停止计算编制或更改名称，或者今后法律法规发生变化，又或者市场推出更具权威、且更能够表征本基金风险收益特征的指数，则基金管理人可与基金托管人协商一致后，调整或变更本基金的业绩比较基准并及时公告，而无需召开基金份额持有人大会。</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（六）风险收益特征</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本基金是一只混合型基金，其风险和预期收益高于债券型基金和货币市场基金，低于股票型基金。</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（七）基金管理人代表基金行使股东及债权人权利的处理原则及方法</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1、基金管理人按照国家有关规定代表基金独立行使股东及债权人权利，保护基金份额持有人的利益；</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2、不谋求对上市公司的控股，不参与所投资上市公司的经营管理；</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3、有利于基金财产的安全与增值；</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4、不通过关联交易为自身、雇员、授权代理人或任何存在利害关系的第三人牟取任何不当利益。</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（八）侧袋机制的实施和投资运作安排</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侧袋机制实施期间，本部分约定的投资组合比例、投资策略、组合限制、业绩比较基准、风险收益特征等约定仅适用于主袋账户。</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侧袋账户的实施条件、实施程序、运作安排、投资安排、特定资产的处置变现</w:t>
      </w:r>
      <w:r>
        <w:rPr>
          <w:rFonts w:ascii="宋体" w:hAnsi="宋体"/>
          <w:sz w:val="24"/>
        </w:rPr>
        <w:lastRenderedPageBreak/>
        <w:t>和支付等对投资者权益有重大影响的事项详见本招募说明书“侧袋机制”部分的规定。</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（九）基金投资组合报告</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基金管理人的董事会及董事保证本报告所载资料不存在虚假记载、误导性陈述或重大遗漏，并对其内容的真实性、准确性和完整性承担个别及连带责任。</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基金托管人中国民生银行股份有限公司根据本基金合同规定，于2026年04月20日复核了本报告中的财务指标、净值表现和投资组合报告等内容，保证复核内容不存在虚假记载、误导性陈述或者重大遗漏。</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本报告期为2026年01月01日至03月31日。本报告财务资料未经审计师审计。</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B50199">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B501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370,845,262.16</w:t>
            </w:r>
          </w:p>
        </w:tc>
        <w:tc>
          <w:tcPr>
            <w:tcW w:w="40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89.91</w:t>
            </w:r>
          </w:p>
        </w:tc>
      </w:tr>
      <w:tr w:rsidR="00B501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370,845,262.16</w:t>
            </w:r>
          </w:p>
        </w:tc>
        <w:tc>
          <w:tcPr>
            <w:tcW w:w="40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89.91</w:t>
            </w:r>
          </w:p>
        </w:tc>
      </w:tr>
      <w:tr w:rsidR="00B501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501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24,042,140.93</w:t>
            </w:r>
          </w:p>
        </w:tc>
        <w:tc>
          <w:tcPr>
            <w:tcW w:w="40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5.83</w:t>
            </w:r>
          </w:p>
        </w:tc>
      </w:tr>
      <w:tr w:rsidR="00B501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24,042,140.93</w:t>
            </w:r>
          </w:p>
        </w:tc>
        <w:tc>
          <w:tcPr>
            <w:tcW w:w="40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5.83</w:t>
            </w:r>
          </w:p>
        </w:tc>
      </w:tr>
      <w:tr w:rsidR="00B501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501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501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501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501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501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15,339,174.52</w:t>
            </w:r>
          </w:p>
        </w:tc>
        <w:tc>
          <w:tcPr>
            <w:tcW w:w="40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3.72</w:t>
            </w:r>
          </w:p>
        </w:tc>
      </w:tr>
      <w:tr w:rsidR="00B501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2,248,572.94</w:t>
            </w:r>
          </w:p>
        </w:tc>
        <w:tc>
          <w:tcPr>
            <w:tcW w:w="40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0.55</w:t>
            </w:r>
          </w:p>
        </w:tc>
      </w:tr>
      <w:tr w:rsidR="00B501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412,475,150.55</w:t>
            </w:r>
          </w:p>
        </w:tc>
        <w:tc>
          <w:tcPr>
            <w:tcW w:w="40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报告期末按行业分类的境内股票投资组合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B50199">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B501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农、林、牧、渔业</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501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采矿业</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22,186,559.05</w:t>
            </w:r>
          </w:p>
        </w:tc>
        <w:tc>
          <w:tcPr>
            <w:tcW w:w="40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5.43</w:t>
            </w:r>
          </w:p>
        </w:tc>
      </w:tr>
      <w:tr w:rsidR="00B501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制造业</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295,471,066.61</w:t>
            </w:r>
          </w:p>
        </w:tc>
        <w:tc>
          <w:tcPr>
            <w:tcW w:w="40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72.32</w:t>
            </w:r>
          </w:p>
        </w:tc>
      </w:tr>
      <w:tr w:rsidR="00B501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电力、热力、燃气及水生产和供应业</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501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E</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建筑业</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501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F</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批发和零售业</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5,183,028.64</w:t>
            </w:r>
          </w:p>
        </w:tc>
        <w:tc>
          <w:tcPr>
            <w:tcW w:w="40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1.27</w:t>
            </w:r>
          </w:p>
        </w:tc>
      </w:tr>
      <w:tr w:rsidR="00B501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G</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交通运输、仓储和邮政业</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1,845.66</w:t>
            </w:r>
          </w:p>
        </w:tc>
        <w:tc>
          <w:tcPr>
            <w:tcW w:w="40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rsidR="00B501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H</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住宿和餐饮业</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501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I</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信息传输、软件和信息技术服务业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41,303,635.90</w:t>
            </w:r>
          </w:p>
        </w:tc>
        <w:tc>
          <w:tcPr>
            <w:tcW w:w="40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10.11</w:t>
            </w:r>
          </w:p>
        </w:tc>
      </w:tr>
      <w:tr w:rsidR="00B501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J</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金融业</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501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K</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房地产业</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501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L</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租赁和商务服务业</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501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M</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科学研究和技术服务业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400,371.30</w:t>
            </w:r>
          </w:p>
        </w:tc>
        <w:tc>
          <w:tcPr>
            <w:tcW w:w="40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0.10</w:t>
            </w:r>
          </w:p>
        </w:tc>
      </w:tr>
      <w:tr w:rsidR="00B501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N</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水利、环境和公共设施管理业</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2,538,000.00</w:t>
            </w:r>
          </w:p>
        </w:tc>
        <w:tc>
          <w:tcPr>
            <w:tcW w:w="40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0.62</w:t>
            </w:r>
          </w:p>
        </w:tc>
      </w:tr>
      <w:tr w:rsidR="00B501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O</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居民服务、修理和其他服务业</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501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P</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教育</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501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Q</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卫生和社会工作</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501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R</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文化、体育和娱乐业</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1,651,875.00</w:t>
            </w:r>
          </w:p>
        </w:tc>
        <w:tc>
          <w:tcPr>
            <w:tcW w:w="40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0.40</w:t>
            </w:r>
          </w:p>
        </w:tc>
      </w:tr>
      <w:tr w:rsidR="00B501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S</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综合</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2,108,880.00</w:t>
            </w:r>
          </w:p>
        </w:tc>
        <w:tc>
          <w:tcPr>
            <w:tcW w:w="40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0.52</w:t>
            </w:r>
          </w:p>
        </w:tc>
      </w:tr>
      <w:tr w:rsidR="00B501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370,845,262.16</w:t>
            </w:r>
          </w:p>
        </w:tc>
        <w:tc>
          <w:tcPr>
            <w:tcW w:w="40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90.77</w:t>
            </w:r>
          </w:p>
        </w:tc>
      </w:tr>
    </w:tbl>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3、期末按公允价值占基金资产净值比例大小排序的股票投资明细</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报告期末按公允价值占基金资产净值比例大小排序的前十名股票投资明细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B50199">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数量（股）</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B501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300502</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新易盛</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36,100</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15,986,524.00</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3.91</w:t>
            </w:r>
          </w:p>
        </w:tc>
      </w:tr>
      <w:tr w:rsidR="00B501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688041</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海光信息</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71,805</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15,097,719.30</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3.70</w:t>
            </w:r>
          </w:p>
        </w:tc>
      </w:tr>
      <w:tr w:rsidR="00B501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300308</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中际旭创</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25,899</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14,747,149.59</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3.61</w:t>
            </w:r>
          </w:p>
        </w:tc>
      </w:tr>
      <w:tr w:rsidR="00B501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300750</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宁德时代</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33,300</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13,376,610.00</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3.27</w:t>
            </w:r>
          </w:p>
        </w:tc>
      </w:tr>
      <w:tr w:rsidR="00B501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300763</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锦浪科技</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125,303</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12,517,769.70</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3.06</w:t>
            </w:r>
          </w:p>
        </w:tc>
      </w:tr>
      <w:tr w:rsidR="00B501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603986</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兆易创新</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52,400</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12,476,440.00</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3.05</w:t>
            </w:r>
          </w:p>
        </w:tc>
      </w:tr>
      <w:tr w:rsidR="00B501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001203</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大中矿业</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295,600</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11,803,308.00</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2.89</w:t>
            </w:r>
          </w:p>
        </w:tc>
      </w:tr>
      <w:tr w:rsidR="00B501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300751</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迈为股份</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48,100</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11,000,470.00</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2.69</w:t>
            </w:r>
          </w:p>
        </w:tc>
      </w:tr>
      <w:tr w:rsidR="00B501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002150</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正泰电源</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328,800</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10,455,840.00</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2.56</w:t>
            </w:r>
          </w:p>
        </w:tc>
      </w:tr>
      <w:tr w:rsidR="00B501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603061</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金海通</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37,800</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10,218,474.00</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2.50</w:t>
            </w:r>
          </w:p>
        </w:tc>
      </w:tr>
    </w:tbl>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4、报告期末按债券品种分类的债券投资组合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B50199">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B501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24,042,140.93</w:t>
            </w:r>
          </w:p>
        </w:tc>
        <w:tc>
          <w:tcPr>
            <w:tcW w:w="40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5.88</w:t>
            </w:r>
          </w:p>
        </w:tc>
      </w:tr>
      <w:tr w:rsidR="00B501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501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501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501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501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501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501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501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501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501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24,042,140.93</w:t>
            </w:r>
          </w:p>
        </w:tc>
        <w:tc>
          <w:tcPr>
            <w:tcW w:w="40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5.88</w:t>
            </w:r>
          </w:p>
        </w:tc>
      </w:tr>
    </w:tbl>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B50199">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B501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019785</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国债</w:t>
            </w: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196,000</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19,786,387.94</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4.84</w:t>
            </w:r>
          </w:p>
        </w:tc>
      </w:tr>
      <w:tr w:rsidR="00B501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019773</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国债</w:t>
            </w:r>
            <w:r>
              <w:rPr>
                <w:rFonts w:ascii="Times New Roman" w:hAnsi="Times New Roman"/>
                <w:color w:val="000000"/>
                <w:kern w:val="0"/>
                <w:sz w:val="25"/>
                <w:szCs w:val="24"/>
              </w:rPr>
              <w:t>08</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42,000</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4,255,752.99</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1.04</w:t>
            </w:r>
          </w:p>
        </w:tc>
      </w:tr>
    </w:tbl>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6、报告期末按公允价值占基金资产净值比例大小排序的前十名资产支持证券投资明细</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7、报告期末按公允价值占基金资产净值比例大小排序的前五名贵金属投资明细</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9、报告期末本基金投资的股指期货交易情况说明</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报告期末本基金投资的股指期货持仓和损益明细</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本基金投资股指期货的投资政策</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10、报告期末本基金投资的国债期货交易情况说明</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本期国债期货投资政策</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无。</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报告期末本基金投资的国债期货持仓和损益明细</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本期国债期货投资评价</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11、投资组合报告附注</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11.1 本基金投资的前十名证券的发行主体本期是否出现被监管部门立案调查，或在报告编制日前一年内受到公开谴责、处罚的情形</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报告期内本基金投资的前十名证券的发行主体未被监管部门立案调查，在本报告编制日前一年内本基金投资的前十名证券的发行主体未受到公开谴责和处罚。</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11.2 基金投资的前十名股票是否超出基金合同规定的备选股票库</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B50199">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B501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607,586.83</w:t>
            </w:r>
          </w:p>
        </w:tc>
      </w:tr>
      <w:tr w:rsidR="00B501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1,534,320.55</w:t>
            </w:r>
          </w:p>
        </w:tc>
      </w:tr>
      <w:tr w:rsidR="00B501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501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501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106,665.56</w:t>
            </w:r>
          </w:p>
        </w:tc>
      </w:tr>
      <w:tr w:rsidR="00B501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501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501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right"/>
              <w:rPr>
                <w:rFonts w:ascii="宋体" w:hAnsi="宋体"/>
                <w:color w:val="000000"/>
                <w:kern w:val="0"/>
                <w:sz w:val="25"/>
                <w:szCs w:val="24"/>
              </w:rPr>
            </w:pPr>
            <w:r>
              <w:rPr>
                <w:rFonts w:ascii="Times New Roman" w:hAnsi="Times New Roman"/>
                <w:color w:val="000000"/>
                <w:kern w:val="0"/>
                <w:sz w:val="25"/>
                <w:szCs w:val="24"/>
              </w:rPr>
              <w:t>2,248,572.94</w:t>
            </w:r>
          </w:p>
        </w:tc>
      </w:tr>
    </w:tbl>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11.4 报告期末持有的处于转股期的可转换债券明细</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11.5 报告期末前十名股票中存在流通受限情况的说明</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11.6 投资组合报告附注的其他文字描述部分</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834EC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50199" w:rsidRDefault="00834ECC">
      <w:pPr>
        <w:pStyle w:val="1"/>
        <w:snapToGrid w:val="0"/>
        <w:spacing w:beforeLines="0" w:before="240" w:after="240"/>
        <w:rPr>
          <w:rFonts w:ascii="宋体" w:hAnsi="宋体"/>
          <w:szCs w:val="30"/>
        </w:rPr>
      </w:pPr>
      <w:bookmarkStart w:id="13" w:name="_Toc234247836"/>
      <w:r>
        <w:rPr>
          <w:rFonts w:ascii="Times New Roman" w:hAnsi="Times New Roman"/>
          <w:sz w:val="30"/>
        </w:rPr>
        <w:lastRenderedPageBreak/>
        <w:t>十、基金的业绩</w:t>
      </w:r>
      <w:bookmarkEnd w:id="13"/>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基金业绩截止日为2026年03月31日，所载财务数据未经审计师审计。</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下述基金业绩指标不包括持有人认购或交易基金的各项费用，计入费用后实际收益水平要低于所列数字。</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1、基金份额净值增长率及其与同期业绩比较基准收益率的比较</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 交银施罗德荣鑫灵活配置混合型证券投资基金A</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B5019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B5019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-12.89%</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1.60%</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-1.76%</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0.48%</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-11.13%</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1.12%</w:t>
            </w:r>
          </w:p>
        </w:tc>
      </w:tr>
      <w:tr w:rsidR="00B5019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112.16%</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2.13%</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7.94%</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0.47%</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104.22%</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1.66%</w:t>
            </w:r>
          </w:p>
        </w:tc>
      </w:tr>
      <w:tr w:rsidR="00B5019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6.15%</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0.68%</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10.35%</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0.66%</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-4.20%</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rsidR="00B5019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-2.81%</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0.31%</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-4.68%</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0.42%</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1.87%</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r>
      <w:tr w:rsidR="00B5019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-1.71%</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0.27%</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-10.80%</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0.64%</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9.09%</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-0.37%</w:t>
            </w:r>
          </w:p>
        </w:tc>
      </w:tr>
      <w:tr w:rsidR="00B5019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8.70%</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0.22%</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-1.21%</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0.59%</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9.91%</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-0.37%</w:t>
            </w:r>
          </w:p>
        </w:tc>
      </w:tr>
      <w:tr w:rsidR="00B5019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14.08%</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0.29%</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13.50%</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0.70%</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0.58%</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-0.41%</w:t>
            </w:r>
          </w:p>
        </w:tc>
      </w:tr>
      <w:tr w:rsidR="00B5019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2019</w:t>
            </w:r>
            <w:r>
              <w:rPr>
                <w:rFonts w:ascii="Times New Roman" w:hAnsi="Times New Roman"/>
                <w:color w:val="000000"/>
                <w:kern w:val="0"/>
                <w:sz w:val="25"/>
                <w:szCs w:val="24"/>
              </w:rPr>
              <w:t>年度（自基金转型日起至</w:t>
            </w:r>
            <w:r>
              <w:rPr>
                <w:rFonts w:ascii="Times New Roman" w:hAnsi="Times New Roman"/>
                <w:color w:val="000000"/>
                <w:kern w:val="0"/>
                <w:sz w:val="25"/>
                <w:szCs w:val="24"/>
              </w:rPr>
              <w:t>2019</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3.17%</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0.23%</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5.60%</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0.57%</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-2.43%</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-0.34%</w:t>
            </w:r>
          </w:p>
        </w:tc>
      </w:tr>
    </w:tbl>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(2)交银施罗德荣鑫灵活配置混合型证券投资基金C</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B5019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B5019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-12.91%</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1.60%</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-1.76%</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0.48%</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-11.15%</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1.12%</w:t>
            </w:r>
          </w:p>
        </w:tc>
      </w:tr>
      <w:tr w:rsidR="00B5019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111.95%</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2.13%</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7.94%</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0.47%</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104.01%</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1.66%</w:t>
            </w:r>
          </w:p>
        </w:tc>
      </w:tr>
      <w:tr w:rsidR="00B5019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6.03%</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0.68%</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10.35%</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0.66%</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-4.32%</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rsidR="00B5019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2023</w:t>
            </w:r>
            <w:r>
              <w:rPr>
                <w:rFonts w:ascii="Times New Roman" w:hAnsi="Times New Roman"/>
                <w:color w:val="000000"/>
                <w:kern w:val="0"/>
                <w:sz w:val="25"/>
                <w:szCs w:val="24"/>
              </w:rPr>
              <w:t>年度（自基金份额类别首次确认起至</w:t>
            </w:r>
            <w:r>
              <w:rPr>
                <w:rFonts w:ascii="Times New Roman" w:hAnsi="Times New Roman"/>
                <w:color w:val="000000"/>
                <w:kern w:val="0"/>
                <w:sz w:val="25"/>
                <w:szCs w:val="24"/>
              </w:rPr>
              <w:t>2023</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-0.19%</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0.25%</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-3.45%</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0.39%</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3.26%</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-0.14%</w:t>
            </w:r>
          </w:p>
        </w:tc>
      </w:tr>
    </w:tbl>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交银施罗德荣鑫保本混合型证券投资基金从2019年3月29日起正式转型为交银施罗德荣鑫灵活配置混合型证券投资基金，本表列示的是本报告期基金转型后的基金净值表现，转型后基金的业绩比较基准为沪深300指数收益率×50%+中债综合全价指数收益率×50%，每日进行再平衡过程。</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 交银施罗德荣鑫保本混合型证券投资基金</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B5019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份额净值增长率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份额净值增长率标准差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w:t>
            </w:r>
            <w:r>
              <w:rPr>
                <w:rFonts w:ascii="Times New Roman" w:hAnsi="Times New Roman"/>
                <w:color w:val="000000"/>
                <w:kern w:val="0"/>
                <w:sz w:val="25"/>
                <w:szCs w:val="24"/>
              </w:rPr>
              <w:t>－</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w:t>
            </w:r>
            <w:r>
              <w:rPr>
                <w:rFonts w:ascii="Times New Roman" w:hAnsi="Times New Roman"/>
                <w:color w:val="000000"/>
                <w:kern w:val="0"/>
                <w:sz w:val="25"/>
                <w:szCs w:val="24"/>
              </w:rPr>
              <w:t>－</w:t>
            </w:r>
            <w:r>
              <w:rPr>
                <w:rFonts w:ascii="Times New Roman" w:hAnsi="Times New Roman"/>
                <w:color w:val="000000"/>
                <w:kern w:val="0"/>
                <w:sz w:val="25"/>
                <w:szCs w:val="24"/>
              </w:rPr>
              <w:t>④</w:t>
            </w:r>
          </w:p>
        </w:tc>
      </w:tr>
      <w:tr w:rsidR="00B5019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2019</w:t>
            </w:r>
            <w:r>
              <w:rPr>
                <w:rFonts w:ascii="Times New Roman" w:hAnsi="Times New Roman"/>
                <w:color w:val="000000"/>
                <w:kern w:val="0"/>
                <w:sz w:val="25"/>
                <w:szCs w:val="24"/>
              </w:rPr>
              <w:t>年</w:t>
            </w:r>
            <w:r>
              <w:rPr>
                <w:rFonts w:ascii="Times New Roman" w:hAnsi="Times New Roman"/>
                <w:color w:val="000000"/>
                <w:kern w:val="0"/>
                <w:sz w:val="25"/>
                <w:szCs w:val="24"/>
              </w:rPr>
              <w:t>1</w:t>
            </w:r>
            <w:r>
              <w:rPr>
                <w:rFonts w:ascii="Times New Roman" w:hAnsi="Times New Roman"/>
                <w:color w:val="000000"/>
                <w:kern w:val="0"/>
                <w:sz w:val="25"/>
                <w:szCs w:val="24"/>
              </w:rPr>
              <w:t>月</w:t>
            </w:r>
            <w:r>
              <w:rPr>
                <w:rFonts w:ascii="Times New Roman" w:hAnsi="Times New Roman"/>
                <w:color w:val="000000"/>
                <w:kern w:val="0"/>
                <w:sz w:val="25"/>
                <w:szCs w:val="24"/>
              </w:rPr>
              <w:t>1</w:t>
            </w:r>
            <w:r>
              <w:rPr>
                <w:rFonts w:ascii="Times New Roman" w:hAnsi="Times New Roman"/>
                <w:color w:val="000000"/>
                <w:kern w:val="0"/>
                <w:sz w:val="25"/>
                <w:szCs w:val="24"/>
              </w:rPr>
              <w:t>日至</w:t>
            </w:r>
            <w:r>
              <w:rPr>
                <w:rFonts w:ascii="Times New Roman" w:hAnsi="Times New Roman"/>
                <w:color w:val="000000"/>
                <w:kern w:val="0"/>
                <w:sz w:val="25"/>
                <w:szCs w:val="24"/>
              </w:rPr>
              <w:t>2019</w:t>
            </w:r>
            <w:r>
              <w:rPr>
                <w:rFonts w:ascii="Times New Roman" w:hAnsi="Times New Roman"/>
                <w:color w:val="000000"/>
                <w:kern w:val="0"/>
                <w:sz w:val="25"/>
                <w:szCs w:val="24"/>
              </w:rPr>
              <w:t>年</w:t>
            </w:r>
            <w:r>
              <w:rPr>
                <w:rFonts w:ascii="Times New Roman" w:hAnsi="Times New Roman"/>
                <w:color w:val="000000"/>
                <w:kern w:val="0"/>
                <w:sz w:val="25"/>
                <w:szCs w:val="24"/>
              </w:rPr>
              <w:t>3</w:t>
            </w:r>
            <w:r>
              <w:rPr>
                <w:rFonts w:ascii="Times New Roman" w:hAnsi="Times New Roman"/>
                <w:color w:val="000000"/>
                <w:kern w:val="0"/>
                <w:sz w:val="25"/>
                <w:szCs w:val="24"/>
              </w:rPr>
              <w:t>月</w:t>
            </w:r>
            <w:r>
              <w:rPr>
                <w:rFonts w:ascii="Times New Roman" w:hAnsi="Times New Roman"/>
                <w:color w:val="000000"/>
                <w:kern w:val="0"/>
                <w:sz w:val="25"/>
                <w:szCs w:val="24"/>
              </w:rPr>
              <w:t>28</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0.37%</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0.66%</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-0.29%</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rsidR="00B5019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2018</w:t>
            </w:r>
            <w:r>
              <w:rPr>
                <w:rFonts w:ascii="Times New Roman" w:hAnsi="Times New Roman"/>
                <w:color w:val="000000"/>
                <w:kern w:val="0"/>
                <w:sz w:val="25"/>
                <w:szCs w:val="24"/>
              </w:rPr>
              <w:t>年</w:t>
            </w:r>
            <w:r>
              <w:rPr>
                <w:rFonts w:ascii="Times New Roman" w:hAnsi="Times New Roman"/>
                <w:color w:val="000000"/>
                <w:kern w:val="0"/>
                <w:sz w:val="25"/>
                <w:szCs w:val="24"/>
              </w:rPr>
              <w:t>10</w:t>
            </w:r>
            <w:r>
              <w:rPr>
                <w:rFonts w:ascii="Times New Roman" w:hAnsi="Times New Roman"/>
                <w:color w:val="000000"/>
                <w:kern w:val="0"/>
                <w:sz w:val="25"/>
                <w:szCs w:val="24"/>
              </w:rPr>
              <w:t>月</w:t>
            </w:r>
            <w:r>
              <w:rPr>
                <w:rFonts w:ascii="Times New Roman" w:hAnsi="Times New Roman"/>
                <w:color w:val="000000"/>
                <w:kern w:val="0"/>
                <w:sz w:val="25"/>
                <w:szCs w:val="24"/>
              </w:rPr>
              <w:t>1</w:t>
            </w:r>
            <w:r>
              <w:rPr>
                <w:rFonts w:ascii="Times New Roman" w:hAnsi="Times New Roman"/>
                <w:color w:val="000000"/>
                <w:kern w:val="0"/>
                <w:sz w:val="25"/>
                <w:szCs w:val="24"/>
              </w:rPr>
              <w:t>日至</w:t>
            </w:r>
            <w:r>
              <w:rPr>
                <w:rFonts w:ascii="Times New Roman" w:hAnsi="Times New Roman"/>
                <w:color w:val="000000"/>
                <w:kern w:val="0"/>
                <w:sz w:val="25"/>
                <w:szCs w:val="24"/>
              </w:rPr>
              <w:t>2019</w:t>
            </w:r>
            <w:r>
              <w:rPr>
                <w:rFonts w:ascii="Times New Roman" w:hAnsi="Times New Roman"/>
                <w:color w:val="000000"/>
                <w:kern w:val="0"/>
                <w:sz w:val="25"/>
                <w:szCs w:val="24"/>
              </w:rPr>
              <w:t>年</w:t>
            </w:r>
            <w:r>
              <w:rPr>
                <w:rFonts w:ascii="Times New Roman" w:hAnsi="Times New Roman"/>
                <w:color w:val="000000"/>
                <w:kern w:val="0"/>
                <w:sz w:val="25"/>
                <w:szCs w:val="24"/>
              </w:rPr>
              <w:t>3</w:t>
            </w:r>
            <w:r>
              <w:rPr>
                <w:rFonts w:ascii="Times New Roman" w:hAnsi="Times New Roman"/>
                <w:color w:val="000000"/>
                <w:kern w:val="0"/>
                <w:sz w:val="25"/>
                <w:szCs w:val="24"/>
              </w:rPr>
              <w:t>月</w:t>
            </w:r>
            <w:r>
              <w:rPr>
                <w:rFonts w:ascii="Times New Roman" w:hAnsi="Times New Roman"/>
                <w:color w:val="000000"/>
                <w:kern w:val="0"/>
                <w:sz w:val="25"/>
                <w:szCs w:val="24"/>
              </w:rPr>
              <w:t>28</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0.85%</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1.37%</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-0.52%</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r>
      <w:tr w:rsidR="00B5019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2018</w:t>
            </w:r>
            <w:r>
              <w:rPr>
                <w:rFonts w:ascii="Times New Roman" w:hAnsi="Times New Roman"/>
                <w:color w:val="000000"/>
                <w:kern w:val="0"/>
                <w:sz w:val="25"/>
                <w:szCs w:val="24"/>
              </w:rPr>
              <w:t>年</w:t>
            </w:r>
            <w:r>
              <w:rPr>
                <w:rFonts w:ascii="Times New Roman" w:hAnsi="Times New Roman"/>
                <w:color w:val="000000"/>
                <w:kern w:val="0"/>
                <w:sz w:val="25"/>
                <w:szCs w:val="24"/>
              </w:rPr>
              <w:t>4</w:t>
            </w:r>
            <w:r>
              <w:rPr>
                <w:rFonts w:ascii="Times New Roman" w:hAnsi="Times New Roman"/>
                <w:color w:val="000000"/>
                <w:kern w:val="0"/>
                <w:sz w:val="25"/>
                <w:szCs w:val="24"/>
              </w:rPr>
              <w:t>月</w:t>
            </w:r>
            <w:r>
              <w:rPr>
                <w:rFonts w:ascii="Times New Roman" w:hAnsi="Times New Roman"/>
                <w:color w:val="000000"/>
                <w:kern w:val="0"/>
                <w:sz w:val="25"/>
                <w:szCs w:val="24"/>
              </w:rPr>
              <w:t>1</w:t>
            </w:r>
            <w:r>
              <w:rPr>
                <w:rFonts w:ascii="Times New Roman" w:hAnsi="Times New Roman"/>
                <w:color w:val="000000"/>
                <w:kern w:val="0"/>
                <w:sz w:val="25"/>
                <w:szCs w:val="24"/>
              </w:rPr>
              <w:t>日至</w:t>
            </w:r>
            <w:r>
              <w:rPr>
                <w:rFonts w:ascii="Times New Roman" w:hAnsi="Times New Roman"/>
                <w:color w:val="000000"/>
                <w:kern w:val="0"/>
                <w:sz w:val="25"/>
                <w:szCs w:val="24"/>
              </w:rPr>
              <w:t>2019</w:t>
            </w:r>
            <w:r>
              <w:rPr>
                <w:rFonts w:ascii="Times New Roman" w:hAnsi="Times New Roman"/>
                <w:color w:val="000000"/>
                <w:kern w:val="0"/>
                <w:sz w:val="25"/>
                <w:szCs w:val="24"/>
              </w:rPr>
              <w:t>年</w:t>
            </w:r>
            <w:r>
              <w:rPr>
                <w:rFonts w:ascii="Times New Roman" w:hAnsi="Times New Roman"/>
                <w:color w:val="000000"/>
                <w:kern w:val="0"/>
                <w:sz w:val="25"/>
                <w:szCs w:val="24"/>
              </w:rPr>
              <w:t>3</w:t>
            </w:r>
            <w:r>
              <w:rPr>
                <w:rFonts w:ascii="Times New Roman" w:hAnsi="Times New Roman"/>
                <w:color w:val="000000"/>
                <w:kern w:val="0"/>
                <w:sz w:val="25"/>
                <w:szCs w:val="24"/>
              </w:rPr>
              <w:t>月</w:t>
            </w:r>
            <w:r>
              <w:rPr>
                <w:rFonts w:ascii="Times New Roman" w:hAnsi="Times New Roman"/>
                <w:color w:val="000000"/>
                <w:kern w:val="0"/>
                <w:sz w:val="25"/>
                <w:szCs w:val="24"/>
              </w:rPr>
              <w:t>28</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3.67%</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2.77%</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0.90%</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r>
      <w:tr w:rsidR="00B5019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2016</w:t>
            </w:r>
            <w:r>
              <w:rPr>
                <w:rFonts w:ascii="Times New Roman" w:hAnsi="Times New Roman"/>
                <w:color w:val="000000"/>
                <w:kern w:val="0"/>
                <w:sz w:val="25"/>
                <w:szCs w:val="24"/>
              </w:rPr>
              <w:t>年</w:t>
            </w:r>
            <w:r>
              <w:rPr>
                <w:rFonts w:ascii="Times New Roman" w:hAnsi="Times New Roman"/>
                <w:color w:val="000000"/>
                <w:kern w:val="0"/>
                <w:sz w:val="25"/>
                <w:szCs w:val="24"/>
              </w:rPr>
              <w:t>4</w:t>
            </w:r>
            <w:r>
              <w:rPr>
                <w:rFonts w:ascii="Times New Roman" w:hAnsi="Times New Roman"/>
                <w:color w:val="000000"/>
                <w:kern w:val="0"/>
                <w:sz w:val="25"/>
                <w:szCs w:val="24"/>
              </w:rPr>
              <w:t>月</w:t>
            </w:r>
            <w:r>
              <w:rPr>
                <w:rFonts w:ascii="Times New Roman" w:hAnsi="Times New Roman"/>
                <w:color w:val="000000"/>
                <w:kern w:val="0"/>
                <w:sz w:val="25"/>
                <w:szCs w:val="24"/>
              </w:rPr>
              <w:t>1</w:t>
            </w:r>
            <w:r>
              <w:rPr>
                <w:rFonts w:ascii="Times New Roman" w:hAnsi="Times New Roman"/>
                <w:color w:val="000000"/>
                <w:kern w:val="0"/>
                <w:sz w:val="25"/>
                <w:szCs w:val="24"/>
              </w:rPr>
              <w:t>日至</w:t>
            </w:r>
            <w:r>
              <w:rPr>
                <w:rFonts w:ascii="Times New Roman" w:hAnsi="Times New Roman"/>
                <w:color w:val="000000"/>
                <w:kern w:val="0"/>
                <w:sz w:val="25"/>
                <w:szCs w:val="24"/>
              </w:rPr>
              <w:t>2019</w:t>
            </w:r>
            <w:r>
              <w:rPr>
                <w:rFonts w:ascii="Times New Roman" w:hAnsi="Times New Roman"/>
                <w:color w:val="000000"/>
                <w:kern w:val="0"/>
                <w:sz w:val="25"/>
                <w:szCs w:val="24"/>
              </w:rPr>
              <w:t>年</w:t>
            </w:r>
            <w:r>
              <w:rPr>
                <w:rFonts w:ascii="Times New Roman" w:hAnsi="Times New Roman"/>
                <w:color w:val="000000"/>
                <w:kern w:val="0"/>
                <w:sz w:val="25"/>
                <w:szCs w:val="24"/>
              </w:rPr>
              <w:t>3</w:t>
            </w:r>
            <w:r>
              <w:rPr>
                <w:rFonts w:ascii="Times New Roman" w:hAnsi="Times New Roman"/>
                <w:color w:val="000000"/>
                <w:kern w:val="0"/>
                <w:sz w:val="25"/>
                <w:szCs w:val="24"/>
              </w:rPr>
              <w:t>月</w:t>
            </w:r>
            <w:r>
              <w:rPr>
                <w:rFonts w:ascii="Times New Roman" w:hAnsi="Times New Roman"/>
                <w:color w:val="000000"/>
                <w:kern w:val="0"/>
                <w:sz w:val="25"/>
                <w:szCs w:val="24"/>
              </w:rPr>
              <w:t>28</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7.40%</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8.34%</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-0.94%</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r>
      <w:tr w:rsidR="00B5019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自基金合同生效起至</w:t>
            </w:r>
            <w:r>
              <w:rPr>
                <w:rFonts w:ascii="Times New Roman" w:hAnsi="Times New Roman"/>
                <w:color w:val="000000"/>
                <w:kern w:val="0"/>
                <w:sz w:val="25"/>
                <w:szCs w:val="24"/>
              </w:rPr>
              <w:t>2019</w:t>
            </w:r>
            <w:r>
              <w:rPr>
                <w:rFonts w:ascii="Times New Roman" w:hAnsi="Times New Roman"/>
                <w:color w:val="000000"/>
                <w:kern w:val="0"/>
                <w:sz w:val="25"/>
                <w:szCs w:val="24"/>
              </w:rPr>
              <w:t>年</w:t>
            </w:r>
            <w:r>
              <w:rPr>
                <w:rFonts w:ascii="Times New Roman" w:hAnsi="Times New Roman"/>
                <w:color w:val="000000"/>
                <w:kern w:val="0"/>
                <w:sz w:val="25"/>
                <w:szCs w:val="24"/>
              </w:rPr>
              <w:t>3</w:t>
            </w:r>
            <w:r>
              <w:rPr>
                <w:rFonts w:ascii="Times New Roman" w:hAnsi="Times New Roman"/>
                <w:color w:val="000000"/>
                <w:kern w:val="0"/>
                <w:sz w:val="25"/>
                <w:szCs w:val="24"/>
              </w:rPr>
              <w:t>月</w:t>
            </w:r>
            <w:r>
              <w:rPr>
                <w:rFonts w:ascii="Times New Roman" w:hAnsi="Times New Roman"/>
                <w:color w:val="000000"/>
                <w:kern w:val="0"/>
                <w:sz w:val="25"/>
                <w:szCs w:val="24"/>
              </w:rPr>
              <w:t>28</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7.40%</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8.40%</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r>
    </w:tbl>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交银施罗德荣鑫保本混合型证券投资基金从2019年3月29日起正式转型为交银施罗德荣鑫灵活配置混合型证券投资基金，本表列示的是本报告期基金转型前的基金净值表现，转型前基金的业绩比较基准为三年期银行定期存款税后收益率。</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（1）自基金转型以来基金份额累计净值增长率变动及其与同期业绩比较基准收益率变动的比较</w:t>
      </w:r>
    </w:p>
    <w:p w:rsidR="00B50199" w:rsidRDefault="00834ECC">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交银施罗德荣鑫灵活配置混合型证券投资基金</w:t>
      </w:r>
    </w:p>
    <w:p w:rsidR="00B50199" w:rsidRDefault="00834ECC">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份额累计净值增长率与业绩比较基准收益率历史走势对比图</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（2019年3月29日至2026年03月31日）</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交银施罗德荣鑫灵活配置混合型证券投资基金A</w:t>
      </w:r>
    </w:p>
    <w:p w:rsidR="00B50199" w:rsidRDefault="00DF7AE8">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268.5pt">
            <v:imagedata r:id="rId15" o:title="1521256610242020828"/>
          </v:shape>
        </w:pic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交银施罗德荣鑫灵活配置混合型证券投资基金C</w:t>
      </w:r>
    </w:p>
    <w:p w:rsidR="00B50199" w:rsidRDefault="00DF7AE8">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 id="_x0000_i1026" type="#_x0000_t75" style="width:439.5pt;height:268.5pt">
            <v:imagedata r:id="rId16" o:title="1521256610242020828"/>
          </v:shape>
        </w:pic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注：1、本基金由交银施罗德荣鑫保本混合型证券投资基金转型而来。基金转型日为2019年3月29日。本基金的投资转型期为交银施罗德荣鑫保本混合型证券投资基金保本周期到期期间截止日的次日（即2019年3月29日）起的3个月。截至投资转型期结束，本基金各项资产配置比例符合基金合同及招募说明书有关投资比例的约定。　　</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2、本基金自2023年9月15日起，开始销售C类份额，投资者提交的申购申请于2023年9月18日被确认并将有效份额登记在册。　　</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B50199" w:rsidRDefault="00834ECC">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交银施罗德荣鑫保本混合型证券投资基金</w:t>
      </w:r>
    </w:p>
    <w:p w:rsidR="00B50199" w:rsidRDefault="00834ECC">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份额累计净值增长率与业绩比较基准收益率历史走势对比图</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（2016年3月25日至2019年3月28日）</w:t>
      </w:r>
    </w:p>
    <w:p w:rsidR="00B50199" w:rsidRDefault="00DF7AE8">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 id="_x0000_i1027" type="#_x0000_t75" style="width:439.5pt;height:268.5pt">
            <v:imagedata r:id="rId17" o:title="1521256610242020828"/>
          </v:shape>
        </w:pic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注：本基金建仓期为自基金合同生效日起的6个月。截至建仓期结束，本基金各项资产配置比例符合基金合同及招募说明书有关投资比例的约定。</w:t>
      </w:r>
    </w:p>
    <w:p w:rsidR="00B439CC" w:rsidRDefault="00834EC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50199" w:rsidRDefault="00834ECC">
      <w:pPr>
        <w:pStyle w:val="1"/>
        <w:snapToGrid w:val="0"/>
        <w:spacing w:beforeLines="0" w:before="240" w:after="240"/>
        <w:rPr>
          <w:rFonts w:ascii="宋体" w:hAnsi="宋体"/>
          <w:szCs w:val="30"/>
        </w:rPr>
      </w:pPr>
      <w:bookmarkStart w:id="14" w:name="_Toc234247837"/>
      <w:r>
        <w:rPr>
          <w:rFonts w:ascii="Times New Roman" w:hAnsi="Times New Roman"/>
          <w:sz w:val="30"/>
        </w:rPr>
        <w:lastRenderedPageBreak/>
        <w:t>十一、基金的财产</w:t>
      </w:r>
      <w:bookmarkEnd w:id="14"/>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（一）基金资产总值</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基金资产总值是指基金拥有的各类有价证券、股指期货合约、银行存款本息、基金应收申购款及其他资产的价值总和。</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（二）基金资产净值</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（三）基金财产的账户</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（四）基金财产的保管和处分</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w:t>
      </w:r>
    </w:p>
    <w:p w:rsidR="00B439CC" w:rsidRDefault="00834EC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50199" w:rsidRDefault="00834ECC">
      <w:pPr>
        <w:pStyle w:val="1"/>
        <w:snapToGrid w:val="0"/>
        <w:spacing w:beforeLines="0" w:before="240" w:after="240"/>
        <w:rPr>
          <w:rFonts w:ascii="宋体" w:hAnsi="宋体"/>
          <w:szCs w:val="30"/>
        </w:rPr>
      </w:pPr>
      <w:bookmarkStart w:id="15" w:name="_Toc234247838"/>
      <w:r>
        <w:rPr>
          <w:rFonts w:ascii="Times New Roman" w:hAnsi="Times New Roman"/>
          <w:sz w:val="30"/>
        </w:rPr>
        <w:lastRenderedPageBreak/>
        <w:t>十二、基金资产的估值</w:t>
      </w:r>
      <w:bookmarkEnd w:id="15"/>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（一）估值日</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（二）估值对象</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基金所拥有的股票、债券、衍生工具和其它投资等持续以公允价值计量的金融资产及负债。</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（三）估值方法</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1、证券交易所上市的有价证券的估值</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易所上市的有价证券（包括股票、权证等，另有规定的除外），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（2）交易所市场上市交易或挂牌转让的固定收益品种（另有规定的除外），选取第三方估值机构提供的相应品种当日的估值净价进行估值；</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（3）交易所市场上市交易的可转换债券，按估值日收盘价减去可转换债券收盘价中所含债券应收利息后得到的净价进行估值；</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（4）交易所市场挂牌转让的资产支持证券和私募债券，采用估值技术确定公允价值。</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2、证券交易所发行未上市期间的有价证券应区分如下情况处理：</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（1）送股、转增股、配股和公开增发的新股，按估值日在证券交易所挂牌的同一股票的估值方法估值；</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（2）首次公开发行未上市的股票和权证，采用估值技术确定公允价值；</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（3）首次公开发行有明确锁定期的股票，同一股票在交易所上市后，按交易所上市的同一股票的估值方法估值；非公开发行有明确锁定期的股票，按监管机构或行业协会有关规定确定公允价值。</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（4）交易所市场发行未上市或未挂牌转让的债券，采用估值技术确定公允价</w:t>
      </w:r>
      <w:r>
        <w:rPr>
          <w:rFonts w:ascii="宋体" w:hAnsi="宋体"/>
          <w:sz w:val="24"/>
        </w:rPr>
        <w:lastRenderedPageBreak/>
        <w:t>值。</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3、银行间市场上市交易的固定收益品种，选取第三方估值机构提供的相应品种当日的估值净价进行估值。银行间市场发行未上市的固定收益品种，采用估值技术确定公允价值。</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4、本基金投资股指期货合约，一般以估值当日结算价进行估值，估值当日无结算价的，且最近交易日后经济环境未发生重大变化的，采用最近交易日结算价估值。</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5、如有确凿证据表明按上述方法进行估值不能客观反映其公允价值的，基金管理人可根据具体情况与基金托管人商定后，按最能反映公允价值的方法估值。</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6、本基金投资存托凭证的估值核算依照境内上市交易的股票执行。</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7、相关法律法规以及监管部门有强制规定的，从其规定。如有新增事项，按法律法规以及监管部门最新规定估值。</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由此给基金份额持有人和基金财产造成的损失，由基金管理人负责赔付。</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（四）估值程序</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1、各类基金份额的基金份额净值是按照每个工作日闭市后，该类基金份额的基金资产净值除以当日该类基金份额的余额数量计算，均精确到0.0001元，小数点后第五位四舍五入。国家另有规定的，从其规定。</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基金管理人于每个工作日计算各类基金份额的基金资产净值及基金份额净值，并按规定公告。如遇特殊情况，经中国证监会同意，可以适当延迟计算或公告。</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依据基金合同和相关法律法规的规定对外公布。</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（五）估值错误的处理</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基金管理人和基金托管人将采取必要、适当、合理的措施确保基金资产估值的准确性、及时性。当基金份额净值小数点后第4位以内（含第4位) 发生估值错误时，视为基金份额净值错误。</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一方当事人提供的信息错误，另一方当事人在采取了必要合理的措施后仍不能发现该错误，进而导致基金资产净值计算错误造成投资人或基金的损失，以及由此造成以后交易日基金资产净值计算顺延错误而引起的投资人或基金的损失，由提供错误信息的当事人一方负责赔偿。</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基金合同的当事人应按照以下约定处理：</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 的直接损失按下述“估值错误处理原则”给予赔偿，承担赔偿责任。</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对于因技术原因引起的差错，若系同行业现有技术水平无法预见、无法避免、无法抗拒，则属不可抗力，按照下述规定执行。</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2、估值错误处理原则</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（5）按法律法规规定的其他原则处理估值错误。</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（1）查明估值错误发生的原因，列明所有的当事人，并根据估值错误发生的原因确定估值错误的责任方；</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（3）根据估值错误处理原则或当事人协商的方法由估值错误的责任方进行更正和赔偿损失；</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4、基金份额净值估值错误处理的方法如下：</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（2）错误偏差达到基金份额净值的0.25%时，基金管理人应当通报基金托管人并报中国证监会备案；错误偏差达到基金份额净值的0.5%时，基金管理人应当公告。</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（3）前述内容如法律法规或监管机关另有规定的，从其规定处理。</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（六）暂停估值的情形</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1、基金投资所涉及的证券、期货交易市场遇法定节假日或因其他原因暂停营业时；</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3、占基金相当比例的投资品种的估值出现重大转变，而基金管理人为保障基金份额持有人的利益，决定延迟估值；</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4、出现基金管理人认为属于会导致基金管理人不能出售或评估基金资产的紧急事故的任何情况；</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5、当特定资产占前一估值日基金资产净值50%以上的，经与基金托管人协商确认后，基金管理人应当暂停估值；</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6、中国证监会和基金合同认定的其它情形。</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（七）基金净值的确认</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用于基金信息披露的各类基金份额的基金资产净值和基金份额净值由基金管理人负责计算，基金托管人负责进行复核。基金管理人应于每个开放日交易结束后计算当日各类基金份额的基金资产净值和基金份额净值并发送给基金托管人。基金托管人对净值计算结果复核确认后发送给基金管理人，由基金管理人依据基金合同和相关法律法规的规定对基金净值予以公布。</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（八）特殊情形的处理</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1、基金管理人或基金托管人按估值方法的第5项进行估值时，所造成的误差不作为基金资产估值错误处理。</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不可抗力原因，或由于证券、期货交易所、证券经纪机构、期货公司及登记结算公司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（九）实施侧袋机制期间的基金资产估值</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本基金实施侧袋机制的，应根据本部分的约定对主袋账户资产进行估值并披露主袋账户的基金净值信息，暂停披露侧袋账户份额净值。</w:t>
      </w:r>
    </w:p>
    <w:p w:rsidR="00B439CC" w:rsidRDefault="00834EC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50199" w:rsidRDefault="00834ECC">
      <w:pPr>
        <w:pStyle w:val="1"/>
        <w:snapToGrid w:val="0"/>
        <w:spacing w:beforeLines="0" w:before="240" w:after="240"/>
        <w:rPr>
          <w:rFonts w:ascii="宋体" w:hAnsi="宋体"/>
          <w:szCs w:val="30"/>
        </w:rPr>
      </w:pPr>
      <w:bookmarkStart w:id="16" w:name="_Toc234247839"/>
      <w:r>
        <w:rPr>
          <w:rFonts w:ascii="Times New Roman" w:hAnsi="Times New Roman"/>
          <w:sz w:val="30"/>
        </w:rPr>
        <w:lastRenderedPageBreak/>
        <w:t>十三、基金收益与分配</w:t>
      </w:r>
      <w:bookmarkEnd w:id="16"/>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（一）基金利润的构成</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（二）基金可供分配利润</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基金可供分配利润指截至收益分配基准日基金未分配利润与未分配利润中已实现收益的孰低数。</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（三）基金收益分配原则</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1、在符合有关基金分红条件的前提下，基金每年收益分配次数最多为12次，每份基金份额每次分配比例不得低于收益分配基准日每份基金份额可供分配利润的10%；</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收益分配方式分为现金分红与红利再投资，投资人可选择现金红利或将现金红利按除权日的单位净值自动转为相应类别的基金份额进行再投资；若投资人不选择，本基金默认的收益分配方式是现金分红；基金份额持有人可对其持有的A类基金份额和C类基金份额分别选择不同的收益分配方式；</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3、基金收益分配后任一类基金份额净值不能低于面值，即基金收益分配基准日的任一类基金份额净值减去每单位该类基金份额收益分配金额后不能低于面值；</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4、由于本基金A类基金份额不收取销售服务费，C类基金份额收取销售服务费，各基金份额类别对应的可供分配利润将有所不同；本基金同一基金份额类别的每一基金份额享有同等收益分配权；</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5、法律法规或监管机关另有规定的，从其规定。</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（四）收益分配方案</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（五）收益分配方案的确定、公告与实施</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本基金收益分配方案由基金管理人拟定，并由基金托管人复核，依照《信息披露办法》的有关规定在指定媒介公告。</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基金红利发放日距离收益分配基准日（即可供分配利润计算截止日）的时间不得超过15个工作日。</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法律法规或监管机关另有规定的，从其规定。</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（六）基金收益分配中发生的费用</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时所发生的银行转账或其他手续费用由投资者自行承担。当投资人的现金红利小于一定金额，不足以支付银行转账或其他手续费用时，登记机构可将基金份额持有人的现金红利自动转为相应类别的基金份额，红利再投资的计算方法，依照《业务规则》执行。</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（七）收益分配方式的修改</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投资人同一日多次申报收益分配方式变更的，按照《业务规则》执行，最终确认的收益分配方式以登记机构记录为准。</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（八）实施侧袋机制期间的收益分配</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本基金实施侧袋机制的，侧袋账户不进行收益分配。</w:t>
      </w:r>
    </w:p>
    <w:p w:rsidR="00B439CC" w:rsidRDefault="00834EC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50199" w:rsidRDefault="00834ECC">
      <w:pPr>
        <w:pStyle w:val="1"/>
        <w:snapToGrid w:val="0"/>
        <w:spacing w:beforeLines="0" w:before="240" w:after="240"/>
        <w:rPr>
          <w:rFonts w:ascii="宋体" w:hAnsi="宋体"/>
          <w:szCs w:val="30"/>
        </w:rPr>
      </w:pPr>
      <w:bookmarkStart w:id="17" w:name="_Toc234247840"/>
      <w:r>
        <w:rPr>
          <w:rFonts w:ascii="Times New Roman" w:hAnsi="Times New Roman"/>
          <w:sz w:val="30"/>
        </w:rPr>
        <w:lastRenderedPageBreak/>
        <w:t>十四、基金的费用与税收</w:t>
      </w:r>
      <w:bookmarkEnd w:id="17"/>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（一）基金费用的种类</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3、《基金合同》生效后与基金相关的信息披露费用；</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4、《基金合同》生效后与基金相关的会计师费、律师费和诉讼费；</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5、基金份额持有人大会费用；</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6、基金的证券、期货交易费用；</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7、基金的银行汇划费用；</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8、基金的开户费用、账户维护费用；</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9、本基金从C类基金份额的基金财产中计提的销售服务费；</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10、按照国家有关规定和《基金合同》约定，可以在基金财产中列支的其他费用。</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（二）基金费用计提方法、计提标准和支付方式</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基金管理费按前一日基金资产净值的0.6%年费率计提。管理费的计算方法如下：</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H＝E×0.6%÷当年天数</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提，按月支付。由基金管理人于次月首日起3个工作日内向基金托管人发送基金管理费划付指令，经基金托管人复核后于3个工作日内从基金财产中一次性支付给基金管理人。若遇法定节假日、休息日或不可抗力致使无法按时支付的，顺延至最近可支付日支付。</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基金托管费按前一日基金资产净值的0.2%的年费率计提。托管费的计算方法如下：</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H＝E×0.2%÷当年天数</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H为每日应计提的基金托管费</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提，按月支付。由基金管理人于次月首日起3个工作日内向基金托管人发送基金托管费划付指令，经基金托管人复核后于3个工作日内从基金财产中一次性支付给基金托管人。若遇法定节假日、休息日或不可抗力致使无法按时支付的，顺延至最近可支付日支付。</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（3）C类基金份额的销售服务费</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本基金A类基金份额不收取销售服务费，C类基金份额的销售服务费按前一日C类基金资产净值的0.1%年费率计提。计算方法如下：</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H＝E×0.1%÷当年天数</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H为C类基金份额每日应计提的销售服务费</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E为C类基金份额前一日基金资产净值</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销售服务费每日计提，按月支付。由基金管理人向基金托管人发送销售服务费划款指令，经基金托管人复核后于次月首日起5个工作日内从基金财产中一次性支付给基金管理人，由基金管理人代付给销售机构。若遇法定节假日、休息日或不可抗力致使无法按时支付的，顺延至最近可支付日支付。</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C类基金份额的销售服务费将专门用于本基金的市场推广、销售与基金份额持有人服务。</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（4）上述“（一）基金费用的种类”中第3－8项、第10项费用，根据有关法律法规及相应协议规定，按费用实际支出金额列入当期费用，由基金托管人从基金财产中支付。</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本基金申购费的费率水平、计算公式和收取方式详见“基金份额的申购与赎回”一章。</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本基金赎回费的费率水平、计算公式和收取方式详见“基金份额的申购与赎回”一章。</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（三）不列入基金费用的项目</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下列费用不列入基金费用：</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1、基金管理人和基金托管人因未履行或未完全履行义务导致的费用支出或基金财产的损失；</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2、基金管理人和基金托管人处理与基金运作无关的事项发生的费用；</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3、《交银施罗德荣鑫保本混合型证券投资基金基金合同》生效前的相关费用；</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4、其他根据相关法律法规及中国证监会的有关规定不得列入基金费用的项目。</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（四）《交银施罗德荣鑫灵活配置混合型证券投资基金基金合同》生效前的相关费用按当时有效的《交银施罗德荣鑫保本混合型证券投资基金基金合同》的约定支付。</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（五）实施侧袋机制期间的基金费用</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本基金实施侧袋机制的，与侧袋账户有关的费用可以从侧袋账户中列支，但应待侧袋账户资产变现后方可列支，有关费用可酌情收取或减免，但不得收取管理费，详见本招募说明书“侧袋机制”部分的规定。</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管理人和基金托管人可根据基金发展情况调整基金管理费率、基金托管费率、销售服务费率等相关费率。降低基金管理费率、基金托管费率、销售服务费率，无须召开基金份额持有人大会。基金管理人必须依照有关规定于新的费率实施日前在指定媒介上刊登公告。</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（七）基金税收</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本基金运作过程中涉及的各纳税主体，其纳税义务按国家税收法律、法规执行。</w:t>
      </w:r>
    </w:p>
    <w:p w:rsidR="00B439CC" w:rsidRDefault="00834EC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50199" w:rsidRDefault="00834ECC">
      <w:pPr>
        <w:pStyle w:val="1"/>
        <w:snapToGrid w:val="0"/>
        <w:spacing w:beforeLines="0" w:before="240" w:after="240"/>
        <w:rPr>
          <w:rFonts w:ascii="宋体" w:hAnsi="宋体"/>
          <w:szCs w:val="30"/>
        </w:rPr>
      </w:pPr>
      <w:bookmarkStart w:id="18" w:name="_Toc234247841"/>
      <w:r>
        <w:rPr>
          <w:rFonts w:ascii="Times New Roman" w:hAnsi="Times New Roman"/>
          <w:sz w:val="30"/>
        </w:rPr>
        <w:lastRenderedPageBreak/>
        <w:t>十五、基金的会计与审计</w:t>
      </w:r>
      <w:bookmarkEnd w:id="18"/>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（一）基金会计政策</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1、基金管理人为本基金的基金会计责任方；</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2、基金的会计年度为公历年度的1月1日至12月31日；</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3、基金核算以人民币为记账本位币，以人民币元为记账单位；</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4、会计制度执行国家有关会计制度；</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7、基金托管人每月与基金管理人就基金的会计核算、报表编制等进行核对并以书面方式确认。</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（二）基金的年度审计</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1、基金管理人聘请与基金管理人、基金托管人相互独立的具有证券、期货相关业务资格的会计师事务所及其注册会计师对本基金的年度财务报表进行审计。</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2、会计师事务所更换经办注册会计师，应事先征得基金管理人同意。</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3、基金管理人认为有充足理由更换会计师事务所，须通报基金托管人。更换会计师事务所需按照《信息披露办法》的有关规定在指定媒介公告。</w:t>
      </w:r>
    </w:p>
    <w:p w:rsidR="00B439CC" w:rsidRDefault="00834EC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50199" w:rsidRDefault="00834ECC">
      <w:pPr>
        <w:pStyle w:val="1"/>
        <w:snapToGrid w:val="0"/>
        <w:spacing w:beforeLines="0" w:before="240" w:after="240"/>
        <w:rPr>
          <w:rFonts w:ascii="宋体" w:hAnsi="宋体"/>
          <w:szCs w:val="30"/>
        </w:rPr>
      </w:pPr>
      <w:bookmarkStart w:id="19" w:name="_Toc234247842"/>
      <w:r>
        <w:rPr>
          <w:rFonts w:ascii="Times New Roman" w:hAnsi="Times New Roman"/>
          <w:sz w:val="30"/>
        </w:rPr>
        <w:lastRenderedPageBreak/>
        <w:t>十六、基金的信息披露</w:t>
      </w:r>
      <w:bookmarkEnd w:id="19"/>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（一）本基金的信息披露应符合《基金法》、《运作办法》、《信息披露办法》、《流动性规定》、《基金合同》及其他有关规定。</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（二）信息披露义务人</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本基金信息披露义务人包括基金管理人、基金托管人、召集基金份额持有人大会的基金份额持有人等法律、行政法规和中国证监会规定的自然人、法人和非法人组织。</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中国证监会指定的全国性报刊（以下简称“指定报刊”）及指定互联网网站（以下简称“指定网站”）等媒介披露，并保证基金投资者能够按照《基金合同》约定的时间和方式查阅或者复制公开披露的信息资料。</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（三）本基金信息披露义务人承诺公开披露的基金信息，不得有下列行为：</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（四）本基金公开披露的信息应采用中文文本。如同时采用外文文本的，基金信息披露义务人应保证不同文本的内容一致。不同文本之间发生歧义的，以中文文本为准。</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（五）公开披露的基金信息</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1、基金招募说明书、《基金合同》、基金托管协议、基金产品资料概要</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（1）《基金合同》是界定《基金合同》当事人的各项权利、义务关系，明确基金份额持有人大会召开的规则及具体程序，说明基金产品的特性等涉及基金投资者重大利益的事项的法律文件。</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2、基金净值信息</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《基金合同》生效后，在开始办理基金份额申购或者赎回前，基金管理人应当至少每周在指定网站披露一次基金份额净值和基金份额累计净值。</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开始办理基金份额申购或者赎回后，基金管理人应当在不晚于每个开放日的次日，通过指定网站、基金销售机构网站或者营业网点分别披露开放日A类基金份额和C类基金份额所对应的基金份额净值和基金份额累计净值。</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基金管理人应当在不晚于半年度和年度最后一日的次日，在指定网站披露半年度和年度最后一日A类基金份额和C类基金份额所对应的基金份额净值和基金份额累计净值。</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3、基金份额申购、赎回价格</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4、基金定期报告，包括基金年度报告、基金中期报告和基金季度报告</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基金管理人应当在上半年结束之日起两个月内，编制完成基金中期报告，将中期报告登载在指定网站上，并将中期报告提示性公告登载在指定报刊上。</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基金管理人应当在季度结束之日起15个工作日内，编制完成基金季度报告，将季度报告登载在指定网站上，并将季度报告提示性公告登载在指定报刊上。</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基金管理人应当在基金年度报告和中期报告中披露基金组合资产情况及其流动性风险分析等。</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5、临时报告</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本基金发生重大事件，有关信息披露义务人应当在2日内编制临时报告书，并登载在指定报刊和指定网站上。</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前款所称重大事件，是指可能对基金份额持有人权益或者基金份额的价格产生重大影响的下列事件：</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（1）基金份额持有人大会的召开及决定的事项；</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（8）基金管理人的高级管理人员、基金经理和基金托管人专门基金托管部门</w:t>
      </w:r>
      <w:r>
        <w:rPr>
          <w:rFonts w:ascii="宋体" w:hAnsi="宋体"/>
          <w:sz w:val="24"/>
        </w:rPr>
        <w:lastRenderedPageBreak/>
        <w:t>负责人发生变动；</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（9）基金管理人的董事在最近12个月内变更超过百分之五十，基金管理人、基金托管人专门基金托管部门的主要业务人员在最近12个月内变动超过百分之三十；</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（10）涉及基金财产、基金管理业务、基金托管业务的诉讼或仲裁；</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（11）基金管理人或其高级管理人员、基金经理因基金管理业务相关行为受到重大行政处罚、刑事处罚，基金托管人或其专门基金托管部门负责人因基金托管业务相关行为受到重大行政处罚、刑事处罚；</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（13）基金收益分配事项；</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（14）管理费、托管费、销售服务费、申购费、赎回费等费用计提标准、计提方式和费率发生变更；</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（15）任一类基金份额净值计价错误达该类基金份额净值百分之零点五；</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（16）本基金开始办理申购、赎回；</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（17）本基金发生巨额赎回并延期办理；</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（18）本基金连续发生巨额赎回并暂停接受赎回申请或延缓支付赎回款项；</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（19）本基金暂停接受申购、赎回申请或重新接受申购、赎回申请；</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（20）发生涉及基金申购、赎回事项调整或潜在影响投资者赎回等重大事项时；</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（21）本基金增加或调整基金份额类别；</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（22）基金信息披露义务人认为可能对基金份额持有人权益或者基金份额的价格产生重大影响的其他事项或中国证监会规定的其他事项。</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6、澄清公告</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7、基金份额持有人大会决议</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基金份额持有人大会决定的事项，应当依法报中国证监会备案，并予以公告。</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8、清算报告</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的，基金管理人应当依法组织清算组对基金财产进行清算并作出清算报告。清算报告应当经过具有证券、期货相关业务资格的会计师事务所审计，并由律师事务所出具法律意见书。清算组应当将清算报告登载在指定网站上，并将清算报告提示性公告登载在指定报刊上。</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投资股指期货，需按照法规要求在季度报告、中期报告、年度报告等定期报告和招募说明书（更新）等文件中披露股指期货交易情况，包括投资政策、持仓情况、损益情况、风险指标等，并充分揭示股指期货交易对基金总体风险的影响以及是否符合既定的投资政策和投资目标等。</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10、实施侧袋机制期间的信息披露</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本基金实施侧袋机制的，相关信息披露义务人应当根据法律法规、基金合同和招募说明书的规定进行信息披露，详见本招募说明书“侧袋机制”部分的规定。</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11、中国证监会规定的其他信息。</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（六）信息披露事务管理</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基金信息披露义务人公开披露基金信息，应当符合中国证监会相关基金信息披露内容与格式准则等法律法规规定。</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基金资产净值、各类基金份额净值、基金份额申购赎回价格、基金定期报告、更新的招募说明书、基金产品资料概要、基金清算报告等公开披露的相关基金信息进行复核、审查，并向基金管理人进行书面或电子确认。</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基金管理人、基金托管人应当在指定报刊中选择一家报刊披露本基金信息。基金管理人、基金托管人应当向中国证监会基金电子披露网站报送拟披露的基金信息，并保证相关报送信息的真实、准确、完整、及时。</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基金管理人、基金托管人除依法在指定媒介上披露信息外，还可以根据需要在</w:t>
      </w:r>
      <w:r>
        <w:rPr>
          <w:rFonts w:ascii="宋体" w:hAnsi="宋体"/>
          <w:sz w:val="24"/>
        </w:rPr>
        <w:lastRenderedPageBreak/>
        <w:t>其他公共媒介披露信息，但是其他公共媒介不得早于指定媒介披露信息，并且在不同媒介上披露同一信息的内容应当一致。</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（七）信息披露文件的存放与查阅</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依法必须披露的信息发布后，基金管理人、基金托管人应当按照相关法律法规规定将信息置备于各自住所，供社会公众查阅、复制。</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（八）本基金信息披露事项以法律法规规定及本章节约定的内容为准。</w:t>
      </w:r>
    </w:p>
    <w:p w:rsidR="00B439CC" w:rsidRDefault="00834EC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50199" w:rsidRDefault="00834ECC">
      <w:pPr>
        <w:pStyle w:val="1"/>
        <w:snapToGrid w:val="0"/>
        <w:spacing w:beforeLines="0" w:before="240" w:after="240"/>
        <w:rPr>
          <w:rFonts w:ascii="宋体" w:hAnsi="宋体"/>
          <w:szCs w:val="30"/>
        </w:rPr>
      </w:pPr>
      <w:bookmarkStart w:id="20" w:name="_Toc234247843"/>
      <w:r>
        <w:rPr>
          <w:rFonts w:ascii="Times New Roman" w:hAnsi="Times New Roman"/>
          <w:sz w:val="30"/>
        </w:rPr>
        <w:lastRenderedPageBreak/>
        <w:t>十七、侧袋机制</w:t>
      </w:r>
      <w:bookmarkEnd w:id="20"/>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（一）侧袋机制的实施条件</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（二）实施侧袋机制期间基金份额的申购与赎回</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（三）实施侧袋机制期间的基金投资</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基金管理人不得在侧袋账户中进行除特定资产处置变现以外的其他投资操作。</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（四）实施侧袋机制期间的基金估值</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本基金实施侧袋机制的，基金管理人和基金托管人应对主袋账户资产进行估值</w:t>
      </w:r>
      <w:r>
        <w:rPr>
          <w:rFonts w:ascii="宋体" w:hAnsi="宋体"/>
          <w:sz w:val="24"/>
        </w:rPr>
        <w:lastRenderedPageBreak/>
        <w:t>并披露主袋账户的基金净值信息，暂停披露侧袋账户份额净值。侧袋账户的会计核算应符合《企业会计准则》的相关要求。</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（五）实施侧袋账户期间的基金费用</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1、本基金实施侧袋机制的，管理费和托管费等按主袋账户基金资产净值作为基数计提。</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（六）侧袋账户中特定资产的处置变现和支付</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（七）侧袋机制的信息披露</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1、临时公告</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2、基金净值信息</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3、定期报告</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rsidR="00B439CC" w:rsidRDefault="00834ECC"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B50199" w:rsidRDefault="00834ECC">
      <w:pPr>
        <w:pStyle w:val="1"/>
        <w:snapToGrid w:val="0"/>
        <w:spacing w:beforeLines="0" w:before="240" w:after="240"/>
        <w:rPr>
          <w:rFonts w:ascii="宋体" w:hAnsi="宋体"/>
          <w:szCs w:val="30"/>
        </w:rPr>
      </w:pPr>
      <w:bookmarkStart w:id="21" w:name="_Toc234247844"/>
      <w:r>
        <w:rPr>
          <w:rFonts w:ascii="Times New Roman" w:hAnsi="Times New Roman"/>
          <w:sz w:val="30"/>
        </w:rPr>
        <w:lastRenderedPageBreak/>
        <w:t>十八、风险揭示</w:t>
      </w:r>
      <w:bookmarkEnd w:id="21"/>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交易日基金的净赎回申请（赎回申请份额总数加上基金转换中转出申请份额总数扣除申购申请份额总数及基金转换中转入申请份额总数后的余额）超过基金总份额的百分之十时，投资人将可能无法及时赎回持有的全部基金份额。</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分为股票型基金、混合型基金、债券型基金、货币市场基金等不同类型，投资人投资不同类型的基金将获得不同的收益预期，也将承担不同程度的风险。一般来说，基金的收益预期越高，投资人承担的风险也越大。</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分红等行为导致基金份额净值变化，不会改变基金的风险收益特征，不会降低基金投资风险或提高基金投资收益。因拆分、分红等行为导致基金份额净值调整至1元初始面值或1元附近，在市场波动等因素的影响下，基金投资仍有可能出现亏损或基金净值仍有可能低于初始面值。</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勤勉尽责的原则管理和运用基金资产，但不保证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自行负担。</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基金份额持有人须了解并承受以下风险：</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（一）市场风险</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4、信用风险。基金所投资债券的发行人如果不能或拒绝支付到期本息，或者不能履行合约规定的其它义务，或者其信用等级降低，将会导致债券价格下降，进而造成基金资产损失，从而产生风险。</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6、债券收益率曲线变动风险。是指收益率曲线没有按预期变化导致基金投资决策出现偏差。</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再投资风险。该风险与利率风险互为消长。当市场利率下降时，基金所持有的债券价格会上涨，而基金将投资于固定收益类金融工具所得的利息收入进行再投资将获得较低的收益率，再投资的风险加大；反之，当市场利率上升时，基金所持有的债券价格会下降，利率风险加大，但是利息的再投资收益会上升。</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8、经营风险。它与基金所投资债券的发行人的经营活动所引起的收入现金流的不确定性有关。债券发行人期间运营收入变化越大，经营风险就越大；反之，运营收入越稳定，经营风险就越小。</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上市公司经营风险。上市公司的经营状况受多种因素影响，如管理能力、财务状况、市场前景、行业竞争、人员素质等，这些都会导致企业的盈利发生变化。虽然基金可以通过投资多样化来分散这种非系统风险，但不能完全规避。</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10、债券回购风险。债券回购为提升整体基金组合收益提供了可能，但也存在一定的风险。债券回购的主要风险包括信用风险、投资风险及波动性加大的风险，其中，信用风险指回购交易中交易对手在回购到期时，不能偿还全部或部分证券或价款，造成基金净值损失的风险；投资风险是指在进行回购操作时，回购利率大于债券投资收益而导致的风险以及由于回购操作导致投资总量放大，致使整个组合风险放大的风险；而波动性加大的风险是指在进行回购操作时，在对基金组合收益进行放大的同时，也对基金组合的波动性（标准差）进行了放大，即基金组合的风险将会加大。回购比例越高，风险暴露程度也就越高，对基金净值造成损失的可能性也就越大。</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（二）管理风险</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（三）流动性风险</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开放式基金，在基金的所有开放日，基金管理人都有义务接受投资人的赎回。如果基金资产不能迅速转变成现金，或者变现为现金时使资金净值产生不利的影响，都会影响基金运作和收益水平。尤其是在发生巨额赎回时，如果基金资产变现能力差，可能会产生基金仓位调整的困难，导致流动性风险，可能影响基金份额净值。</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的交易时间，但基金管理人根据法律法规、中国证监会的要求或基金合同的规定公告暂停申购、赎回时除外。</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同时本基金基于分散投资的原则在行业和个券方面未有高集中度的特征，综合评估在正常市场环境下本基金的流动性风险适中。</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3、巨额赎回情形下的流动性风险管理措施</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基金份额持有人当日超过20%的赎回申请，可以对其赎回申请延期办理；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日以上（含本数）发生巨额赎回，如基金管理人认为有必要，可暂停接受基金的赎回申请；已经接受的赎回申请可以延缓支付赎回款项，但不得超过20个工作日，并应当在指定媒介上进行公告。</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暂停基金估值、实施侧袋机制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基金管理人将根据主袋账户运作情况合理确定申购政策，因此实施侧袋机制后主袋账户份额存在暂停申购的可能。</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（四）交易对手违约风险</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交易对手违约风险是指当债券、票据或债券回购等交易对手违约时，将直接导致基金资产的损失，或导致基金不能及时抓住市场机会，对投资收益产生影响。</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（五）本基金投资策略所特有的风险</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w:t>
      </w:r>
      <w:r>
        <w:rPr>
          <w:rFonts w:ascii="宋体" w:hAnsi="宋体"/>
          <w:sz w:val="24"/>
        </w:rPr>
        <w:lastRenderedPageBreak/>
        <w:t>比例时，可能由于基金经理的预判与市场的实际表现存在较大差异，出现资产配置不合理的风险，从而对基金收益造成不利影响。</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具体为：</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（1）市场风险是指由于股指期货价格变动而给投资者带来的风险。市场风险是股指期货投资中最主要的风险。</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（2）流动性风险是指由于股指期货合约无法及时变现所带来的风险。</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（3）基差风险是指股指期货合约价格和指数价格之间的价格差的波动所造成的风险，以及不同股指期货合约价格之间价格差的波动所造成的期现价差风险。</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（4）保证金风险是指由于无法及时筹措资金满足建立或者维持股指期货合约头寸所要求的保证金而带来的风险。</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（5）信用风险是指期货经纪公司违约而产生损失的风险。</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（6）操作风险是指由于内部流程的不完善，业务人员出现差错或者疏漏，或者系统出现故障等原因造成损失的风险。</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此外，由于衍生品通常具有杠杆效应，价格波动比标的工具更为剧烈，并且其定价相当复杂，不适当的估值也有可能使基金资产面临损失风险。</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5、本基金可投资创业板股票，创业板个股上市后的前五个交易日不设价格涨跌幅限制，第六个交易日开始涨跌幅限制比例为20%。</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（六）投资科创板股票的特定风险</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本基金可根据投资策略需要或市场环境的变化，选择将部分基金资产投资于科创板股票或选择不将基金资产投资于科创板股票，基金资产并非必然投资于科创板</w:t>
      </w:r>
      <w:r>
        <w:rPr>
          <w:rFonts w:ascii="宋体" w:hAnsi="宋体"/>
          <w:sz w:val="24"/>
        </w:rPr>
        <w:lastRenderedPageBreak/>
        <w:t>股票。基金资产投资于科创板股票，会面临科创板机制下因投资标的、市场制度以及交易规则等差异带来的特有风险，包括但不限于市场风险、流动性风险、退市风险、系统性风险、政策风险等。</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个股市场风险加大。</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科创板个股上市后的前五个交易日无涨跌停限制，其后涨跌幅限制为20%，科创板股票上市首日即可作为融资融券标的，可能导致较大的股票价格波动。</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科创板整体投资门槛较高，二级市场上个人投资者参与度相对较低，机构持有个股大量流通盘导致个股流动性较差，基金组合存在无法及时变现及其他相关流动性风险。</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3、退市风险</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科创板退市制度较主板更为严格，且不再设置暂停上市、恢复上市和重新上市环节，上市公司退市风险更大。</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4、系统性风险</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科创板企业均为市场认可度较高的科技创新企业，在企业经营及盈利模式上存在趋同，所以科创板个股相关性较高，市场表现不佳时，系统性风险将更为显著。</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5、政策风险</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国家对高新技术产业扶持力度及重视程度的变化会对科创板企业带来较大影响，国际经济形势变化对战略新兴产业及科创板个股也会带来政策影响。</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（七）投资存托凭证的特定风险</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w:t>
      </w:r>
      <w:r>
        <w:rPr>
          <w:rFonts w:ascii="宋体" w:hAnsi="宋体"/>
          <w:sz w:val="24"/>
        </w:rPr>
        <w:lastRenderedPageBreak/>
        <w:t>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本基金可根据投资策略需要或市场环境的变化，选择将部分基金资产投资于存托凭证或选择不将基金资产投资于存托凭证，基金资产并非必然投资存托凭证。</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（八）本基金法律文件风险收益特征表述与销售机构基金风险评价可能不一致的风险</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（九）其他风险</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2、因基金业务快速发展，在制度建设、人员配备、内控制度建立等方面的不完善产生的风险；</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834EC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50199" w:rsidRDefault="00834ECC">
      <w:pPr>
        <w:pStyle w:val="1"/>
        <w:snapToGrid w:val="0"/>
        <w:spacing w:beforeLines="0" w:before="240" w:after="240"/>
        <w:rPr>
          <w:rFonts w:ascii="宋体" w:hAnsi="宋体"/>
          <w:szCs w:val="30"/>
        </w:rPr>
      </w:pPr>
      <w:bookmarkStart w:id="22" w:name="_Toc234247845"/>
      <w:r>
        <w:rPr>
          <w:rFonts w:ascii="Times New Roman" w:hAnsi="Times New Roman"/>
          <w:sz w:val="30"/>
        </w:rPr>
        <w:lastRenderedPageBreak/>
        <w:t>十九、基金合同的变更、终止与基金财产的清算</w:t>
      </w:r>
      <w:bookmarkEnd w:id="22"/>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（一）《基金合同》的变更</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2、关于《基金合同》变更的基金份额持有人大会决议生效后方可执行，并自决议生效后依照《信息披露办法》的规定在指定媒介公告。</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（二）《基金合同》的终止事由</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有下列情形之一的，《基金合同》应当终止：</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3、《基金合同》约定的其他情形；</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4、相关法律法规和中国证监会规定的其他情况。</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（三）基金财产的清算</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（5）聘请会计师事务所对清算报告进行外部审计，聘请律师事务所对清算报告出具法律意见书；</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5、基金财产清算的期限为6个月，若遇基金持有的有价证券出现长期休市、停牌或其他流通受限的情形除外。</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（四）清算费用</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清算费用是指基金财产清算小组在进行基金财产清算过程中发生的所有合理费用，清算费用由基金财产清算小组优先从基金财产中支付。</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（五）基金财产清算剩余资产的分配</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（六）基金财产清算的公告</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（七）基金财产清算账册及文件的保存</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B439CC" w:rsidRDefault="00834EC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50199" w:rsidRDefault="00834ECC">
      <w:pPr>
        <w:pStyle w:val="1"/>
        <w:snapToGrid w:val="0"/>
        <w:spacing w:beforeLines="0" w:before="240" w:after="240"/>
        <w:rPr>
          <w:rFonts w:ascii="宋体" w:hAnsi="宋体"/>
          <w:szCs w:val="30"/>
        </w:rPr>
      </w:pPr>
      <w:bookmarkStart w:id="23" w:name="_Toc234247846"/>
      <w:r>
        <w:rPr>
          <w:rFonts w:ascii="Times New Roman" w:hAnsi="Times New Roman"/>
          <w:sz w:val="30"/>
        </w:rPr>
        <w:lastRenderedPageBreak/>
        <w:t>二十、基金合同内容摘要</w:t>
      </w:r>
      <w:bookmarkEnd w:id="23"/>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（一）基金份额持有人、基金管理人和基金托管人的权利与义务</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（1）根据《基金法》、《运作办法》及其他有关规定，基金管理人的权利包括但不限于：</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2）自《基金合同》生效之日起，根据法律法规和《基金合同》独立运用并管理基金财产；</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3）依照《基金合同》收取基金管理费以及法律法规规定或中国证监会批准的其他费用；</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4）销售基金份额；</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5）按照规定召集基金份额持有人大会；</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7）在基金托管人更换时，提名新的基金托管人；</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8）选择、更换基金销售机构，对基金销售机构的相关行为进行监督和处理；</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9）担任或委托其他符合条件的机构担任基金登记机构办理基金登记业务并获得《基金合同》规定的费用；</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10）依据《基金合同》及有关法律规定决定基金收益的分配方案；</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11）在《基金合同》约定的范围内，拒绝或暂停受理申购与赎回申请；</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12）依照法律法规为基金的利益对被投资公司行使股东权利，为基金的利益行使因基金财产投资于证券所产生的权利；</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13）在法律法规允许的前提下，为基金的利益依法为基金进行融资；</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14）以基金管理人的名义，代表基金份额持有人的利益行使诉讼权利或者实施其他法律行为；</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15）选择、更换律师事务所、会计师事务所、证券经纪商、期货经纪机构或其他为基金提供服务的外部机构；</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16）在符合有关法律、法规的前提下，制定和调整有关基金申购、赎回、转换</w:t>
      </w:r>
      <w:r>
        <w:rPr>
          <w:rFonts w:ascii="宋体" w:hAnsi="宋体"/>
          <w:sz w:val="24"/>
        </w:rPr>
        <w:lastRenderedPageBreak/>
        <w:t>等的业务规则；</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17）法律法规及中国证监会规定的和《基金合同》约定的其他权利。</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（2）根据《基金法》、《运作办法》及其他有关规定，基金管理人的义务包括但不限于：</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1）依法募集资金，办理或者委托经中国证监会认定的其他机构办理基金份额的销售、申购、赎回和登记事宜；</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3）自《基金合同》生效之日起，以诚实信用、谨慎勤勉的原则管理和运用基金财产；</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8）采取适当合理的措施使计算基金份额申购、赎回和注销价格的方法符合《基金合同》等法律文件的规定，按有关规定计算并公告基金净值信息，确定基金份额申购、赎回的价格；</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9）进行基金会计核算并编制基金财务会计报告；</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10）编制季度报告、中期报告和年度报告；</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11）严格按照《基金法》、《基金合同》及其他有关规定，履行信息披露及报告义务；</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13）按《基金合同》的约定确定基金收益分配方案，及时向基金份额持有人分配基金收益；</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14）按规定受理申购与赎回申请，及时、足额支付赎回款项；</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15）依据《基金法》、《基金合同》及其他有关规定召集基金份额持有人大会或配合基金托管人、基金份额持有人依法召集基金份额持有人大会；</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16）按规定保存基金财产管理业务活动的会计账册、报表、记录和其他相关资料15年以上；</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18）组织并参加基金财产清算小组，参与基金财产的保管、清理、估价、变现和分配；</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19）面临解散、依法被撤销或者被依法宣告破产时，及时报告中国证监会并通知基金托管人；</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22）当基金管理人将其义务委托第三方处理时，应当对第三方处理有关基金事务的行为承担责任；</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23）以基金管理人名义，代表基金份额持有人利益行使诉讼权利或实施其他法律行为；</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24）执行生效的基金份额持有人大会的决议；</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25）建立并保存基金份额持有人名册；</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26）法律法规及中国证监会规定的和《基金合同》约定的其他义务。</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（1）根据《基金法》、《运作办法》及其他有关规定，基金托管人的权利包括但不限于：</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1）自《基金合同》生效之日起，依法律法规和《基金合同》的规定安全保管基金财产；</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2）依《基金合同》约定获得基金托管费以及法律法规规定或监管部门批准的其他费用；</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监督基金管理人对本基金的投资运作，如发现基金管理人有违反《基金合同》及国家法律法规行为，对基金财产、其他当事人的利益造成重大损失的情形，应呈报中国证监会，并采取必要措施保护基金投资者的利益；</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4）根据相关市场规则，为基金开设资金账户、证券账户等投资所需账户、为基金办理证券交易资金清算；</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5）提议召开或召集基金份额持有人大会；</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6）在基金管理人更换时，提名新的基金管理人；</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7）法律法规及中国证监会规定的和《基金合同》约定的其他权利。</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（2）根据《基金法》、《运作办法》及其他有关规定，基金托管人的义务包括但不限于：</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6）按规定开设基金财产的资金账户和证券账户等投资所需账户，协助开立股指期货业务相关账户及交易编码，按照《基金合同》的约定，根据基金管理人的投资指令，及时办理清算、交割事宜；</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8）复核、审查基金管理人计算的基金资产净值、各类基金份额净值、基金份额申购、赎回价格；</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9）办理与基金托管业务活动有关的信息披露事项；</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10）对基金财务会计报告、季度报告、中期报告和年度报告出具意见，说明基金管理人在各重要方面的运作是否严格按照《基金合同》的规定进行；如果基金管</w:t>
      </w:r>
      <w:r>
        <w:rPr>
          <w:rFonts w:ascii="宋体" w:hAnsi="宋体"/>
          <w:sz w:val="24"/>
        </w:rPr>
        <w:lastRenderedPageBreak/>
        <w:t>理人有未执行《基金合同》规定的行为，还应当说明基金托管人是否采取了适当的措施；</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11）保存基金托管业务活动的记录、账册、报表和其他相关资料15年以上；</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12）建立并保存基金份额持有人名册；</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13）按规定制作相关账册并与基金管理人核对；</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14）依据基金管理人的指令或有关规定向基金份额持有人支付基金收益和赎回款项；</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16）按照法律法规和《基金合同》的规定监督基金管理人的投资运作；</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17）参加基金财产清算小组，参与基金财产的保管、清理、估价、变现和分配；</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19）因违反《基金合同》导致基金财产损失时，应承担赔偿责任，其赔偿责任不因其退任而免除；</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21）执行生效的基金份额持有人大会的决议；</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22）法律法规及中国证监会规定的和《基金合同》约定的其他义务。</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的基金份额，即成为本基金份额持有人和《基金合同》的当事人，直至其不再持有本基金的基金份额。基金份额持有人作为《基金合同》当事人并不以在《基金合同》上书面签章或签字为必要条件。</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同一类别的每份基金份额具有同等的合法权益。</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（1）根据《基金法》、《运作办法》及其他有关规定，基金份额持有人的权利包括但不限于：</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1）分享基金财产收益；</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2）参与分配清算后的剩余基金财产；</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3）依法并按照基金合同和招募说明书的规定申请赎回或转让其持有的基金份额；</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4）按照规定要求召开基金份额持有人大会或者召集基金份额持有人大会；</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8）对基金管理人、基金托管人、基金服务机构损害其合法权益的行为依法提起诉讼或仲裁；</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9）法律法规及中国证监会规定的和《基金合同》约定的其他权利。</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（2）根据《基金法》、《运作办法》及其他有关规定，基金份额持有人的义务包括但不限于：</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1）认真阅读并遵守《基金合同》、招募说明书等信息披露文件；</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3）关注基金信息披露，及时行使权利和履行义务；</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4）缴纳基金申购款项及法律法规和《基金合同》所规定的费用；</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5）在其持有的基金份额范围内，承担基金亏损或者《基金合同》终止的有限责任；</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6）不从事任何有损基金及其他《基金合同》当事人合法权益的活动；</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7）执行生效的基金份额持有人大会的决议；</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8）返还在基金交易过程中因任何原因获得的不当得利；</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9）遵守基金管理人、基金托管人、销售机构和登记机构的相关交易及业务规则；</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10）提供基金管理人和监管机构依法要求提供的信息，以及不时的更新和补充，并保证其真实性；</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11）法律法规及中国证监会规定的和《基金合同》约定的其他义务。</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（二）基金份额持有人大会召集、议事及表决的程序和规则</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基金份额持有人大会由基金份额持有人组成，基金份额持有人的合法授权代表</w:t>
      </w:r>
      <w:r>
        <w:rPr>
          <w:rFonts w:ascii="宋体" w:hAnsi="宋体"/>
          <w:sz w:val="24"/>
        </w:rPr>
        <w:lastRenderedPageBreak/>
        <w:t>有权代表基金份额持有人出席会议并表决。基金份额持有人持有的每一基金份额拥有平等的投票权。</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本基金份额持有人大会不设日常机构。</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1、召开事由</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（1）当出现或需要决定下列事由之一的，应当召开基金份额持有人大会：</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1）终止《基金合同》，法律法规、基金合同和中国证监会另有规定的除外；</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2）更换基金管理人；</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3）更换基金托管人；</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4）转换基金运作方式，法律法规和中国证监会另有规定的除外；</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5）提高基金管理人、基金托管人的报酬标准或提高销售服务费率，但法律法规要求提高该等报酬标准或提高销售服务费率的除外；</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6）变更基金类别；</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8）变更基金投资目标、范围或策略，法律法规、基金合同和中国证监会另有规定的除外；</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9）变更基金份额持有人大会程序，法律法规、基金合同和中国证监会另有规定的除外；</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10）基金管理人或基金托管人要求召开基金份额持有人大会；</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12）对基金合同当事人权利和义务产生重大影响的其他事项；</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13）法律法规、《基金合同》或中国证监会规定的其他应当召开基金份额持有人大会的事项。</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（2）以下情况可由基金管理人和基金托管人协商后修改，不需召开基金份额持有人大会：</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1）调低基金管理费、基金托管费和其他应由本基金或基金份额持有人承担的费用；</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2）法律法规要求增加的基金费用的收取；</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3）在法律法规和《基金合同》规定的范围内，且在对现有基金份额持有人利</w:t>
      </w:r>
      <w:r>
        <w:rPr>
          <w:rFonts w:ascii="宋体" w:hAnsi="宋体"/>
          <w:sz w:val="24"/>
        </w:rPr>
        <w:lastRenderedPageBreak/>
        <w:t>益无实质性不利影响的前提下调整本基金的申购费率、调低赎回费率及销售服务费率、变更或增加收费方式；</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4）在符合法律法规及本基金合同规定，并且对基金份额持有人利益无实质不利影响的前提下，调整基金份额类别的设置、对基金份额分类办法及规则进行调整；</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5）因相应的法律法规或登记机构的相关业务规则发生变动而应当对《基金合同》进行修改；</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6）对《基金合同》的修改对基金份额持有人利益无实质性不利影响或修改不涉及《基金合同》当事人权利义务关系发生重大变化；</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7）在法律法规和《基金合同》规定的范围内，且在对现有基金份额持有人利益无实质性不利影响的前提下，基金推出新业务或服务；</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在法律法规和《基金合同》规定的范围内，且在对现有基金份额持有人利益无实质性不利影响的前提下，基金管理人、登记机构、销售机构调整有关基金申购、赎回、转换、收益分配、非交易过户、转托管等业务的规则；</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9）按照法律法规和《基金合同》规定不需召开基金份额持有人大会的以外的其他情形。</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的存续期内，若基金份额持有人数量连续60个工作日达不到200人或基金资产净值连续60个工作日低于5000万元，本基金管理人将向中国证监会报告并提出解决方案，如转换运作方式、与其他基金合并或者终止基金合同等，并召开基金份额持有人大会进行表决。</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2、会议召集人及召集方式</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（1）除法律法规规定或《基金合同》另有约定外，基金份额持有人大会由基金管理人召集；</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（2）基金管理人未按规定召集或不能召集时，由基金托管人召集；</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（6）基金份额持有人会议的召集人负责选择确定开会时间、地点、方式和权益登记日。</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3、召开基金份额持有人大会的通知时间、通知内容、通知方式</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（1）召开基金份额持有人大会，召集人应于会议召开前30日，在指定媒介公告。基金份额持有人大会通知应至少载明以下内容：</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1）会议召开的时间、地点和会议形式；</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2）会议拟审议的事项、议事程序和表决方式；</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3）有权出席基金份额持有人大会的基金份额持有人的权益登记日；</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4）授权委托证明的内容要求（包括但不限于代理人身份，代理权限和代理有效期限等）、送达时间和地点；</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5）会务常设联系人姓名及联系电话；</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6）出席会议者必须准备的文件和必须履行的手续；</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7）召集人需要通知的其他事项。</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书面表决意见寄交的截止时间和收取方式。</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4、基金份额持有人出席会议的方式</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基金份额持有人大会可通过现场开会方式、通讯开会方式或法律法规和监管机关允许的其他方式召开，会议的召开方式由会议召集人确定。</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基金份额应不少于在权益登记日基金总份额的三分之一（含三分之一）。</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（2）通讯开会。通讯开会系指基金份额持有人将其对表决事项的投票以书面形式在表决截至日以前送达至召集人指定的地址。通讯开会应以书面方式进行表决。</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在同时符合以下条件时，通讯开会的方式视为有效：</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1）会议召集人按《基金合同》约定公布会议通知后，在2个工作日内连续公布相关提示性公告；</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2）召集人按基金合同约定通知基金托管人（如果基金托管人为召集人，则为</w:t>
      </w:r>
      <w:r>
        <w:rPr>
          <w:rFonts w:ascii="宋体" w:hAnsi="宋体"/>
          <w:sz w:val="24"/>
        </w:rPr>
        <w:lastRenderedPageBreak/>
        <w:t>基金管理人）到指定地点对书面表决意见的计票进行监督。会议召集人在基金托管人（如果基金托管人为召集人，则为基金管理人）和公证机关的监督下按照会议通知规定的方式收取基金份额持有人的书面表决意见；基金托管人或基金管理人经通知不参加收取书面表决意见的，不影响表决效力；</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人直接出具书面意见或授权他人代表出具书面意见的，基金份额持有人所持有的基金份额不小于在权益登记日基金总份额的二分之一（含二分之一）；若本人直接出具书面意见或授权他人代表出具书面意见的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书面意见或授权他人代表出具书面意见；</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第3）项中直接出具书面意见的基金份额持有人或受托代表他人出具书面意见的代理人，同时提交的持有基金份额的凭证、受托出具书面意见的代理人出具的委托人持有基金份额的凭证及委托人的代理投票授权委托证明符合法律法规、《基金合同》和会议通知的规定，并与基金登记机构记录相符。</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5、议事内容与程序</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基金份额持有人大会不得对未事先公告的议事内容进行表决。</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（2）议事程序</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6、表决</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基金份额持有人所持每份基金份额有一票表决权。</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基金份额持有人大会决议分为一般决议和特别决议：</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法律法规、基金合同和中国证监会另有规定的除外）以特别决议通过方为有效。</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基金份额持有人大会采取记名方式进行投票表决。</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w:t>
      </w:r>
      <w:r>
        <w:rPr>
          <w:rFonts w:ascii="宋体" w:hAnsi="宋体"/>
          <w:sz w:val="24"/>
        </w:rPr>
        <w:lastRenderedPageBreak/>
        <w:t>会议通知规定的表决意见视为有效表决，表决意见模糊不清或相互矛盾的视为弃权表决，但应当计入出具表决意见的基金份额持有人所代表的基金份额总数。</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基金份额持有人大会的各项提案或同一项提案内并列的各项议题应当分开审议、逐项表决。</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7、计票</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2）监票人应当在基金份额持有人表决后立即进行清点并由大会主持人当场公布计票结果。</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4）计票过程应由公证机关予以公证，基金管理人或基金托管人拒不出席大会的，不影响计票的效力。</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8、生效与公告</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基金份额持有人大会决定的事项自表决通过之日起生效，召集人应当自通过之日起5日内报中国证监会备案。</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基金份额持有人大会决议自生效之日起2日内在指定媒介上公告。如果采用通讯方式进行表决，在公告基金份额持有人大会决议时，必须将公证书全文、公证机</w:t>
      </w:r>
      <w:r>
        <w:rPr>
          <w:rFonts w:ascii="宋体" w:hAnsi="宋体"/>
          <w:sz w:val="24"/>
        </w:rPr>
        <w:lastRenderedPageBreak/>
        <w:t>构、公证员姓名等一同公告。</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基金管理人、基金托管人和基金份额持有人应当执行生效的基金份额持有人大会的决议。生效的基金份额持有人大会决议对全体基金份额持有人、基金管理人、基金托管人均有约束力。</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9、实施侧袋机制期间基金份额持有人大会的特殊约定</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（1）基金份额持有人行使提议权、召集权、提名权所需单独或合计代表相关基金份额10%以上（含10%）；</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（3）通讯开会的直接出具表决意见或授权他人代表出具表决意见的基金份额持有人所持有的基金份额不小于在权益登记日相关基金份额的二分之一（含二分之一）；</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（6）一般决议须经参加大会的基金份额持有人或其代理人所持表决权的二分之一以上（含二分之一）通过；</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（7）特别决议应当经参加大会的基金份额持有人或其代理人所持表决权的三分之二以上（含三分之二）通过。</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同一主侧袋账户内的每份基金份额具有平等的表决权。</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10、本部分对基金份额持有人大会召开事由、召开条件、议事程序、表决条件</w:t>
      </w:r>
      <w:r>
        <w:rPr>
          <w:rFonts w:ascii="宋体" w:hAnsi="宋体"/>
          <w:sz w:val="24"/>
        </w:rPr>
        <w:lastRenderedPageBreak/>
        <w:t>等规定，凡是直接引用法律法规的部分，如将来法律法规修改导致相关内容被取消或变更的，基金管理人提前公告后，可直接对本部分内容进行修改和调整，无需召开基金份额持有人大会审议。</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（三）基金合同解除和终止的事由、程序</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（2）关于《基金合同》变更的基金份额持有人大会决议生效后方可执行，并自决议生效后依照《信息披露办法》的规定在指定媒介公告。</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2、《基金合同》的终止事由</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有下列情形之一的，《基金合同》应当终止：</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（3）《基金合同》约定的其他情形；</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（4）相关法律法规和中国证监会规定的其他情况。</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3）对基金财产进行估值和变现；</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（5）基金财产清算的期限为6个月，若遇基金持有的有价证券出现长期休市、停牌或其他流通受限的情形除外。</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4、清算费用</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清算费用是指基金财产清算小组在进行基金财产清算过程中发生的所有合理费用，清算费用由基金财产清算小组优先从基金财产中支付。</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5、基金财产清算剩余资产的分配</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6、基金财产清算的公告</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7、基金财产清算账册及文件的保存</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（四）争议解决方式</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中国国际经济贸易仲裁委员会，按照中国国际经济贸易仲裁委员会届时有效的仲裁规则进行仲裁。仲裁地点为北京市。仲裁裁决是终局的，对各方当事人均有约束力，除非仲裁裁决另有规定，仲裁费用、律师费由败诉方承担。</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争议处理期间，基金合同当事人应恪守各自的职责，继续忠实、勤勉、尽责地履行基金合同规定的义务，维护基金份额持有人的合法权益。</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《基金合同》受中国法律管辖。</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（五）基金合同存放及投资者取得基金合同的方式</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《基金合同》正本一式三份，除上报有关监管机构一式一份外，基金管理人、基金托管人各持有一份，每份具有同等的法律效力。</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《基金合同》可印制成册，供投资者在基金管理人、基金托管人、销售机构的办公场所和营业场所查阅，但应以《基金合同》正本为准。</w:t>
      </w:r>
    </w:p>
    <w:p w:rsidR="00B439CC" w:rsidRDefault="00834EC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50199" w:rsidRDefault="00834ECC">
      <w:pPr>
        <w:pStyle w:val="1"/>
        <w:snapToGrid w:val="0"/>
        <w:spacing w:beforeLines="0" w:before="240" w:after="240"/>
        <w:rPr>
          <w:rFonts w:ascii="宋体" w:hAnsi="宋体"/>
          <w:szCs w:val="30"/>
        </w:rPr>
      </w:pPr>
      <w:bookmarkStart w:id="24" w:name="_Toc234247847"/>
      <w:r>
        <w:rPr>
          <w:rFonts w:ascii="Times New Roman" w:hAnsi="Times New Roman"/>
          <w:sz w:val="30"/>
        </w:rPr>
        <w:lastRenderedPageBreak/>
        <w:t>二十一、托管协议的内容摘要</w:t>
      </w:r>
      <w:bookmarkEnd w:id="24"/>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（一）托管协议当事人</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注册地址：中国(上海)自由贸易试验区银城中路188号交通银行大楼二层（裙）</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办公地址：上海浦东新区世纪大道8号国金中心二期21-22楼</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成立日期：2005年8月4日</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批准设立机关及批准设立文号：中国证监会证监基金字[2005]128号</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经营范围：基金募集、基金销售、资产管理和中国证监会许可的其它业务。</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名称：中国民生银行股份有限公司</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注册地址：北京市西城区复兴门内大街2号</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办公地址：北京市西城区复兴门内大街2号</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邮政编码：100031</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法定代表人：高迎欣</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成立日期：1996年2月7日</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基金托管业务批准文号：证监基金字[2004]101号</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组织形式：其他股份有限公司（上市）</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注册资本：43,782,418,502元人民币</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存续期间：1996年02月07日至长期</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吸收公众存款；发放短期、中期和长期贷款；办理国内外结算；办理票据承兑与贴现、发行金融债券；代理发行、代理兑付、承销政府债券；买卖政府债券、金融债券；从事同业拆借；买卖、代理买卖外汇；从事结汇、售汇业务；</w:t>
      </w:r>
      <w:r>
        <w:rPr>
          <w:rFonts w:ascii="宋体" w:hAnsi="宋体"/>
          <w:sz w:val="24"/>
        </w:rPr>
        <w:lastRenderedPageBreak/>
        <w:t>从事银行卡业务；提供信用证服务及担保；代理收付款项；提供保管箱服务；经国务院银行业监督管理机构批准的其他业务；保险兼业代理业务；证券投资基金销售、证券投资基金托管。（市场主体依法自主选择经营项目，开展经营活动；保险兼业代理业务、证券投资基金销售、证券投资基金托管以及依法须经批准的项目，经相关部门批准后依批准的内容开展经营活动；不得从事国家和本市产业政策禁止和限制类项目的经营活动。）</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（二）基金托管人对基金管理人的业务监督和核查</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根据有关法律法规的规定及基金合同的约定，对基金投资范围、投资对象进行监督。基金合同明确约定基金投资风格或证券选择标准的，基金管理人应按照基金托管人要求的格式提供投资品种池，以便基金托管人运用相关技术系统，对基金实际投资是否符合基金合同关于证券选择标准的约定进行监督，对存在疑义的事项进行核查。</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中小板、创业板及其他经中国证监会核准上市的股票、存托凭证）、债券、中期票据、货币市场工具、权证、资产支持证券、银行存款、股指期货以及法律法规或中国证监会允许基金投资的其他金融工具（但须符合中国证监会相关规定）。</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股票资产（含存托凭证）占基金资产的0%-95%，股票资产按照基金所持有的股票市值以及买入、卖出股指期货合约价值合计（轧差计算)；权证的投资比例不超过基金资产净值的3%；基金保留的现金或投资于到期日在一年以内的政府债券的投资比例合计不低于基金资产净值的5%，其中现金不包括结算备付金、存出保证金和应收申购款等；基金在任何交易日日终，持有的买入股指期货合约价值，不得超过基金资产净值的10%；基金在任何交易日日终，持有的卖出期货合约价值不得超过基金持有的股票总市值的20%。</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2、基金托管人根据有关法律法规的规定及基金合同的约定，对基金投资比例进行监督。基金托管人按下述比例和调整期限进行监督：</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1）股票资产（含存托凭证）占基金资产的0%-95%，股票资产按照基金所持有</w:t>
      </w:r>
      <w:r>
        <w:rPr>
          <w:rFonts w:ascii="宋体" w:hAnsi="宋体"/>
          <w:sz w:val="24"/>
        </w:rPr>
        <w:lastRenderedPageBreak/>
        <w:t>的股票市值以及买入、卖出股指期货合约价值合计（轧差计算)；</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2）保持不低于基金资产净值5％的现金或者到期日在一年以内的政府债券，其中现金不包括结算备付金、存出保证金和应收申购款等；</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3）本基金持有一家公司发行的证券，其市值不超过基金资产净值的10%；</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4）本基金持有的全部权证，其市值不得超过基金资产净值的3%；</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5）本基金在任何交易日买入权证的总金额，不得超过上一交易日基金资产净值的0.5%；</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6）本基金投资于同一原始权益人的各类资产支持证券的比例，不得超过基金资产净值的10%；</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7）本基金持有的全部资产支持证券，其市值不得超过基金资产净值的20%；</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8）本基金持有的同一(指同一信用级别)资产支持证券的比例，不得超过该资产支持证券规模的10%；</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9）本基金应投资于信用级别评级为BBB以上(含BBB)的资产支持证券。基金持有资产支持证券期间，如果其信用等级下降、不再符合投资标准，应在评级报告发布之日起3个月内予以全部卖出；</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10）基金财产参与股票发行申购，本基金所申报的金额不超过本基金的总资产，本基金所申报的股票数量不超过拟发行股票公司本次发行股票的总量；</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11）本基金进入全国银行间同业市场进行债券回购的资金余额不得超过基金资产净值的40%；债券回购最长期限为1年，债券回购到期后不得展期；</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12）本基金若投资股指期货，则：</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a）本基金在任何交易日日终，持有的买入股指期货合约价值，不得超过基金资产净值的10%；</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本基金在任何交易日日终，持有的买入期货合约价值与有价证券市值之和，不得超过基金资产净值的95%。其中，有价证券指股票、债券（不含到期日在一年以内的政府债券）、权证、资产支持证券、买入返售金融资产（不含质押式回购）等；</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c）本基金在任何交易日日终，持有的卖出期货合约价值不得超过基金持有的股票总市值的20%；</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d）本基金所持有的股票市值和买入、卖出股指期货合约价值，合计（轧差计算）应当符合基金合同关于股票投资比例的有关约定，即占基金资产的0%-95%；</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e）本基金在任何交易日内交易（不包括平仓）的股指期货合约的成交金额不得超过上一交易日基金资产净值的20%；</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f）本基金每个交易日日终在扣除股指期货合约需缴纳的交易保证金后，应当保持不低于基金资产净值5%的现金或到期日在一年以内的政府债券，其中现金不包括结算备付金、存出保证金和应收申购款等。</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13）本基金持有其他证券投资基金（不含货币市场基金），其市值不得超过基金资产净值的10%；</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14）本基金的基金资产总值不得超过基金资产净值的140%；</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15）本基金持有的所有流通受限证券，其公允价值不得超过本基金资产净值的15%；本基金持有的同一流通受限证券，其公允价值不得超过本基金资产净值的10%；</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管理人管理且由本基金托管人托管的全部开放式基金（包括开放式基金以及处于开放期的定期开放基金）持有一家上市公司发行的可流通股票，不得超过该上市公司可流通股票的15%；本基金管理人管理且由本基金托管人托管的全部投资组合持有一家上市公司发行的可流通股票，不得超过该上市公司可流通股票的30%；</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18）本基金与私募类证券资管产品及中国证监会认定的其他主体为交易对手开展逆回购交易的，可接受质押品的资质要求应当与基金合同约定的投资范围保持一致；</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19）本基金投资存托凭证的比例限制依照境内上市交易的股票执行；</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20）法律法规及中国证监会规定的和《基金合同》约定的其他投资限制。</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本基金在开始进行股指期货投资之前，基金管理人应与基金托管人就股指期货清算、估值、交割等事宜另行具体协商。</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自变更之日起不超过3个月的时间区间内为其投资转型期，投资转型期的具体起止日期由基金管理人确定并届时公告。基金管理人应当自投资转型期结束日起次个工作日使本基金的投资组合比例符合基金合同的有关约定。</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除上述第2）、9）、12）项第f）目、17）、18）项以外，因证券、期货市场波动、证券发行人合并、基金规模变动、股权分置改革中支付对价等基金管理人之外的因素致使基金投资比例不符合上述规定投资比例的，基金管理人应当在10个交易日内进行调整，但中国证监会规定的特殊情形除外。法律法规另有规定的，从其规定。</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3、基金托管人根据有关法律法规的规定及基金合同的约定，对本托管协议第十五条第九款基金投资禁止行为进行监督。基金托管人通过事后监督方式对基金管理人基金投资禁止行为进行监督。</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根据有关法律法规的规定及基金合同的约定，对基金管理人参与银行间债券市场进行监督。基金管理人应在基金投资运作之前向基金托管人提供符合法律法规及行业标准的、经慎重选择的、本基金适用的银行间债券市场交易对手名单。基金管理人应严格按照交易对手名单的范围在银行间债券市场选择交易对手。基金托管人监督基金管理人是否按事前提供的银行间债券市场交易对手名单进行交易。基金管理人可以每半年对银行间债券市场交易对手名单进行更新，新名单确定前已与本次剔除的交易对手所进行但尚未结算的交易，仍应按照协议进行结算。如基金管理人根据市场情况需要临时调整银行间债券市场交易对手名单的，应及时向基金托管人说明理由，协商解决。</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负责对交易对手的资信控制，按银行间债券市场的交易规则进行交易，并负责解决因交易对手不履行合同而造成的纠纷及损失，基金托管人不承担由此造成的任何法律责任及损失。若未履约的交易对手在基金托管人与基金管理人确定的时间前仍未承担违约责任及其他相关法律责任的，基金管理人可以视情况对相应损失先行予以承担，然后再向相关交易对手追偿。基金托管人则根据银行间债券市场成交单对合同履行情况进行监督。如基金托管人事后发现基金管理人没有按照事先约定的交易对手进行交易时，基金托管人应及时提醒基金管理人，基金托管人不承担由此造成的任何损失和责任。</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5、基金托管人根据有关法律法规的规定及基金合同的约定，对基金管理人投资流通受限证券进行监督。</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投资流通受限证券，应事先根据中国证监会相关规定，明确基金投资流通受限证券的比例，制订严格的投资决策流程和风险控制制度，防范流动性风险、法律风险和操作风险等各种风险。基金管理人应与基金托管人签订风险补充协议，协议应包括基金托管人对基金管理人是否遵守相关制度、流动性风险处置预案以及相关投资额度和比例等的情况进行监督等内容。首次投资流通受限证券前，基金管理人应与基金托管人就流通受限证券投资签订风险控制补充协议。</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的流通受限证券须为经中国证监会批准的在发行时明确一定期限锁定期的可交易证券，不包括由于发布重大消息或其他原因而临时停牌的证券、已发行未上市证券、回购交易中的质押券等流通受限证券。本基金不投资有锁定期但锁定期不明确的证券。</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本基金投资的流通受限证券限于可由中国证券登记结算有限责任公司或中央国债登记结算有限责任公司、银行间清算所股份有限公司负责登记和存管，并可在证券交易所或全国银行间债券市场交易的证券。</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的流通受限证券应保证登记存管在本基金名下，基金管理人负责相关工作的落实和协调，并确保基金托管人能够正常查询。因基金管理人原因产生的流通受限证券登记存管问题，造成基金托管人无法安全保管本基金资产的责任与损失，由基金管理人承担。</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本基金投资流通受限证券，不得预付任何形式的保证金。</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对本基金投资流通受限证券的流动性风险负责，确保对相关风险采取积极有效的措施，在合理的时间内有效解决基金运作的流动性问题。如因基金巨额赎回或市场发生剧烈变动等原因而导致基金现金周转困难时，基金管理人应保证提供足额现金确保基金的支付结算。对本基金因投资流通受限证券导致的流动性风险，基金托管人不承担任何责任。如因基金管理人违反基金合同或预先确定的投资流通受限证券的比例导致本基金出现损失致使基金托管人承担连带赔偿责任的，基金管理人应赔偿基金托管人由此遭受的损失。</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（3）本基金有关投资流通受限证券比例如违反有关限制规定，在合理期限内未能进行及时调整，基金管理人应在两个工作日内编制临时报告书，予以公告。</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（4）基金托管人根据有关规定有权对基金管理人进行以下事项监督：</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1）本基金投资流通受限证券时的法律法规遵守情况。</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2）在基金投资流通受限证券管理工作方面有关制度、流动性风险处置预案的</w:t>
      </w:r>
      <w:r>
        <w:rPr>
          <w:rFonts w:ascii="宋体" w:hAnsi="宋体"/>
          <w:sz w:val="24"/>
        </w:rPr>
        <w:lastRenderedPageBreak/>
        <w:t>建立与完善情况。</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3）有关比例限制的执行情况。</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4）信息披露情况。</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（5）相关法律法规对基金投资流通受限证券有新规定的，从其规定。</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应当对投资中期票据业务进行研究，认真评估中期票据投资业务的风险，本着审慎、勤勉尽责的原则进行中期票据的投资业务。基金管理人根据法律、法规、监管部门的规定，制定了经公司董事会批准的基金投资中期票据相关制度(以下简称“《制度》”)，以规范对中期票据的投资决策流程、风险控制。基金管理人《制度》的内容与本协议不一致的，以本协议的约定为准。首次投资中期票据前，基金管理人应与基金托管人就中期票据投资签订风险控制补充协议。</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管理的基金在投资中期票据前，基金管理人须根据法律、法规、监管部门的规定，制定严格的关于投资中期票据的风险控制制度和流动性风险处置预案，并与基金托管人签订相关的补充协议，对投资该类产品的风险控制事项予以约定。</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此承诺将严格执行该风险控制制度和流动性风险处置预案。基金托管人对基金管理人是否遵守前述风险控制制度和流动性风险处置预案以及基金管理人投资中期票据的额度和比例进行监督。基金托管人如认真履行了上述监督责任，则就基金管理人因投资中期票据所导致的各种风险及后果不承担任何责任。如基金托管人认真履行了上述监督责任，则因基金管理人违反基金合同或预先确定的投资中期票据的比例导致本基金出现损失致使基金托管人承担连带赔偿责任的，基金管理人应赔偿基金托管人由此遭受的损失。</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（1）基金投资中期票据应遵循以下投资限制：</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1）中期票据属于固定收益类证券，基金投资中期票据应符合法律、法规及《基金合同》中关于本基金投资固定收益类证券的相关比例及期限限制；</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2）基金管理人管理的全部公募基金投资于一家企业发行的单期中期票据合计不超过该期证券的10%。</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（2）基金托管人对基金管理人流动性风险处置的监督职责限于：</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对基金投资中期票据是否符合比例限制进行监督，如发现异常情况，应及时以书面形式通知基金管理人。基金管理人应积极配合和协助基金托管人的监督和核查。基金管理人接到通知后应及时核对并向基金托管人说明原因和解决</w:t>
      </w:r>
      <w:r>
        <w:rPr>
          <w:rFonts w:ascii="宋体" w:hAnsi="宋体"/>
          <w:sz w:val="24"/>
        </w:rPr>
        <w:lastRenderedPageBreak/>
        <w:t>措施。基金托管人有权随时对所通知事项进行复查，督促基金管理人改正。基金管理人违规事项未能在限期内纠正的，基金托管人应报告中国证监会。</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因证券、期货市场波动、证券发行人合并、基金规模变动等基金管理人之外的因素，基金管理人投资的中期票据超过投资比例的，基金托管人有权要求基金管理人在10个交易日内将中期票据调整至规定的比例要求，但中国证监会规定的特殊情形除外。</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投资中小企业私募债券的应符合证监会《关于证券投资基金投资中小企业私募债券有关问题的通知》等有关法律法规的规定。首次投资中小企业私募债券前，基金管理人应与基金托管人就中小企业私募债券投资签订风险控制补充协议。</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应在基金首次投资中小企业私募债券前，向基金托管人提供经基金管理人董事会批准的有关基金投资中小企业私募债券的投资决策流程、风险控制制度、流动性风险处置预案、信用风险处置预案等。</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至少于首次执行中小企业私募债券相关投资指令之前两个工作日将上述资料书面发至基金托管人，保证基金托管人有足够的时间进行审核。基金托管人应在收到上述资料后两个工作日内，以书面或其他双方认可的方式确认收到上述资料。</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防范本基金投资中小企业私募债券的流动性风险，确保对相关风险采取积极有效的措施，在合理的时间内有效解决基金运作的流动性问题。如因基金巨额赎回或市场发生剧烈变动等原因而导致基金现金周转困难时，基金管理人应在符合法律法规、基金合同的前提下确保基金的支付结算。</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（3）基金托管人有权根据基金管理人制定的风险控制制度对基金管理人投资中小企业私募债券的额度和比例进行监督。如果基金管理人对相应风险控制制度进行修改的，应及时修订后通知基金托管人。</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基金投资中小企业私募债券是否符合比例限制进行事后监督，如发现异常情况，应及时以书面形式通知基金管理人。基金管理人应积极配合和协助基金托管人的监督和核查。基金管理人接到通知后应及时核对并向基金托管人说明原因和解决措施。基金托管人有权随时对所通知事项进行复查, 督促基金管理人改正。基金管理人违规事项未能在限期内纠正的，基金托管人应报告中国证监会。如基金托管人没有切实履行监督职责（因基金管理人未就相应风险控制制度的</w:t>
      </w:r>
      <w:r>
        <w:rPr>
          <w:rFonts w:ascii="宋体" w:hAnsi="宋体"/>
          <w:sz w:val="24"/>
        </w:rPr>
        <w:lastRenderedPageBreak/>
        <w:t>修订及时通知基金托管人的除外），导致基金出现风险，基金托管人须承担连带责任。</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因证券市场波动、证券发行人合并或基金规模变化等不可归责于基金管理人的因素导致基金投资的中小企业私募债券超过投资比例的，基金托管人有权要求基金管理人在10个交易日内将中小企业私募债券调整至规定的比例要求。</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如投资银行存款，基金托管人根据有关法律法规的规定及基金合同的约定，对基金投资银行存款的交易对手范围是否符合有关规定进行监督；基金管理人在签署银行存款协议前，应将草拟的银行存款协议送基金托管人审核。首次投资银行存款之前，基金管理人应与基金托管人就银行存款的投资签署风险控制补充协议。</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托管人根据有关法律法规的规定及基金合同的约定，对基金资产净值计算、各类基金份额净值计算、应收资金到账、基金费用开支及收入确定、基金收益分配、相关信息披露、基金宣传推介材料中登载基金业绩表现数据等进行监督和核查。</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托管人发现基金管理人的上述事项及投资指令或实际投资运作违反法律法规、基金合同和本托管协议的规定，应及时以电话提醒或书面提示等方式通知基金管理人限期纠正，并及时向中国证监会报告。基金管理人应积极配合和协助基金托管人的监督和核查。基金管理人收到书面通知后应在下一工作日及时核对并以书面形式给基金托管人发出回函，就基金托管人的疑义进行解释或举证，说明违规原因及纠正期限，并保证在规定期限内及时改正。在上述规定期限内，基金托管人有权随时对通知事项进行复查，督促基金管理人改正。基金管理人对基金托管人通知的违规事项未能在限期内纠正的，基金托管人应报告中国证监会。</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基金管理人有义务配合和协助基金托管人依照法律法规、基金合同和本托管协议对基金业务执行核查。对基金托管人发出的书面提示，基金管理人应在规定时间内答复并改正，或就基金托管人的疑义进行解释或举证；对基金托管人按照法律法规、基金合同和本托管协议的要求需向中国证监会报送基金监督报告的事项，基金管理人应积极配合提供相关数据资料和制度等。</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若基金托管人发现基金管理人依据交易程序已经生效的指令违反法律、行政法规和其他有关规定，或者违反基金合同约定的，应当立即通知基金管理人，由此造成的损失由基金管理人承担，并及时向中国证监会报告。</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13、基金托管人发现基金管理人有重大违规行为，应及时报告中国证监会，同时通知基金管理人限期纠正，并将纠正结果报告中国证监会。基金管理人无正当理由，拒绝、阻挠对方根据本托管协议规定行使监督权，或采取拖延、欺诈等手段妨碍对方进行有效监督，情节严重或经基金托管人提出警告仍不改正的，基金托管人应报告中国证监会。</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（三）基金管理人对基金托管人的业务核查</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对基金托管人履行托管职责情况进行核查，核查事项包括基金托管人安全保管基金财产、开设基金财产的资金账户和证券账户等投资相关所需账户、复核基金管理人计算的基金资产净值和各类基金份额净值、根据基金管理人指令办理清算交收、相关信息披露和监督基金投资运作等行为。</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发现基金托管人擅自挪用基金财产、未对基金财产实行分账管理、未执行或无故延迟执行基金管理人资金划拨指令、泄露基金投资信息等违反《基金法》、基金合同、本协议及其他有关规定时，应及时以书面形式通知基金托管人限期纠正。基金托管人收到通知后应在下一工作日及时核对并以书面形式给基金管理人发出回函，说明违规原因及纠正期限，并保证在规定期限内及时改正。在上述规定期限内，基金管理人有权随时对通知事项进行复查，督促基金托管人改正。基金托管人应积极配合基金管理人的核查行为，包括但不限于：提交相关资料以供基金管理人核查托管财产的完整性和真实性，在规定时间内答复基金管理人并改正。</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发现基金托管人有重大违规行为，应及时报告中国证监会，同时通知基金托管人限期纠正，并将纠正结果报告中国证监会。基金托管人无正当理由，拒绝、阻挠对方根据本协议规定行使监督权，或采取拖延、欺诈等手段妨碍对方进行有效监督，情节严重或经基金管理人提出警告仍不改正的，基金管理人应报告中国证监会。</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（四）基金财产保管</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基金财产的债权、不得与基金管理人、基金托管人固有财产的债务相抵销，不同基金财产的债权债务，不得相互抵销。基金管理人、基金托管人以其自有资产承担法律责任，其债权人不得对基金财产行使请求冻结、扣押和其他权利。</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（2）基金管理人、基金托管人因依法解散、被依法撤销或者被依法宣告破产等原因进行清算的，基金财产不属于其清算财产。</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（3）基金托管人应安全保管基金财产。未经基金管理人依据合法程序作出的合法合规指令，基金托管人不得自行运用、处分、分配基金的任何财产。非因基金财产本身承担的债务，不得对基金财产强制执行。</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（4）基金托管人按照规定开设基金财产的资金账户和证券账户等投资相关所需账户。</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（5）基金托管人对所托管的不同基金财产分别设置账户，与基金托管人的其他业务和其他基金的托管业务实行严格的分账管理，确保基金财产的完整与独立。</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（6）基金托管人根据基金管理人的指令，按照基金合同和本协议的约定保管基金财产，如有特殊情况双方可另行协商解决。</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于因为基金申购、投资产生的应收资产，应由基金管理人负责与有关当事人确定到账日期并通知基金托管人，到账日基金财产没有到达基金账户的，基金托管人应及时通知基金管理人采取措施进行催收。由此给基金财产造成损失的，基金管理人应负责向有关当事人追偿基金财产的损失，基金托管人对此不承担任何责任。</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除依据法律法规和基金合同的规定外，基金托管人不得委托第三人托管基金财产。</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2、基金募集期间及募集资金的验资</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荣鑫灵活配置混合型证券投资基金由交银施罗德荣鑫保本混合型证券投资基金保本周期到期转型而来。交银施罗德荣鑫保本混合型证券投资基金已按照法律法规及监管机构要求完成募集，募集资金经普华永道中天会计师事务所（特殊普通合伙）验资，募集所有资金已全额划入该基金基金托管专户。《交银施罗德荣鑫保本混合型证券投资基金基金合同》已于2016年3月25日生效。</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3、基金银行账户的开立和管理</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（1）基金托管人应负责本基金的银行账户的开设和管理。</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（2）基金托管人应以本基金名义在其营业机构开立基金的银行账户，并根据基金管理人合法合规的指令办理资金收付。本基金的银行预留印鉴由基金托管人保管和使用。</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（3）基金银行账户的开立和使用，限于满足开展本基金业务的需要。基金托</w:t>
      </w:r>
      <w:r>
        <w:rPr>
          <w:rFonts w:ascii="宋体" w:hAnsi="宋体"/>
          <w:sz w:val="24"/>
        </w:rPr>
        <w:lastRenderedPageBreak/>
        <w:t>管人和基金管理人不得假借本基金的名义开立任何其他银行账户；亦不得使用基金的任何账户进行本基金业务以外的活动。</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（4）基金银行账户的开立和管理应符合银行业监督管理机构的有关规定。</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（5）在符合法律法规规定的条件下，基金托管人可以通过基金托管人专用账户办理基金资产的支付。</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4、基金证券账户和结算备付金账户的开立和管理</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（1）基金托管人在中国证券登记结算有限责任公司上海分公司、深圳分公司为本基金开立基金托管人与本基金联名的证券账户。</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证券账户的开立和使用，仅限于满足开展本基金业务的需要。基金托管人和基金管理人不得出借或未经对方书面同意擅自转让基金的任何证券账户，亦不得使用基金的任何账户进行本基金业务以外的活动。</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（3）基金证券账户的开立和证券账户卡的保管由基金托管人负责，账户资产的管理和运用由基金管理人负责。</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以自身法人名义在中国证券登记结算有限责任公司开立结算备付金账户，并代表所托管的基金完成与中国证券登记结算有限责任公司的一级法人清算工作，基金管理人应予以积极协助。结算备付金、证券结算保证金等的收取按照中国证券登记结算有限责任公司的规定执行。</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若中国证监会或其他监管机构在本托管协议订立日之后允许基金从事其他投资品种的投资业务，涉及相关账户的开立、使用的，若无相关规定，则基金托管人比照上述关于账户开立、使用的规定执行。</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5、债券托管专户的开设和管理</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基金托管人根据中国人民银行、中央国债登记结算有限责任公司、银行间清算所股份有限公司的有关规定，以本基金的名义在中央国债登记结算有限责任公司、银行间清算所股份有限公司开立债券托管账户，并代表基金进行银行间市场债券的结算。基金管理人和基金托管人共同代表基金签订全国银行间债券市场债券回购主协议。</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6、其他账户的开立和管理</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（1）因业务发展需要而开立的其他账户，可以根据法律法规和基金合同的规定开立，在基金管理人和基金托管人商议后由基金托管人负责开立。新账户按有关规定使用并管理。</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（2）法律法规等有关规定对相关账户的开立和管理另有规定的，从其规定办理。</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7、基金财产投资的有关有价凭证等的保管</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等有价凭证由基金托管人存放于基金托管人的保管库，也可存入中央国债登记结算有限责任公司、中国证券登记结算有限责任公司上海分公司/深圳分公司或票据营业中心的代保管库，保管凭证由基金托管人持有。实物证券等有价凭证的购买和转让，由基金管理人和基金托管人共同办理。基金托管人对由基金托管人以外机构实际有效控制的证券不承担保管责任，但基金托管人应妥善保管保管凭证。</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8、与基金财产有关的重大合同的保管</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基金财产有关的重大合同的签署，由基金管理人负责。由基金管理人代表基金签署的、与基金财产有关的重大合同的原件分别由基金管理人、基金托管人保管。除本协议另有规定外，基金管理人代表基金签署的与基金财产有关的重大合同包括但不限于基金年度审计合同、基金信息披露协议及基金投资业务中产生的重大合同，基金管理人应保证基金管理人和基金托管人至少各持有一份正本的原件。重大合同的保管期限为基金合同终止后15年。</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（五）基金资产净值计算与复核</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类基金份额的基金份额净值是指计算日该类基金份额的基金资产净值除以计算日该类基金份额总数的数值，各类基金份额的基金份额净值的计算，均精确到0.0001元，小数点后第五位四舍五入，国家另有规定的，从其规定。</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基金管理人于每个工作日计算各类基金份额的基金资产净值及基金份额净值，经基金托管人复核，按规定公告。如遇特殊情况，经中国证监会同意，可以适当延迟计算或公告。</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2、复核程序</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每个工作日对基金资产估值，但基金管理人根据法律法规或基金合同的规定暂停估值时除外。基金管理人每工作日对基金资产进行估值后，将各类基金份额净值结果以双方约定的方式提交给基金托管人，经基金托管人复核无误后，以约定的方式将复核结果提交给基金管理人，由基金管理人依据基金合同和有</w:t>
      </w:r>
      <w:r>
        <w:rPr>
          <w:rFonts w:ascii="宋体" w:hAnsi="宋体"/>
          <w:sz w:val="24"/>
        </w:rPr>
        <w:lastRenderedPageBreak/>
        <w:t>关法律法规对外公布。月末、年中和年末估值复核与基金会计账目的核对同时进行。</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意见的，按照基金管理人对基金资产净值的计算结果对外予以公布。</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（六）基金份额持有人名册的登记与保管</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名册至少应包括基金份额持有人的名称和持有的基金份额。基金份额持有人名册由登记机构根据基金管理人的指令编制和保管，基金管理人和基金托管人应分别保管基金份额持有人名册，保存期不少于15年。如不能妥善保管，则按相关法规承担责任。</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托管人要求或编制半年报和年报前，基金管理人应将有关资料送交基金托管人，不得无故拒绝或延误提供，并保证其的真实性、准确性和完整性。基金托管人不得将所保管的基金份额持有人名册用于基金托管业务以外的其他用途，并应遵守保密义务。</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（七）争议解决方式</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本托管协议产生或与之相关的争议，双方当事人应通过协商、调解解决，协商、调解不能解决的，任何一方均有权将争议提交中国国际经济贸易仲裁委员会进行仲裁，仲裁地点为北京市，按照中国国际经济贸易仲裁委员会届时有效的仲裁规则进行仲裁。仲裁裁决是终局的，对本托管协议双方当事人均有约束力，除非仲裁裁决另有规定，仲裁费用、律师费由败诉方承担。</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争议处理期间，本托管协议双方当事人应恪守基金管理人和基金托管人职责，各自继续忠实、勤勉、尽责地履行基金合同和本托管协议规定的义务，维护基金份额持有人的合法权益。</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本协议受中国法律管辖。</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（八）托管协议的修改与终止</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1、本托管协议的变更程序</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本托管协议双方当事人经协商一致，可以对本托管协议进行修改。修改后的新托管协议，其内容不得与基金合同的规定有任何冲突。基金托管协议的变更应报中国证监会备案。</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2、基金托管协议终止出现的情形</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（2）基金托管人解散、依法被撤销、破产或由其他基金托管人接管基金资产；</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（3）基金管理人解散、依法被撤销、破产或由其他基金管理人接管基金管理权；</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（4）发生法律法规、监管部门或基金合同规定的其他终止事项。</w:t>
      </w:r>
    </w:p>
    <w:p w:rsidR="00B439CC" w:rsidRDefault="00834EC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50199" w:rsidRDefault="00834ECC">
      <w:pPr>
        <w:pStyle w:val="1"/>
        <w:snapToGrid w:val="0"/>
        <w:spacing w:beforeLines="0" w:before="240" w:after="240"/>
        <w:rPr>
          <w:rFonts w:ascii="宋体" w:hAnsi="宋体"/>
          <w:szCs w:val="30"/>
        </w:rPr>
      </w:pPr>
      <w:bookmarkStart w:id="25" w:name="_Toc234247848"/>
      <w:r>
        <w:rPr>
          <w:rFonts w:ascii="Times New Roman" w:hAnsi="Times New Roman"/>
          <w:sz w:val="30"/>
        </w:rPr>
        <w:lastRenderedPageBreak/>
        <w:t>二十二、对基金份额持有人的服务</w:t>
      </w:r>
      <w:bookmarkEnd w:id="25"/>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（一）持有人交易资料的寄送服务</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1、基金合同生效后的每次交易结束后，投资人可在T+2个工作日后通过销售机构的网点查询和打印确认单；</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（二）网上直销服务</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服务，个人投资者可以直接通过本基金管理人的网上直销交易平台办理开户和本基金A类基金份额和C类基金份额的申购、赎回、转换和定期定额投资等业务。通过网上直销交易平台办理本基金A类基金份额申购和定期定额投资业务的个人投资者将享受申购费率的优惠，通过网上直销交易平台进行基金转换，从各基金招募说明书所载的零申购费率的基金转换入非零申购费率的基金，转出与转入基金的前端申购补差费率将享受优惠，其他费率标准不变。具体优惠费率请参见公司网站列示的网上直销交易平台申购、定期定额投资及转换费率表或相关公告。基金网上直销交易平台已开通的银行卡及各银行卡交易金额限额请参阅本基金管理人网站。</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在条件成熟的时候，本基金管理人将根据基金网上直销业务的发展状况，适时调整可用于网上直销交易平台的银行卡种类，敬请投资人留意相关公告。</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（三）信息咨询、查询服务</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如果想查询申购和赎回等交易情况、分红方式状态、基金账户余额、基金产品与服务等信息，请拨打本基金管理人客户服务电话（400-700-5000，021-61055000）或登录本基金管理人网站（www.fund001.com）进行咨询、查询。</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投资人可以拨打本基金管理人客户服务电话投诉直销机构的人员和服务。</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（四）基金红利再投资</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时，基金份额持有人持有的基金份额可选择现金红利或选择红利再投将现金红利自动转为相应类别的基金份额进行再投资，若投资人不选择，本基金默认的收益分配方式是现金分红。再投资红利按红利再投日（即除息日）除息后的基金份额净值自动转为相应类别的基金份额，并免收申购费用。</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（五）定期定额投资计划</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本基金已开通定期定额投资计划，具体实施方法请参见相关公告。</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投资者也可登录本基金管理人网站，直接提出有关本基金的问题和建议。</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（六）如本招募说明书存在任何您/贵机构无法理解的内容，请通过上述方式联系基金管理人。请确保投资前，您/贵机构已经全面理解了本招募说明书。</w:t>
      </w:r>
    </w:p>
    <w:p w:rsidR="00B439CC" w:rsidRDefault="00834EC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50199" w:rsidRDefault="00834ECC">
      <w:pPr>
        <w:pStyle w:val="1"/>
        <w:snapToGrid w:val="0"/>
        <w:spacing w:beforeLines="0" w:before="240" w:after="240"/>
        <w:rPr>
          <w:rFonts w:ascii="宋体" w:hAnsi="宋体"/>
          <w:szCs w:val="30"/>
        </w:rPr>
      </w:pPr>
      <w:bookmarkStart w:id="26" w:name="_Toc234247849"/>
      <w:r>
        <w:rPr>
          <w:rFonts w:ascii="Times New Roman" w:hAnsi="Times New Roman"/>
          <w:sz w:val="30"/>
        </w:rPr>
        <w:lastRenderedPageBreak/>
        <w:t>二十三、其他应披露事项</w:t>
      </w:r>
      <w:bookmarkEnd w:id="26"/>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本招募说明书更新期间基金披露的其他重要事项</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B501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B501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交银施罗德荣鑫灵活配置混合型证券投资基金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B501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交银施罗德荣鑫灵活配置混合型证券投资基金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rsidR="00B501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交银施罗德荣鑫灵活配置混合型证券投资基金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3</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r w:rsidR="00B501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交银施罗德基金管理有限公司董事变更公告</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2025-12-20</w:t>
            </w:r>
          </w:p>
        </w:tc>
      </w:tr>
      <w:tr w:rsidR="00B501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交银施罗德荣鑫灵活配置混合型证券投资基金招募说明书更新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2025-12-26</w:t>
            </w:r>
          </w:p>
        </w:tc>
      </w:tr>
      <w:tr w:rsidR="00B501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交银施罗德荣鑫灵活配置混合型证券投资基金（</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2025-12-26</w:t>
            </w:r>
          </w:p>
        </w:tc>
      </w:tr>
      <w:tr w:rsidR="00B501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交银施罗德荣鑫灵活配置混合型证券投资基金（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2025-12-26</w:t>
            </w:r>
          </w:p>
        </w:tc>
      </w:tr>
      <w:tr w:rsidR="00B501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交银施罗德荣鑫灵活配置混合型证券投资基金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2026-01-21</w:t>
            </w:r>
          </w:p>
        </w:tc>
      </w:tr>
      <w:tr w:rsidR="00B501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交银施罗德基金管理有限公司关于交银施罗德荣鑫灵活配置混合型证券投资基金基金经理变更公告</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2026-02-13</w:t>
            </w:r>
          </w:p>
        </w:tc>
      </w:tr>
      <w:tr w:rsidR="00B501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交银施罗德荣鑫灵活配置混合型证券投资基金招募说明书更新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2026-02-25</w:t>
            </w:r>
          </w:p>
        </w:tc>
      </w:tr>
      <w:tr w:rsidR="00B501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交银施罗德荣鑫灵活配置混合型证券投资基金（</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2026-02-25</w:t>
            </w:r>
          </w:p>
        </w:tc>
      </w:tr>
      <w:tr w:rsidR="00B501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交银施罗德荣鑫灵活配置混合型证券投资基金（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2026-02-25</w:t>
            </w:r>
          </w:p>
        </w:tc>
      </w:tr>
      <w:tr w:rsidR="00B501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13</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交银施罗德基金管理有限公司旗下公募基金通过证券公司证券交易及佣金支付情况（</w:t>
            </w:r>
            <w:r>
              <w:rPr>
                <w:rFonts w:ascii="Times New Roman" w:hAnsi="Times New Roman"/>
                <w:color w:val="000000"/>
                <w:kern w:val="0"/>
                <w:sz w:val="25"/>
                <w:szCs w:val="24"/>
              </w:rPr>
              <w:t>2025</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B501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交银施罗德荣鑫灵活配置混合型证券投资基金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B501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交银施罗德荣鑫灵活配置混合型证券投资基金</w:t>
            </w:r>
            <w:r>
              <w:rPr>
                <w:rFonts w:ascii="Times New Roman" w:hAnsi="Times New Roman"/>
                <w:color w:val="000000"/>
                <w:kern w:val="0"/>
                <w:sz w:val="25"/>
                <w:szCs w:val="24"/>
              </w:rPr>
              <w:t>2026</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2026-04-21</w:t>
            </w:r>
          </w:p>
        </w:tc>
      </w:tr>
      <w:tr w:rsidR="00B501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交银施罗德基金管理有限公司关于旗下部分公募基金风险等级变动的公告</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2026-04-29</w:t>
            </w:r>
          </w:p>
        </w:tc>
      </w:tr>
      <w:tr w:rsidR="00B501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交银施罗德基金管理有限公司关于终止中证金牛（北京）基金销售有限公司办理相关销售业务的公告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2026-06-06</w:t>
            </w:r>
          </w:p>
        </w:tc>
      </w:tr>
      <w:tr w:rsidR="00B501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18</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50199" w:rsidRDefault="00834EC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2026-06-13</w:t>
            </w:r>
          </w:p>
        </w:tc>
      </w:tr>
    </w:tbl>
    <w:p w:rsidR="00B439CC" w:rsidRDefault="00834EC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50199" w:rsidRDefault="00834ECC">
      <w:pPr>
        <w:pStyle w:val="1"/>
        <w:snapToGrid w:val="0"/>
        <w:spacing w:beforeLines="0" w:before="240" w:after="240"/>
        <w:rPr>
          <w:rFonts w:ascii="宋体" w:hAnsi="宋体"/>
          <w:szCs w:val="30"/>
        </w:rPr>
      </w:pPr>
      <w:bookmarkStart w:id="27" w:name="_Toc234247850"/>
      <w:r>
        <w:rPr>
          <w:rFonts w:ascii="Times New Roman" w:hAnsi="Times New Roman"/>
          <w:sz w:val="30"/>
        </w:rPr>
        <w:lastRenderedPageBreak/>
        <w:t>二十四、招募说明书的存放及查阅方式</w:t>
      </w:r>
      <w:bookmarkEnd w:id="27"/>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和基金销售机构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834EC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50199" w:rsidRDefault="00834ECC">
      <w:pPr>
        <w:pStyle w:val="1"/>
        <w:snapToGrid w:val="0"/>
        <w:spacing w:beforeLines="0" w:before="240" w:after="240"/>
        <w:rPr>
          <w:rFonts w:ascii="宋体" w:hAnsi="宋体"/>
          <w:szCs w:val="30"/>
        </w:rPr>
      </w:pPr>
      <w:bookmarkStart w:id="28" w:name="_Toc234247851"/>
      <w:r>
        <w:rPr>
          <w:rFonts w:ascii="Times New Roman" w:hAnsi="Times New Roman"/>
          <w:sz w:val="30"/>
        </w:rPr>
        <w:lastRenderedPageBreak/>
        <w:t>二十五、备查文件</w:t>
      </w:r>
      <w:bookmarkEnd w:id="28"/>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（一）中国证监会准予交银施罗德荣鑫保本混合型证券投资基金募集注册的文件</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（二）《交银施罗德荣鑫灵活配置混合型证券投资基金基金合同》</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（三）《交银施罗德荣鑫灵活配置混合型证券投资基金托管协议》</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（六）关于申请募集注册交银施罗德荣鑫保本混合型证券投资基金的法律意见书</w:t>
      </w:r>
    </w:p>
    <w:p w:rsidR="00B50199" w:rsidRDefault="00834E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（七）关于交银施罗德荣鑫保本混合型证券投资基金保本周期到期转型及基金合同修改的法律意见书</w:t>
      </w:r>
    </w:p>
    <w:sectPr w:rsidR="00B50199">
      <w:footerReference w:type="default" r:id="rId18"/>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62F1" w:rsidRDefault="00834ECC">
      <w:r>
        <w:separator/>
      </w:r>
    </w:p>
  </w:endnote>
  <w:endnote w:type="continuationSeparator" w:id="0">
    <w:p w:rsidR="000962F1" w:rsidRDefault="00834E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0199" w:rsidRDefault="00B50199">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0199" w:rsidRDefault="00DF7AE8">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8240;mso-position-horizontal-relative:page;mso-position-vertical-relative:page;mso-width-relative:page;mso-height-relative:page" o:allowincell="f" filled="f" stroked="f">
          <v:textbox inset="0,0,0,0">
            <w:txbxContent>
              <w:p w:rsidR="00B50199" w:rsidRDefault="00834ECC">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DF7AE8">
                  <w:rPr>
                    <w:rFonts w:ascii="Times New Roman" w:hAnsi="Times New Roman"/>
                    <w:noProof/>
                    <w:kern w:val="0"/>
                    <w:sz w:val="18"/>
                    <w:szCs w:val="18"/>
                  </w:rPr>
                  <w:t>3</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0199" w:rsidRDefault="00B50199">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0199" w:rsidRDefault="00DF7AE8">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7216;mso-position-horizontal-relative:page;mso-position-vertical-relative:page;mso-width-relative:page;mso-height-relative:page" o:allowincell="f" filled="f" stroked="f">
          <v:textbox inset="0,0,0,0">
            <w:txbxContent>
              <w:p w:rsidR="00B50199" w:rsidRDefault="00834ECC">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DF7AE8">
                  <w:rPr>
                    <w:rFonts w:ascii="Times New Roman" w:hAnsi="Times New Roman"/>
                    <w:noProof/>
                    <w:kern w:val="0"/>
                    <w:sz w:val="18"/>
                    <w:szCs w:val="18"/>
                  </w:rPr>
                  <w:t>154</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62F1" w:rsidRDefault="00834ECC">
      <w:r>
        <w:separator/>
      </w:r>
    </w:p>
  </w:footnote>
  <w:footnote w:type="continuationSeparator" w:id="0">
    <w:p w:rsidR="000962F1" w:rsidRDefault="00834E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0199" w:rsidRDefault="00B50199">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0199" w:rsidRDefault="00834ECC">
    <w:pPr>
      <w:pStyle w:val="a3"/>
      <w:jc w:val="right"/>
      <w:rPr>
        <w:rFonts w:ascii="宋体" w:hAnsi="宋体"/>
      </w:rPr>
    </w:pPr>
    <w:r>
      <w:rPr>
        <w:rFonts w:ascii="宋体" w:hAnsi="宋体" w:hint="eastAsia"/>
      </w:rPr>
      <w:t>交银施罗德荣鑫灵活配置混合型证券投资基金招募说明书更新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0199" w:rsidRDefault="00B50199">
    <w:pPr>
      <w:pStyle w:val="10"/>
      <w:jc w:val="right"/>
    </w:pPr>
  </w:p>
  <w:p w:rsidR="00B50199" w:rsidRDefault="00B50199">
    <w:pPr>
      <w:pStyle w:val="10"/>
      <w:jc w:val="right"/>
    </w:pPr>
  </w:p>
  <w:p w:rsidR="00B50199" w:rsidRDefault="00B50199">
    <w:pPr>
      <w:pStyle w:val="a3"/>
      <w:jc w:val="right"/>
    </w:pPr>
  </w:p>
  <w:p w:rsidR="00B50199" w:rsidRDefault="00834ECC">
    <w:pPr>
      <w:pStyle w:val="a3"/>
      <w:jc w:val="right"/>
      <w:rPr>
        <w:rFonts w:ascii="宋体" w:hAnsi="宋体"/>
      </w:rPr>
    </w:pPr>
    <w:r>
      <w:rPr>
        <w:rFonts w:ascii="宋体" w:hAnsi="宋体" w:hint="eastAsia"/>
      </w:rPr>
      <w:t>交银施罗德荣鑫灵活配置混合型证券投资基金招募说明书更新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0199" w:rsidRDefault="00B50199">
    <w:pPr>
      <w:pStyle w:val="a3"/>
      <w:jc w:val="right"/>
    </w:pPr>
  </w:p>
  <w:p w:rsidR="00B50199" w:rsidRDefault="00B50199">
    <w:pPr>
      <w:pStyle w:val="a3"/>
      <w:jc w:val="right"/>
    </w:pPr>
  </w:p>
  <w:p w:rsidR="00B50199" w:rsidRDefault="00B50199">
    <w:pPr>
      <w:pStyle w:val="a3"/>
      <w:jc w:val="right"/>
    </w:pPr>
  </w:p>
  <w:p w:rsidR="00B50199" w:rsidRDefault="00834ECC">
    <w:pPr>
      <w:pStyle w:val="a3"/>
      <w:jc w:val="right"/>
      <w:rPr>
        <w:rFonts w:ascii="宋体" w:hAnsi="宋体"/>
      </w:rPr>
    </w:pPr>
    <w:r>
      <w:rPr>
        <w:rFonts w:ascii="宋体" w:hAnsi="宋体" w:hint="eastAsia"/>
      </w:rPr>
      <w:t>交银施罗德荣鑫灵活配置混合型证券投资基金招募说明书更新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7"/>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962F1"/>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34ECC"/>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0199"/>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DF7AE8"/>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7"/>
    <o:shapelayout v:ext="edit">
      <o:idmap v:ext="edit" data="3"/>
    </o:shapelayout>
  </w:shapeDefaults>
  <w:decimalSymbol w:val="."/>
  <w:listSeparator w:val=","/>
  <w15:docId w15:val="{11C733C8-EFC5-4611-9399-B4B994081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155</Pages>
  <Words>16314</Words>
  <Characters>92991</Characters>
  <Application>Microsoft Office Word</Application>
  <DocSecurity>0</DocSecurity>
  <Lines>774</Lines>
  <Paragraphs>218</Paragraphs>
  <ScaleCrop>false</ScaleCrop>
  <Company>Microsoft</Company>
  <LinksUpToDate>false</LinksUpToDate>
  <CharactersWithSpaces>109087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2026-07-06T08:30:00Z</dcterms:created>
  <dcterms:modified xsi:type="dcterms:W3CDTF">2026-07-06T08:30:00Z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