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交银施罗德中证环境治理指数型证券投资基金（LOF）（A类份额）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交银中证环境治理指数(LOF)A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164908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2016-07-19</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暂未上市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场内简称：环境治理；交易代码：164908。</w:t>
            </w:r>
          </w:p>
          <w:p>
            <w:pPr>
              <w:ind w:firstLine="420"/>
              <w:jc w:val="left"/>
              <w:rPr>
                <w:rFonts w:ascii="仿宋_GB2312" w:eastAsia="仿宋_GB2312"/>
                <w:szCs w:val="21"/>
              </w:rPr>
            </w:pPr>
            <w:r>
              <w:rPr>
                <w:rFonts w:ascii="仿宋_GB2312" w:eastAsia="仿宋_GB2312"/>
                <w:szCs w:val="21"/>
              </w:rPr>
              <w:t>交银施罗德中证环境治理指数型证券投资基金（LOF）由交银施罗德中证环境治理指数分级证券投资基金转型而来。上述转型于2016年7月19日正式实施，自基金转型实施日起，《交银施罗德中证环境治理指数分级证券投资基金基金合同》失效且《交银施罗德中证环境治理指数型证券投资基金（LOF）基金合同》同时生效，交银施罗德中证环境治理指数分级证券投资基金正式变更为交银施罗德中证环境治理指数型证券投资基金（LOF）。</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本基金采用指数化投资，紧密跟踪标的指数，追求跟踪偏离度与跟踪误差最小化。本基金力争控制本基金日均跟踪偏离度的绝对值不超过0.35%，年跟踪误差不超过4%。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具有良好流动性的金融工具，以中证环境治理指数的成份股（含存托凭证）及其备选成份股(含中小板、创业板及其他经中国证监会核准的上市股票、存托凭证)为主要投资对象。为更好地实现投资目标，本基金也可少量投资于其他股票(非标的指数成份股（含存托凭证）及其备选成份股（含存托凭证）)、债券、中期票据、货币市场工具、债券回购、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的股票资产（含存托凭证）投资比例不低于基金资产的90%，本基金投资于中证环境治理指数的成份股（含存托凭证）及其备选成份股（含存托凭证）的比例不低于非现金基金资产的90%，投资于权证的比例不得超过基金资产净值的3%，每个交易日日终在扣除股指期货合约需缴纳的交易保证金以后，持有现金或到期日在一年以内的政府债券的比例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本基金标的指数为中证环境治理指数。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型基金，绝大部分资产采用完全复制标的指数的方法跟踪标的指数，即按照中证环境治理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pPr>
              <w:ind w:firstLine="420"/>
              <w:jc w:val="left"/>
              <w:rPr>
                <w:rFonts w:ascii="仿宋_GB2312" w:eastAsia="仿宋_GB2312"/>
                <w:szCs w:val="21"/>
              </w:rPr>
            </w:pPr>
            <w:r>
              <w:rPr>
                <w:rFonts w:hint="eastAsia" w:ascii="仿宋_GB2312" w:eastAsia="仿宋_GB2312"/>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中证环境治理指数收益率×95%＋银行活期存款利率（税后）×5%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详见《交银施罗德中证环境治理指数型证券投资基金(LOF)招募说明书》“基金的投资”。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2、本基金于2016年7月19日转型，转型当年净值增长率按实际存续期计算。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本基金的场内申购费率由场内销售机构参照上表场外申购费率设定。</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1.34%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6、基金运作的特定风险</w:t>
      </w:r>
    </w:p>
    <w:p>
      <w:pPr>
        <w:ind w:firstLine="420"/>
        <w:jc w:val="left"/>
        <w:rPr>
          <w:rFonts w:ascii="仿宋_GB2312" w:eastAsia="仿宋_GB2312"/>
          <w:szCs w:val="21"/>
        </w:rPr>
      </w:pPr>
      <w:r>
        <w:rPr>
          <w:rFonts w:hint="eastAsia" w:ascii="仿宋_GB2312" w:eastAsia="仿宋_GB2312"/>
          <w:szCs w:val="21"/>
        </w:rPr>
        <w:t>（1）上市交易风险</w:t>
      </w:r>
    </w:p>
    <w:p>
      <w:pPr>
        <w:ind w:firstLine="420"/>
        <w:jc w:val="left"/>
        <w:rPr>
          <w:rFonts w:ascii="仿宋_GB2312" w:eastAsia="仿宋_GB2312"/>
          <w:szCs w:val="21"/>
        </w:rPr>
      </w:pPr>
      <w:r>
        <w:rPr>
          <w:rFonts w:hint="eastAsia" w:ascii="仿宋_GB2312" w:eastAsia="仿宋_GB2312"/>
          <w:szCs w:val="21"/>
        </w:rPr>
        <w:t>本基金A类基金份额上市交易后，由于上市期间可能因发生停牌情形导致基金停牌，投资人在停牌期间不能买卖对应上市交易份额，从而产生不能买卖A类基金份额的风险；同时，可能因上市后交易对手不足而产生流动性风险；另外，当本基金A类基金份额存续期内不满足深圳证券交易所规定的上市条件时，本基金A类基金份额存在暂停上市或终止上市的可能。</w:t>
      </w:r>
    </w:p>
    <w:p>
      <w:pPr>
        <w:ind w:firstLine="420"/>
        <w:jc w:val="left"/>
        <w:rPr>
          <w:rFonts w:ascii="仿宋_GB2312" w:eastAsia="仿宋_GB2312"/>
          <w:szCs w:val="21"/>
        </w:rPr>
      </w:pPr>
      <w:r>
        <w:rPr>
          <w:rFonts w:hint="eastAsia" w:ascii="仿宋_GB2312" w:eastAsia="仿宋_GB2312"/>
          <w:szCs w:val="21"/>
        </w:rPr>
        <w:t>（2）基金份额的折/溢价交易风险</w:t>
      </w:r>
    </w:p>
    <w:p>
      <w:pPr>
        <w:ind w:firstLine="420"/>
        <w:jc w:val="left"/>
        <w:rPr>
          <w:rFonts w:ascii="仿宋_GB2312" w:eastAsia="仿宋_GB2312"/>
          <w:szCs w:val="21"/>
        </w:rPr>
      </w:pPr>
      <w:r>
        <w:rPr>
          <w:rFonts w:hint="eastAsia" w:ascii="仿宋_GB2312" w:eastAsia="仿宋_GB2312"/>
          <w:szCs w:val="21"/>
        </w:rPr>
        <w:t>本基金A类基金份额上市交易后，由于受市场供求关系的影响，A类基金份额的交易价格与A类基金份额的基金份额净值可能发生偏离而出现折/溢价交易风险。</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●《交银施罗德中证环境治理指数型证券投资基金（LOF）基金合同》、</w:t>
      </w:r>
    </w:p>
    <w:p>
      <w:pPr>
        <w:ind w:firstLine="420"/>
        <w:jc w:val="left"/>
        <w:rPr>
          <w:rFonts w:ascii="仿宋_GB2312" w:eastAsia="仿宋_GB2312"/>
          <w:szCs w:val="21"/>
        </w:rPr>
      </w:pPr>
      <w:r>
        <w:rPr>
          <w:rFonts w:hint="eastAsia" w:ascii="仿宋_GB2312" w:eastAsia="仿宋_GB2312"/>
          <w:szCs w:val="21"/>
        </w:rPr>
        <w:t>《交银施罗德中证环境治理指数型证券投资基金（LOF）托管协议》、</w:t>
      </w:r>
    </w:p>
    <w:p>
      <w:pPr>
        <w:ind w:firstLine="420"/>
        <w:jc w:val="left"/>
        <w:rPr>
          <w:rFonts w:ascii="仿宋_GB2312" w:eastAsia="仿宋_GB2312"/>
          <w:szCs w:val="21"/>
        </w:rPr>
      </w:pPr>
      <w:r>
        <w:rPr>
          <w:rFonts w:hint="eastAsia" w:ascii="仿宋_GB2312" w:eastAsia="仿宋_GB2312"/>
          <w:szCs w:val="21"/>
        </w:rPr>
        <w:t>《交银施罗德中证环境治理指数型证券投资基金（LOF）招募说明书》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A6231"/>
    <w:rsid w:val="009C0C41"/>
    <w:rsid w:val="009F4EAE"/>
    <w:rsid w:val="00AB59CB"/>
    <w:rsid w:val="00AF7A1E"/>
    <w:rsid w:val="00C0525C"/>
    <w:rsid w:val="00CD7637"/>
    <w:rsid w:val="00D04A15"/>
    <w:rsid w:val="00D373CC"/>
    <w:rsid w:val="00DB319C"/>
    <w:rsid w:val="00E51B6D"/>
    <w:rsid w:val="00F75715"/>
    <w:rsid w:val="00F811C4"/>
    <w:rsid w:val="00FC2918"/>
    <w:rsid w:val="41147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878</Words>
  <Characters>5008</Characters>
  <Lines>41</Lines>
  <Paragraphs>11</Paragraphs>
  <TotalTime>0</TotalTime>
  <ScaleCrop>false</ScaleCrop>
  <LinksUpToDate>false</LinksUpToDate>
  <CharactersWithSpaces>5875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2026-07-01T08:46:01Z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FE764225E06D4ED0B8AFD706C55CAD2A</vt:lpwstr>
  </property>
</Properties>
</file>