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交银施罗德品质升级混合型证券投资基金（A类份额）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交银品质升级混合A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005004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2018-02-08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韩威俊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2018-02-08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本基金在有效控制投资风险的前提下，聚焦居民生活品质升级的方向和趋势，通过把握消费成长领域的投资机会，力争为基金份额持有人获得超越业绩比较基准的收益。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如法律法规或监管机构以后允许基金投资其他品种，基金管理人在履行适当程序后，可以将其纳入投资范围。基金的投资组合比例为：股票资产（含存托凭证）占基金资产的50%-95%，投资于与品质升级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1、大类资产配置；2、股票投资策略；3、债券投资策略；4、权证投资策略；5、资产支持证券投资策略；6、股指期货投资策略。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沪深300指数收益率×60%+中证综合债券指数收益率×40%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详见《交银施罗德品质升级混合型证券投资基金招募说明书》“基金的投资”。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2、本基金合同于2018年2月8日生效，合同生效当年净值增长率按实际存续期计算。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M＜200万元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投资主题风险：本基金投资于品质升级主题相关证券的比例不低于非现金基金资产的80%，因此本基金的股票投资业绩与本基金界定的符合“品质升级”主题的上市公司发行证券的相关性较大，需承担相应风险。</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●《交银施罗德品质升级混合型证券投资基金基金合同》、</w:t>
      </w:r>
    </w:p>
    <w:p>
      <w:pPr>
        <w:ind w:firstLine="420"/>
        <w:jc w:val="left"/>
        <w:rPr>
          <w:rFonts w:ascii="仿宋_GB2312" w:eastAsia="仿宋_GB2312"/>
          <w:szCs w:val="21"/>
        </w:rPr>
      </w:pPr>
      <w:r>
        <w:rPr>
          <w:rFonts w:hint="eastAsia" w:ascii="仿宋_GB2312" w:eastAsia="仿宋_GB2312"/>
          <w:szCs w:val="21"/>
        </w:rPr>
        <w:t>《交银施罗德品质升级混合型证券投资基金托管协议》、</w:t>
      </w:r>
    </w:p>
    <w:p>
      <w:pPr>
        <w:ind w:firstLine="420"/>
        <w:jc w:val="left"/>
        <w:rPr>
          <w:rFonts w:ascii="仿宋_GB2312" w:eastAsia="仿宋_GB2312"/>
          <w:szCs w:val="21"/>
        </w:rPr>
      </w:pPr>
      <w:r>
        <w:rPr>
          <w:rFonts w:hint="eastAsia" w:ascii="仿宋_GB2312" w:eastAsia="仿宋_GB2312"/>
          <w:szCs w:val="21"/>
        </w:rPr>
        <w:t>《交银施罗德品质升级混合型证券投资基金招募说明书》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38F9"/>
    <w:rsid w:val="00D04A15"/>
    <w:rsid w:val="00D373CC"/>
    <w:rsid w:val="00DB319C"/>
    <w:rsid w:val="00E51B6D"/>
    <w:rsid w:val="00F75715"/>
    <w:rsid w:val="00F811C4"/>
    <w:rsid w:val="00FC2918"/>
    <w:rsid w:val="714866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764</Words>
  <Characters>4357</Characters>
  <Lines>36</Lines>
  <Paragraphs>10</Paragraphs>
  <TotalTime>1</TotalTime>
  <ScaleCrop>false</ScaleCrop>
  <LinksUpToDate>false</LinksUpToDate>
  <CharactersWithSpaces>5111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2026-06-23T08:17:00Z</dcterms:created>
  <dc:creator>Cc</dc:creator>
  <cp:lastModifiedBy>haotingting</cp:lastModifiedBy>
  <dcterms:modified xsi:type="dcterms:W3CDTF">2026-06-30T02:30:19Z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5B18D753806B4686B8ABD37FDCDF580E</vt:lpwstr>
  </property>
</Properties>
</file>