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B95288">
      <w:pPr>
        <w:rPr>
          <w:sz w:val="32"/>
        </w:rPr>
      </w:pPr>
    </w:p>
    <w:p w:rsidR="00C92FC0" w:rsidRPr="00EB07BC" w:rsidRDefault="00B95288">
      <w:pPr>
        <w:rPr>
          <w:sz w:val="32"/>
        </w:rPr>
      </w:pPr>
    </w:p>
    <w:p w:rsidR="00C92FC0" w:rsidRPr="00EB07BC" w:rsidRDefault="00B95288">
      <w:pPr>
        <w:rPr>
          <w:sz w:val="32"/>
        </w:rPr>
      </w:pPr>
    </w:p>
    <w:p w:rsidR="00D71111" w:rsidRDefault="00D7111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71111" w:rsidRDefault="00D7111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71111" w:rsidRDefault="00D7111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71111" w:rsidRDefault="00A36C32">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交银施罗德中债</w:t>
      </w:r>
      <w:r>
        <w:rPr>
          <w:rFonts w:ascii="Times New Roman" w:hAnsi="Times New Roman"/>
          <w:b/>
          <w:spacing w:val="2"/>
          <w:w w:val="99"/>
          <w:kern w:val="0"/>
          <w:position w:val="-4"/>
          <w:sz w:val="44"/>
          <w:szCs w:val="44"/>
        </w:rPr>
        <w:t>1-3</w:t>
      </w:r>
      <w:r>
        <w:rPr>
          <w:rFonts w:ascii="Times New Roman" w:hAnsi="Times New Roman"/>
          <w:b/>
          <w:spacing w:val="2"/>
          <w:w w:val="99"/>
          <w:kern w:val="0"/>
          <w:position w:val="-4"/>
          <w:sz w:val="44"/>
          <w:szCs w:val="44"/>
        </w:rPr>
        <w:t>年农发行债券指数证券投资基金</w:t>
      </w:r>
    </w:p>
    <w:p w:rsidR="00D71111" w:rsidRDefault="00A36C32">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D71111" w:rsidRDefault="00D71111">
      <w:pPr>
        <w:snapToGrid w:val="0"/>
        <w:spacing w:line="360" w:lineRule="auto"/>
        <w:jc w:val="center"/>
        <w:rPr>
          <w:rFonts w:ascii="宋体" w:hAnsi="宋体"/>
          <w:b/>
          <w:sz w:val="30"/>
          <w:szCs w:val="30"/>
        </w:rPr>
      </w:pPr>
    </w:p>
    <w:p w:rsidR="00D71111" w:rsidRDefault="00D711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1111" w:rsidRDefault="00D711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1111" w:rsidRDefault="00D711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1111" w:rsidRDefault="00D711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1111" w:rsidRDefault="00D711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1111" w:rsidRDefault="00D711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1111" w:rsidRDefault="00A36C3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D71111" w:rsidRDefault="00A36C3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基金托管人：中国光大银行股份有限公司</w:t>
      </w:r>
    </w:p>
    <w:p w:rsidR="00D71111" w:rsidRDefault="00D711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1111" w:rsidRDefault="00D711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1111" w:rsidRDefault="00A36C32">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D71111" w:rsidRDefault="00D71111">
      <w:pPr>
        <w:autoSpaceDE w:val="0"/>
        <w:autoSpaceDN w:val="0"/>
        <w:adjustRightInd w:val="0"/>
        <w:snapToGrid w:val="0"/>
        <w:spacing w:line="360" w:lineRule="auto"/>
        <w:ind w:left="1347" w:rightChars="6" w:right="13"/>
        <w:rPr>
          <w:rFonts w:ascii="宋体" w:hAnsi="宋体"/>
          <w:kern w:val="0"/>
          <w:sz w:val="32"/>
          <w:szCs w:val="32"/>
        </w:rPr>
        <w:sectPr w:rsidR="00D71111">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D71111" w:rsidRDefault="00A36C32">
      <w:pPr>
        <w:pStyle w:val="1"/>
        <w:snapToGrid w:val="0"/>
        <w:spacing w:beforeLines="0" w:before="240" w:after="240"/>
        <w:rPr>
          <w:rFonts w:ascii="宋体" w:hAnsi="宋体"/>
          <w:kern w:val="0"/>
        </w:rPr>
      </w:pPr>
      <w:bookmarkStart w:id="0" w:name="_Toc324920538"/>
      <w:bookmarkStart w:id="1" w:name="_Toc496884613"/>
      <w:bookmarkStart w:id="2" w:name="_Toc234408707"/>
      <w:r>
        <w:rPr>
          <w:rFonts w:ascii="Times New Roman" w:hAnsi="Times New Roman"/>
          <w:kern w:val="0"/>
        </w:rPr>
        <w:lastRenderedPageBreak/>
        <w:t>重要提示</w:t>
      </w:r>
      <w:bookmarkEnd w:id="0"/>
      <w:bookmarkEnd w:id="1"/>
      <w:bookmarkEnd w:id="2"/>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交银施罗德中债</w:t>
      </w:r>
      <w:r>
        <w:rPr>
          <w:rFonts w:ascii="Times New Roman" w:hAnsi="Times New Roman"/>
          <w:kern w:val="0"/>
          <w:sz w:val="24"/>
        </w:rPr>
        <w:t>1-3</w:t>
      </w:r>
      <w:r>
        <w:rPr>
          <w:rFonts w:ascii="Times New Roman" w:hAnsi="Times New Roman"/>
          <w:kern w:val="0"/>
          <w:sz w:val="24"/>
        </w:rPr>
        <w:t>年农发行债券指数证券投资基金（以下简称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2018</w:t>
      </w:r>
      <w:r>
        <w:rPr>
          <w:rFonts w:ascii="Times New Roman" w:hAnsi="Times New Roman"/>
          <w:kern w:val="0"/>
          <w:sz w:val="24"/>
        </w:rPr>
        <w:t>】</w:t>
      </w:r>
      <w:r>
        <w:rPr>
          <w:rFonts w:ascii="Times New Roman" w:hAnsi="Times New Roman"/>
          <w:kern w:val="0"/>
          <w:sz w:val="24"/>
        </w:rPr>
        <w:t>1856</w:t>
      </w:r>
      <w:r>
        <w:rPr>
          <w:rFonts w:ascii="Times New Roman" w:hAnsi="Times New Roman"/>
          <w:kern w:val="0"/>
          <w:sz w:val="24"/>
        </w:rPr>
        <w:t>号文准予募集注册。本基金基金合同于</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23</w:t>
      </w:r>
      <w:r>
        <w:rPr>
          <w:rFonts w:ascii="Times New Roman" w:hAnsi="Times New Roman"/>
          <w:kern w:val="0"/>
          <w:sz w:val="24"/>
        </w:rPr>
        <w:t>日正式生效。</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本基金投资策略所特有的指数化投资风险；本基金的特有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其他风险等等。其中指数化投资风险主要包括：标的指数回报与债券市场平均回报偏离的风险、标的指数下跌的风险、基金跟踪偏离风险、标的指数变更的风险、标的指数计算出错的风险、跟踪误差控制未达约定目标的风险、指数编制机构停止服务的风险、成份券停牌或违约的风险等。</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高于货币市场基金，低于混合型基金和股票型基金。本基金为指数型基金，主要采用抽样复制和动态最优化的方法跟踪标的指数的表现，具有与标的指数、以及标的指数所代表的债券市场相似的风险收益特征。</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本基金为指数基金，投资者投资于本基金面临跟踪误差控制未达约定目标、指数编制机构停止服务、成份券停牌或违约等潜在风险。</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本基金标的指数为中债</w:t>
      </w:r>
      <w:r>
        <w:rPr>
          <w:rFonts w:ascii="Times New Roman" w:hAnsi="Times New Roman"/>
          <w:kern w:val="0"/>
          <w:sz w:val="24"/>
        </w:rPr>
        <w:t>-1-3</w:t>
      </w:r>
      <w:r>
        <w:rPr>
          <w:rFonts w:ascii="Times New Roman" w:hAnsi="Times New Roman"/>
          <w:kern w:val="0"/>
          <w:sz w:val="24"/>
        </w:rPr>
        <w:t>年农发行债券指数。</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1</w:t>
      </w:r>
      <w:r>
        <w:rPr>
          <w:rFonts w:ascii="Times New Roman" w:hAnsi="Times New Roman"/>
          <w:kern w:val="0"/>
          <w:sz w:val="24"/>
        </w:rPr>
        <w:t>、选样空间</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成份券包括中国农业发展银行在境内公开发行且上市流通的待偿期</w:t>
      </w:r>
      <w:r>
        <w:rPr>
          <w:rFonts w:ascii="Times New Roman" w:hAnsi="Times New Roman"/>
          <w:kern w:val="0"/>
          <w:sz w:val="24"/>
        </w:rPr>
        <w:t>0.5</w:t>
      </w:r>
      <w:r>
        <w:rPr>
          <w:rFonts w:ascii="Times New Roman" w:hAnsi="Times New Roman"/>
          <w:kern w:val="0"/>
          <w:sz w:val="24"/>
        </w:rPr>
        <w:t>至</w:t>
      </w:r>
      <w:r>
        <w:rPr>
          <w:rFonts w:ascii="Times New Roman" w:hAnsi="Times New Roman"/>
          <w:kern w:val="0"/>
          <w:sz w:val="24"/>
        </w:rPr>
        <w:t>3</w:t>
      </w:r>
      <w:r>
        <w:rPr>
          <w:rFonts w:ascii="Times New Roman" w:hAnsi="Times New Roman"/>
          <w:kern w:val="0"/>
          <w:sz w:val="24"/>
        </w:rPr>
        <w:t>年（包含</w:t>
      </w:r>
      <w:r>
        <w:rPr>
          <w:rFonts w:ascii="Times New Roman" w:hAnsi="Times New Roman"/>
          <w:kern w:val="0"/>
          <w:sz w:val="24"/>
        </w:rPr>
        <w:t>0.5</w:t>
      </w:r>
      <w:r>
        <w:rPr>
          <w:rFonts w:ascii="Times New Roman" w:hAnsi="Times New Roman"/>
          <w:kern w:val="0"/>
          <w:sz w:val="24"/>
        </w:rPr>
        <w:t>年和</w:t>
      </w:r>
      <w:r>
        <w:rPr>
          <w:rFonts w:ascii="Times New Roman" w:hAnsi="Times New Roman"/>
          <w:kern w:val="0"/>
          <w:sz w:val="24"/>
        </w:rPr>
        <w:t>3</w:t>
      </w:r>
      <w:r>
        <w:rPr>
          <w:rFonts w:ascii="Times New Roman" w:hAnsi="Times New Roman"/>
          <w:kern w:val="0"/>
          <w:sz w:val="24"/>
        </w:rPr>
        <w:t>年）的政策性银行债。</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、选样方法</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2.1.</w:t>
      </w:r>
      <w:r>
        <w:rPr>
          <w:rFonts w:ascii="Times New Roman" w:hAnsi="Times New Roman"/>
          <w:kern w:val="0"/>
          <w:sz w:val="24"/>
        </w:rPr>
        <w:t>债券种类</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政策性银行债、扶贫专项金融债。</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2.2.</w:t>
      </w:r>
      <w:r>
        <w:rPr>
          <w:rFonts w:ascii="Times New Roman" w:hAnsi="Times New Roman"/>
          <w:kern w:val="0"/>
          <w:sz w:val="24"/>
        </w:rPr>
        <w:t>发行人</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中国农业发展银行。</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2.3.</w:t>
      </w:r>
      <w:r>
        <w:rPr>
          <w:rFonts w:ascii="Times New Roman" w:hAnsi="Times New Roman"/>
          <w:kern w:val="0"/>
          <w:sz w:val="24"/>
        </w:rPr>
        <w:t>上市地点</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全国银行间债券市场、上海证券交易所、深圳证券交易所。</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2.4.</w:t>
      </w:r>
      <w:r>
        <w:rPr>
          <w:rFonts w:ascii="Times New Roman" w:hAnsi="Times New Roman"/>
          <w:kern w:val="0"/>
          <w:sz w:val="24"/>
        </w:rPr>
        <w:t>托管余额</w:t>
      </w:r>
      <w:r>
        <w:rPr>
          <w:rFonts w:ascii="Times New Roman" w:hAnsi="Times New Roman"/>
          <w:kern w:val="0"/>
          <w:sz w:val="24"/>
        </w:rPr>
        <w:t>/</w:t>
      </w:r>
      <w:r>
        <w:rPr>
          <w:rFonts w:ascii="Times New Roman" w:hAnsi="Times New Roman"/>
          <w:kern w:val="0"/>
          <w:sz w:val="24"/>
        </w:rPr>
        <w:t>发行量</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无限制。</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2.5.</w:t>
      </w:r>
      <w:r>
        <w:rPr>
          <w:rFonts w:ascii="Times New Roman" w:hAnsi="Times New Roman"/>
          <w:kern w:val="0"/>
          <w:sz w:val="24"/>
        </w:rPr>
        <w:t>债券剩余期限</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0.5</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年（包含</w:t>
      </w:r>
      <w:r>
        <w:rPr>
          <w:rFonts w:ascii="Times New Roman" w:hAnsi="Times New Roman"/>
          <w:kern w:val="0"/>
          <w:sz w:val="24"/>
        </w:rPr>
        <w:t>0.5</w:t>
      </w:r>
      <w:r>
        <w:rPr>
          <w:rFonts w:ascii="Times New Roman" w:hAnsi="Times New Roman"/>
          <w:kern w:val="0"/>
          <w:sz w:val="24"/>
        </w:rPr>
        <w:t>年和</w:t>
      </w:r>
      <w:r>
        <w:rPr>
          <w:rFonts w:ascii="Times New Roman" w:hAnsi="Times New Roman"/>
          <w:kern w:val="0"/>
          <w:sz w:val="24"/>
        </w:rPr>
        <w:t>3</w:t>
      </w:r>
      <w:r>
        <w:rPr>
          <w:rFonts w:ascii="Times New Roman" w:hAnsi="Times New Roman"/>
          <w:kern w:val="0"/>
          <w:sz w:val="24"/>
        </w:rPr>
        <w:t>年），含权债剩余期限按计算日中债估值推荐方向选取。</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2.6.</w:t>
      </w:r>
      <w:r>
        <w:rPr>
          <w:rFonts w:ascii="Times New Roman" w:hAnsi="Times New Roman"/>
          <w:kern w:val="0"/>
          <w:sz w:val="24"/>
        </w:rPr>
        <w:t>债券币种</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人民币。</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2.7.</w:t>
      </w:r>
      <w:r>
        <w:rPr>
          <w:rFonts w:ascii="Times New Roman" w:hAnsi="Times New Roman"/>
          <w:kern w:val="0"/>
          <w:sz w:val="24"/>
        </w:rPr>
        <w:t>付息方式</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附息式固定利率。</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2.8.</w:t>
      </w:r>
      <w:r>
        <w:rPr>
          <w:rFonts w:ascii="Times New Roman" w:hAnsi="Times New Roman"/>
          <w:kern w:val="0"/>
          <w:sz w:val="24"/>
        </w:rPr>
        <w:t>上市期限</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无限制。</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2.9.</w:t>
      </w:r>
      <w:r>
        <w:rPr>
          <w:rFonts w:ascii="Times New Roman" w:hAnsi="Times New Roman"/>
          <w:kern w:val="0"/>
          <w:sz w:val="24"/>
        </w:rPr>
        <w:t>含权债</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包含含权债。</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有关标的指数具体编制方案详见中国债券信息网，网址：</w:t>
      </w:r>
      <w:r>
        <w:rPr>
          <w:rFonts w:ascii="Times New Roman" w:hAnsi="Times New Roman"/>
          <w:kern w:val="0"/>
          <w:sz w:val="24"/>
        </w:rPr>
        <w:t>https://www.chinabond.com.cn/</w:t>
      </w:r>
      <w:r>
        <w:rPr>
          <w:rFonts w:ascii="Times New Roman" w:hAnsi="Times New Roman"/>
          <w:kern w:val="0"/>
          <w:sz w:val="24"/>
        </w:rPr>
        <w:t>。</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投资有风险，投资人在投资本基金前应认真阅读本基金的招募说明书和基金合同、基金产品资料概要等信息披露文件，自主判断基金的投资价值，自主作出</w:t>
      </w:r>
      <w:r>
        <w:rPr>
          <w:rFonts w:ascii="Times New Roman" w:hAnsi="Times New Roman"/>
          <w:kern w:val="0"/>
          <w:sz w:val="24"/>
        </w:rPr>
        <w:lastRenderedPageBreak/>
        <w:t>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D71111" w:rsidRDefault="00A36C3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D71111" w:rsidRDefault="00D71111">
      <w:pPr>
        <w:autoSpaceDE w:val="0"/>
        <w:autoSpaceDN w:val="0"/>
        <w:adjustRightInd w:val="0"/>
        <w:snapToGrid w:val="0"/>
        <w:spacing w:before="51" w:line="360" w:lineRule="auto"/>
        <w:ind w:left="120" w:rightChars="6" w:right="13" w:firstLine="480"/>
        <w:rPr>
          <w:rFonts w:ascii="宋体" w:hAnsi="宋体"/>
          <w:kern w:val="0"/>
          <w:szCs w:val="24"/>
        </w:rPr>
        <w:sectPr w:rsidR="00D71111">
          <w:headerReference w:type="default" r:id="rId14"/>
          <w:pgSz w:w="11920" w:h="16840"/>
          <w:pgMar w:top="1440" w:right="1680" w:bottom="280" w:left="1680" w:header="0" w:footer="1073" w:gutter="0"/>
          <w:pgNumType w:start="1"/>
          <w:cols w:space="720"/>
        </w:sectPr>
      </w:pPr>
    </w:p>
    <w:p w:rsidR="00B95288" w:rsidRPr="00B95288" w:rsidRDefault="00A36C32" w:rsidP="00B95288">
      <w:pPr>
        <w:pStyle w:val="ad"/>
        <w:snapToGrid w:val="0"/>
        <w:spacing w:after="240" w:line="360" w:lineRule="auto"/>
        <w:jc w:val="center"/>
        <w:rPr>
          <w:rFonts w:ascii="宋体" w:hAnsi="宋体"/>
          <w:noProof/>
          <w:sz w:val="24"/>
        </w:rPr>
      </w:pPr>
      <w:r w:rsidRPr="00B95288">
        <w:rPr>
          <w:rFonts w:ascii="宋体" w:hAnsi="宋体"/>
          <w:color w:val="000000"/>
          <w:position w:val="-4"/>
          <w:sz w:val="24"/>
          <w:szCs w:val="30"/>
        </w:rPr>
        <w:lastRenderedPageBreak/>
        <w:t>目</w:t>
      </w:r>
      <w:r w:rsidRPr="00B95288">
        <w:rPr>
          <w:rFonts w:ascii="宋体" w:hAnsi="宋体"/>
          <w:color w:val="000000"/>
          <w:position w:val="-4"/>
          <w:sz w:val="24"/>
          <w:szCs w:val="30"/>
        </w:rPr>
        <w:tab/>
        <w:t>录</w:t>
      </w:r>
      <w:r w:rsidR="00B95288" w:rsidRPr="00B95288">
        <w:rPr>
          <w:rFonts w:ascii="宋体" w:hAnsi="宋体"/>
          <w:color w:val="000000"/>
          <w:position w:val="-4"/>
          <w:sz w:val="24"/>
          <w:szCs w:val="30"/>
        </w:rPr>
        <w:fldChar w:fldCharType="begin"/>
      </w:r>
      <w:r w:rsidR="00B95288" w:rsidRPr="00B95288">
        <w:rPr>
          <w:rFonts w:ascii="宋体" w:hAnsi="宋体"/>
          <w:color w:val="000000"/>
          <w:position w:val="-4"/>
          <w:sz w:val="24"/>
          <w:szCs w:val="30"/>
        </w:rPr>
        <w:instrText xml:space="preserve"> TOC \o "1-3" \f - \h \t "-1" </w:instrText>
      </w:r>
      <w:r w:rsidR="00B95288" w:rsidRPr="00B95288">
        <w:rPr>
          <w:rFonts w:ascii="宋体" w:hAnsi="宋体"/>
          <w:color w:val="000000"/>
          <w:position w:val="-4"/>
          <w:sz w:val="24"/>
          <w:szCs w:val="30"/>
        </w:rPr>
        <w:fldChar w:fldCharType="separate"/>
      </w:r>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07" w:history="1">
        <w:r w:rsidRPr="00B95288">
          <w:rPr>
            <w:rStyle w:val="aa"/>
            <w:rFonts w:ascii="宋体" w:hAnsi="宋体" w:hint="eastAsia"/>
            <w:noProof/>
            <w:kern w:val="0"/>
            <w:sz w:val="24"/>
          </w:rPr>
          <w:t>重要提示</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_Toc234408707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1</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08" w:history="1">
        <w:r w:rsidRPr="00B95288">
          <w:rPr>
            <w:rStyle w:val="aa"/>
            <w:rFonts w:ascii="宋体" w:hAnsi="宋体" w:hint="eastAsia"/>
            <w:noProof/>
            <w:sz w:val="24"/>
          </w:rPr>
          <w:t>一、绪言</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_Toc234408708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5</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09" w:history="1">
        <w:r w:rsidRPr="00B95288">
          <w:rPr>
            <w:rStyle w:val="aa"/>
            <w:rFonts w:ascii="宋体" w:hAnsi="宋体" w:hint="eastAsia"/>
            <w:noProof/>
            <w:sz w:val="24"/>
          </w:rPr>
          <w:t>二、释义</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_Toc234408709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6</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10" w:history="1">
        <w:r w:rsidRPr="00B95288">
          <w:rPr>
            <w:rStyle w:val="aa"/>
            <w:rFonts w:ascii="宋体" w:hAnsi="宋体" w:hint="eastAsia"/>
            <w:noProof/>
            <w:sz w:val="24"/>
          </w:rPr>
          <w:t>三、基金管理人</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_Toc234408710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11</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11" w:history="1">
        <w:r w:rsidRPr="00B95288">
          <w:rPr>
            <w:rStyle w:val="aa"/>
            <w:rFonts w:ascii="宋体" w:hAnsi="宋体" w:hint="eastAsia"/>
            <w:noProof/>
            <w:sz w:val="24"/>
          </w:rPr>
          <w:t>四、基金托管人</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_Toc234408711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19</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12" w:history="1">
        <w:r w:rsidRPr="00B95288">
          <w:rPr>
            <w:rStyle w:val="aa"/>
            <w:rFonts w:ascii="宋体" w:hAnsi="宋体" w:hint="eastAsia"/>
            <w:noProof/>
            <w:sz w:val="24"/>
          </w:rPr>
          <w:t>五、相关服务机构</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_Toc234408712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22</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13" w:history="1">
        <w:r w:rsidRPr="00B95288">
          <w:rPr>
            <w:rStyle w:val="aa"/>
            <w:rFonts w:ascii="宋体" w:hAnsi="宋体" w:hint="eastAsia"/>
            <w:noProof/>
            <w:sz w:val="24"/>
          </w:rPr>
          <w:t>六、基金的募集</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_Toc234408713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42</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14" w:history="1">
        <w:r w:rsidRPr="00B95288">
          <w:rPr>
            <w:rStyle w:val="aa"/>
            <w:rFonts w:ascii="宋体" w:hAnsi="宋体" w:hint="eastAsia"/>
            <w:noProof/>
            <w:sz w:val="24"/>
          </w:rPr>
          <w:t>七、基金合同的生效</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_Toc234408714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43</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15" w:history="1">
        <w:r w:rsidRPr="00B95288">
          <w:rPr>
            <w:rStyle w:val="aa"/>
            <w:rFonts w:ascii="宋体" w:hAnsi="宋体" w:hint="eastAsia"/>
            <w:noProof/>
            <w:sz w:val="24"/>
          </w:rPr>
          <w:t>八、基金份额的申购与赎回</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_Toc234408715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44</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16" w:history="1">
        <w:r w:rsidRPr="00B95288">
          <w:rPr>
            <w:rStyle w:val="aa"/>
            <w:rFonts w:ascii="宋体" w:hAnsi="宋体" w:hint="eastAsia"/>
            <w:noProof/>
            <w:sz w:val="24"/>
          </w:rPr>
          <w:t>九、基金的转换</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_Toc234408716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59</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17" w:history="1">
        <w:r w:rsidRPr="00B95288">
          <w:rPr>
            <w:rStyle w:val="aa"/>
            <w:rFonts w:ascii="宋体" w:hAnsi="宋体" w:hint="eastAsia"/>
            <w:noProof/>
            <w:sz w:val="24"/>
          </w:rPr>
          <w:t>十、基金的投资</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_Toc234408717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66</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18" w:history="1">
        <w:r w:rsidRPr="00B95288">
          <w:rPr>
            <w:rStyle w:val="aa"/>
            <w:rFonts w:ascii="宋体" w:hAnsi="宋体" w:hint="eastAsia"/>
            <w:noProof/>
            <w:sz w:val="24"/>
          </w:rPr>
          <w:t>十一、基金的业绩</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_Toc234408718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75</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19" w:history="1">
        <w:r w:rsidRPr="00B95288">
          <w:rPr>
            <w:rStyle w:val="aa"/>
            <w:rFonts w:ascii="宋体" w:hAnsi="宋体" w:hint="eastAsia"/>
            <w:noProof/>
            <w:sz w:val="24"/>
          </w:rPr>
          <w:t>十二、基金的财产</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_Toc234408719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79</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20" w:history="1">
        <w:r w:rsidRPr="00B95288">
          <w:rPr>
            <w:rStyle w:val="aa"/>
            <w:rFonts w:ascii="宋体" w:hAnsi="宋体" w:hint="eastAsia"/>
            <w:noProof/>
            <w:sz w:val="24"/>
          </w:rPr>
          <w:t>十三、基金资产的估值</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_Toc234408720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80</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21" w:history="1">
        <w:r w:rsidRPr="00B95288">
          <w:rPr>
            <w:rStyle w:val="aa"/>
            <w:rFonts w:ascii="宋体" w:hAnsi="宋体" w:hint="eastAsia"/>
            <w:noProof/>
            <w:sz w:val="24"/>
          </w:rPr>
          <w:t>十四、基金收益与分配</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_Toc234408721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85</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22" w:history="1">
        <w:r w:rsidRPr="00B95288">
          <w:rPr>
            <w:rStyle w:val="aa"/>
            <w:rFonts w:ascii="宋体" w:hAnsi="宋体" w:hint="eastAsia"/>
            <w:noProof/>
            <w:sz w:val="24"/>
          </w:rPr>
          <w:t>十五、基金的费用与税收</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_Toc234408722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87</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23" w:history="1">
        <w:r w:rsidRPr="00B95288">
          <w:rPr>
            <w:rStyle w:val="aa"/>
            <w:rFonts w:ascii="宋体" w:hAnsi="宋体" w:hint="eastAsia"/>
            <w:noProof/>
            <w:sz w:val="24"/>
          </w:rPr>
          <w:t>十六、基金的会计与审计</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_Toc234408723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90</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24" w:history="1">
        <w:r w:rsidRPr="00B95288">
          <w:rPr>
            <w:rStyle w:val="aa"/>
            <w:rFonts w:ascii="宋体" w:hAnsi="宋体" w:hint="eastAsia"/>
            <w:noProof/>
            <w:sz w:val="24"/>
          </w:rPr>
          <w:t>十七、基金的信息披露</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_Toc234408724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91</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25" w:history="1">
        <w:r w:rsidRPr="00B95288">
          <w:rPr>
            <w:rStyle w:val="aa"/>
            <w:rFonts w:ascii="宋体" w:hAnsi="宋体" w:hint="eastAsia"/>
            <w:noProof/>
            <w:sz w:val="24"/>
          </w:rPr>
          <w:t>十八、侧袋机制</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_Toc234408725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97</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26" w:history="1">
        <w:r w:rsidRPr="00B95288">
          <w:rPr>
            <w:rStyle w:val="aa"/>
            <w:rFonts w:ascii="宋体" w:hAnsi="宋体" w:hint="eastAsia"/>
            <w:noProof/>
            <w:sz w:val="24"/>
          </w:rPr>
          <w:t>十九、风险揭示</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_Toc234408726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100</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27" w:history="1">
        <w:r w:rsidRPr="00B95288">
          <w:rPr>
            <w:rStyle w:val="aa"/>
            <w:rFonts w:ascii="宋体" w:hAnsi="宋体" w:hint="eastAsia"/>
            <w:noProof/>
            <w:sz w:val="24"/>
          </w:rPr>
          <w:t>二十、基金合同的变更、终止与基金财产的清算</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_Toc234408727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108</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28" w:history="1">
        <w:r w:rsidRPr="00B95288">
          <w:rPr>
            <w:rStyle w:val="aa"/>
            <w:rFonts w:ascii="宋体" w:hAnsi="宋体" w:hint="eastAsia"/>
            <w:noProof/>
            <w:sz w:val="24"/>
          </w:rPr>
          <w:t>二十一、基金合同内容摘要</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_Toc234408728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110</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29" w:history="1">
        <w:r w:rsidRPr="00B95288">
          <w:rPr>
            <w:rStyle w:val="aa"/>
            <w:rFonts w:ascii="宋体" w:hAnsi="宋体" w:hint="eastAsia"/>
            <w:noProof/>
            <w:sz w:val="24"/>
          </w:rPr>
          <w:t>二十二、托管协议的内容摘要</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_Toc234408729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127</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30" w:history="1">
        <w:r w:rsidRPr="00B95288">
          <w:rPr>
            <w:rStyle w:val="aa"/>
            <w:rFonts w:ascii="宋体" w:hAnsi="宋体" w:hint="eastAsia"/>
            <w:noProof/>
            <w:sz w:val="24"/>
          </w:rPr>
          <w:t>二十三、对基金份额持有人的服务</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_Toc234408730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137</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31" w:history="1">
        <w:r w:rsidRPr="00B95288">
          <w:rPr>
            <w:rStyle w:val="aa"/>
            <w:rFonts w:ascii="宋体" w:hAnsi="宋体" w:hint="eastAsia"/>
            <w:noProof/>
            <w:sz w:val="24"/>
          </w:rPr>
          <w:t>二十四、其他应披露事项</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_Toc234408731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139</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32" w:history="1">
        <w:r w:rsidRPr="00B95288">
          <w:rPr>
            <w:rStyle w:val="aa"/>
            <w:rFonts w:ascii="宋体" w:hAnsi="宋体" w:hint="eastAsia"/>
            <w:noProof/>
            <w:sz w:val="24"/>
          </w:rPr>
          <w:t>二十五、招募说明书的存放及查阅方式</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_Toc234408732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142</w:t>
        </w:r>
        <w:r w:rsidRPr="00B95288">
          <w:rPr>
            <w:rFonts w:ascii="宋体" w:hAnsi="宋体"/>
            <w:noProof/>
            <w:sz w:val="24"/>
          </w:rPr>
          <w:fldChar w:fldCharType="end"/>
        </w:r>
      </w:hyperlink>
    </w:p>
    <w:p w:rsidR="00B95288" w:rsidRPr="00B95288" w:rsidRDefault="00B95288" w:rsidP="00B95288">
      <w:pPr>
        <w:pStyle w:val="10"/>
        <w:tabs>
          <w:tab w:val="right" w:leader="dot" w:pos="8550"/>
        </w:tabs>
        <w:spacing w:line="360" w:lineRule="auto"/>
        <w:rPr>
          <w:rFonts w:ascii="宋体" w:hAnsi="宋体" w:cstheme="minorBidi"/>
          <w:noProof/>
          <w:sz w:val="24"/>
        </w:rPr>
      </w:pPr>
      <w:hyperlink w:anchor="_Toc234408733" w:history="1">
        <w:r w:rsidRPr="00B95288">
          <w:rPr>
            <w:rStyle w:val="aa"/>
            <w:rFonts w:ascii="宋体" w:hAnsi="宋体" w:hint="eastAsia"/>
            <w:noProof/>
            <w:sz w:val="24"/>
          </w:rPr>
          <w:t>二十六、备查文件</w:t>
        </w:r>
        <w:r w:rsidRPr="00B95288">
          <w:rPr>
            <w:rFonts w:ascii="宋体" w:hAnsi="宋体"/>
            <w:noProof/>
            <w:sz w:val="24"/>
          </w:rPr>
          <w:tab/>
        </w:r>
        <w:r w:rsidRPr="00B95288">
          <w:rPr>
            <w:rFonts w:ascii="宋体" w:hAnsi="宋体"/>
            <w:noProof/>
            <w:sz w:val="24"/>
          </w:rPr>
          <w:fldChar w:fldCharType="begin"/>
        </w:r>
        <w:r w:rsidRPr="00B95288">
          <w:rPr>
            <w:rFonts w:ascii="宋体" w:hAnsi="宋体"/>
            <w:noProof/>
            <w:sz w:val="24"/>
          </w:rPr>
          <w:instrText xml:space="preserve"> PAGEREF _Toc234408733 \h </w:instrText>
        </w:r>
        <w:r w:rsidRPr="00B95288">
          <w:rPr>
            <w:rFonts w:ascii="宋体" w:hAnsi="宋体"/>
            <w:noProof/>
            <w:sz w:val="24"/>
          </w:rPr>
        </w:r>
        <w:r w:rsidRPr="00B95288">
          <w:rPr>
            <w:rFonts w:ascii="宋体" w:hAnsi="宋体"/>
            <w:noProof/>
            <w:sz w:val="24"/>
          </w:rPr>
          <w:fldChar w:fldCharType="separate"/>
        </w:r>
        <w:r w:rsidRPr="00B95288">
          <w:rPr>
            <w:rFonts w:ascii="宋体" w:hAnsi="宋体"/>
            <w:noProof/>
            <w:sz w:val="24"/>
          </w:rPr>
          <w:t>143</w:t>
        </w:r>
        <w:r w:rsidRPr="00B95288">
          <w:rPr>
            <w:rFonts w:ascii="宋体" w:hAnsi="宋体"/>
            <w:noProof/>
            <w:sz w:val="24"/>
          </w:rPr>
          <w:fldChar w:fldCharType="end"/>
        </w:r>
      </w:hyperlink>
    </w:p>
    <w:p w:rsidR="00D71111" w:rsidRPr="00B95288" w:rsidRDefault="00B95288" w:rsidP="00B95288">
      <w:pPr>
        <w:pStyle w:val="ad"/>
        <w:snapToGrid w:val="0"/>
        <w:spacing w:after="240" w:line="360" w:lineRule="auto"/>
        <w:jc w:val="center"/>
        <w:rPr>
          <w:rFonts w:ascii="宋体" w:hAnsi="宋体"/>
          <w:color w:val="000000"/>
          <w:sz w:val="24"/>
        </w:rPr>
      </w:pPr>
      <w:r w:rsidRPr="00B95288">
        <w:rPr>
          <w:rFonts w:ascii="宋体" w:hAnsi="宋体"/>
          <w:color w:val="000000"/>
          <w:position w:val="-4"/>
          <w:sz w:val="24"/>
          <w:szCs w:val="30"/>
        </w:rPr>
        <w:fldChar w:fldCharType="end"/>
      </w:r>
      <w:bookmarkStart w:id="3" w:name="_GoBack"/>
      <w:bookmarkEnd w:id="3"/>
    </w:p>
    <w:p w:rsidR="00D71111" w:rsidRDefault="00D71111">
      <w:pPr>
        <w:autoSpaceDE w:val="0"/>
        <w:autoSpaceDN w:val="0"/>
        <w:adjustRightInd w:val="0"/>
        <w:snapToGrid w:val="0"/>
        <w:spacing w:line="360" w:lineRule="auto"/>
        <w:ind w:left="120" w:rightChars="6" w:right="13"/>
        <w:rPr>
          <w:rFonts w:ascii="宋体" w:hAnsi="宋体"/>
          <w:kern w:val="0"/>
          <w:szCs w:val="24"/>
        </w:rPr>
        <w:sectPr w:rsidR="00D71111">
          <w:pgSz w:w="11920" w:h="16840"/>
          <w:pgMar w:top="1480" w:right="1680" w:bottom="280" w:left="1680" w:header="0" w:footer="1073" w:gutter="0"/>
          <w:cols w:space="720"/>
        </w:sectPr>
      </w:pPr>
    </w:p>
    <w:p w:rsidR="00D71111" w:rsidRDefault="00A36C32">
      <w:pPr>
        <w:pStyle w:val="1"/>
        <w:snapToGrid w:val="0"/>
        <w:spacing w:beforeLines="0" w:before="240" w:after="240"/>
        <w:rPr>
          <w:rFonts w:ascii="宋体" w:hAnsi="宋体"/>
          <w:szCs w:val="30"/>
        </w:rPr>
      </w:pPr>
      <w:bookmarkStart w:id="4" w:name="_Toc234408708"/>
      <w:r>
        <w:rPr>
          <w:rFonts w:ascii="Times New Roman" w:hAnsi="Times New Roman"/>
          <w:sz w:val="30"/>
        </w:rPr>
        <w:lastRenderedPageBreak/>
        <w:t>一、绪言</w:t>
      </w:r>
      <w:bookmarkEnd w:id="4"/>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债1-3年农发行债券指数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公开募集证券投资基金运作指引第3号——指数基金指引》（以下简称“《指数基金指引》”）和其他相关法律法规的规定以及《交银施罗德中债1-3年农发行债券指数证券投资基金基金合同》（以下简称“基金合同”）编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5" w:name="_Toc234408709"/>
      <w:r>
        <w:rPr>
          <w:rFonts w:ascii="Times New Roman" w:hAnsi="Times New Roman"/>
          <w:sz w:val="30"/>
        </w:rPr>
        <w:lastRenderedPageBreak/>
        <w:t>二、释义</w:t>
      </w:r>
      <w:bookmarkEnd w:id="5"/>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1、基金或本基金：指交银施罗德中债1-3年农发行债券指数证券投资基金</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3、基金托管人或本基金托管人：指中国光大银行股份有限公司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4、基金合同或《基金合同》：指《交银施罗德中债1-3年农发行债券指数证券投资基金基金合同》及对基金合同的任何有效修订和补充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5、托管协议：指基金管理人与基金托管人就本基金签订之《交银施罗德中债1-3年农发行债券指数证券投资基金托管协议》及对该托管协议的任何有效修订和补充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6、招募说明书、本招募说明书或《招募说明书》：指《交银施罗德中债1-3年农发行债券指数证券投资基金招募说明书》及其更新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7、基金份额发售公告：指《交银施罗德中债1-3年农发行债券指数证券投资基金基金份额发售公告》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8、基金产品资料概要：指《交银施罗德中债1-3年农发行债券指数证券投资基金基金产品资料概要》及其更新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 2017年8月31日颁布、同年10月1日实施的《公开募集开放式证券投资基金流动性风险管理规定》及颁布机关对其不时做出的修订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15、《指数基金指引》：指中国证监会2021年1月22日颁布、同年2月1日实施的《公开募集证券投资基金运作指引第3号——指数基金指引》及颁布机关对其不时做出的修订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摆动定价机制：指当开放式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具体处理原则与操作规范遵循相关法律法规以及监管部门、自律规则的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18、中国证监会：指中国证券监督管理委员会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19、银行业监督管理机构：指中国人民银行和/或中国银行保险监督管理委员会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20、基金合同当事人：指受基金合同约束，根据基金合同享有权利并承担义务的法律主体，包括基金管理人、基金托管人和基金份额持有人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21、个人投资者：指依据有关法律法规规定可投资于证券投资基金的自然人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22、机构投资者：指依法可以投资证券投资基金的、在中华人民共和国境内合法登记并存续或经有关政府部门批准设立并存续的企业法人、事业法人、社会团体或其他组织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23、合格境外机构投资者：指符合《合格境外机构投资者境内证券投资管理办法》及相关法律法规规定可以投资于在中国境内依法募集的证券投资基金的中国境外的机构投资者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24、人民币合格境外机构投资者：指按照《人民币合格境外机构投资者境内证券投资试点办法》及相关法律法规规定，运用来自境外的人民币资金进行中国境内证券投资的境外机构投资者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25、投资人或投资者：指个人投资者、机构投资者、合格境外机构投资者和人民币合格境外机构投资者以及法律法规或中国证监会允许购买证券投资基金的其他投资人的合称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26、基金份额持有人：指依基金合同和招募说明书合法取得基金份额的投资人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27、基金销售业务：指基金管理人或销售机构宣传推介基金，发售基金份额，办理基金份额的申购、赎回、转换、转托管及定期定额投资等业务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28、销售机构：指交银施罗德基金管理有限公司以及符合《销售办法》和中国证监会规定的其他条件，取得基金销售业务资格并与基金管理人签订了基金销售服务协议，办理基金销售业务的机构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30、登记机构：指办理登记业务的机构。基金的登记机构为交银施罗德基金管理有限公司或接受交银施罗德基金管理有限公司委托办理登记业务的机构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31、基金账户：指登记机构为投资人开立的、记录其持有的、基金管理人所管理的基金份额余额及其变动情况的账户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32、基金交易账户：指销售机构为投资人开立的、记录投资人通过该销售机构办理认购、申购、赎回、转换、定期定额投资及转托管等业务而引起的基金份额变动及结余情况的账户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33、基金合同生效日：指基金募集达到法律法规规定及基金合同规定的条件，基金管理人向中国证监会办理基金备案手续完毕，并获得中国证监会书面确认的日期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34、基金合同终止日：指基金合同规定的基金合同终止事由出现后，基金财产清算完毕，清算结果报中国证监会备案并予以公告的日期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35、基金募集期：指自基金份额发售之日起至发售结束之日止的期间，最长不得超过3个月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36、存续期：指基金合同生效至终止之间的不定期期限</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37、工作日：指上海证券交易所、深圳证券交易所的正常交易日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38、T日：指销售机构在规定时间受理投资人申购、赎回或其他业务申请的开放日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39、T+n日：指自T日起第n个工作日(不包含T日)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40、开放日：指为投资人办理基金份额申购、赎回或其他业务的工作日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41、开放时间：指开放日基金接受申购、赎回或其他交易的时间段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42、《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43、认购：指在基金募集期内，投资人根据基金合同和招募说明书的规定申请购买基金份额的行为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44、申购：指基金合同生效后，投资人根据基金合同和招募说明书的规定申请购买基金份额的行为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45、赎回：指基金合同生效后，基金份额持有人按基金合同和招募说明书规定的条件要求将基金份额兑换为现金的行为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46、销售服务费：指从基金资产中计提的，用于本基金市场推广、销售以及基金份额持有人服务的费用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份额类别：指本基金根据认购/申购费用、销售服务费收取标准和收取方式的不同，将基金份额分为不同的类别。在投资人认购/申购时收取认购/申购费用、赎回时收取赎回费用的，称为A类基金份额，在投资人认购/申购时不收取认购/申购费用、赎回时收取赎回费用，并从本类别基金资产中计提销售服务费的，称为C类基金份额；在投资人申购时收取申购费用、赎回时收取赎回费用的，称为D类基金份额，A类基金份额与D类基金份额设置不同的申购费、赎回费收取标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48、基金转换：指基金份额持有人按照基金合同和基金管理人届时有效公告规定的条件，申请将其持有基金管理人管理的、某一基金的基金份额转换为基金管理人管理的其他基金基金份额的行为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49、转托管：指基金份额持有人在本基金的不同销售机构之间实施的变更所持基金份额销售机构的操作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52、元：指人民币元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53、基金收益：指基金投资所得债券利息、买卖证券价差、银行存款利息、已实现的其他合法收入及因运用基金财产带来的成本和费用的节约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54、基金资产总值：指基金拥有的各类有价证券、银行存款本息、基金应收申购款及其他资产的价值总和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55、基金资产净值：指基金资产总值减去基金负债后的价值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56、基金份额净值：指计算日基金资产净值除以计算日基金份额总数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57、基金资产估值：指计算评估基金资产和负债的价值，以确定基金资产净值和基金份额净值的过程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58、指定媒介：指中国证监会指定的用以进行信息披露的全国性报刊及指定互联网网站（包括基金管理人网站、基金托管人网站、中国证监会基金电子披露网站）等媒介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6" w:name="_Toc234408710"/>
      <w:r>
        <w:rPr>
          <w:rFonts w:ascii="Times New Roman" w:hAnsi="Times New Roman"/>
          <w:sz w:val="30"/>
        </w:rPr>
        <w:lastRenderedPageBreak/>
        <w:t>三、基金管理人</w:t>
      </w:r>
      <w:bookmarkEnd w:id="6"/>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顺晨女士:基金经理。上海财经大学金融学博士，10年证券投资行业从业经验。2016年至2017年任国金证券研究所研究员。2017年加入交银施罗德基金管理有限公司，历任固定收益部研究员，基金经理助理。曾任交银施罗德鑫选回报混合型证券投资基金(2023年06月09日至2024年05月22日)、交银施罗德增利债券证券投资基金(2023年06月09日至2024年11月23日)、交银施罗德裕景纯债一年定期开放债券型证券投资基金(2023年06月09日至2026年03月06日)的基金经理。现任交银施罗德裕坤纯债一年定期开放债券型发起式证券投资基金(2023年06月09日至今)、交银施罗德裕如纯债债券型证券投资基金(2023年06月09日至今)、交银施罗德裕泰两年定期开放债券型证券投资基金(2023年06月09日至今)、交银施罗德中债1-3年农发行债券指数证券投资基金(2023年06月09日至今)、交银施罗德中债1-3年政策性金融债指数证券投资基金(2023年08月23日至今)、交银施罗德裕祥纯债债券型证券投资基金(2024年02月08日至今)、交银施罗德中债0-3年政策性金融债指数证券投资基金(2024年12月19日至今)、交银施罗德丰润收益债券型证券投资基金(2025年01月09日至今)、交银施罗德裕盈纯债债券型证券投资基金(2025年01月17日至今)、交银施罗德境尚收益债券型证券投资基金(2026年01月08日至今)的基金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苏建文女士:基金经理。上海交通大学金融学硕士、北京大学国际政治经济学学士。7年证券投资行业从业经验。2019年加入交银施罗德基金管理有限公司，曾任固定收益部研究员、基金经理助理、混合资产投资部基金经理助理，现任混合资产投资部基金经理。现任交银施罗德丰润收益债券型证券投资基金(2025年01月23日至今)、交银施罗德中债0-3年政策性金融债指数证券投资基金(2025年01月23日至今)、交银施罗德裕泰两年定期开放债券型证券投资基金(2025年01月23日至今)、交银施罗德中债1-3年政策性金融债指数证券投资基金(2025年01月23日至今)、交银施罗德裕盈纯债债券型证券投资基金(2025年01月23日至今)、交银施罗德中债1-3年农发行债券指数证券投资基金(2025年01月23日至今)、交银施罗德裕道纯债一年定期开放债券型发起式证券投资基金(2025年03月15日至今)、交银施罗德裕祥纯债债券型证券投资基金(2025年07月03日至今)的基金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虞汉阳先生: 基金经理。浙江大学工学博士，8年证券投资相关从业经验。2018年至2022年任中国农业银行股份有限公司金融市场部高级交易员，2022年至</w:t>
      </w:r>
      <w:r>
        <w:rPr>
          <w:rFonts w:ascii="宋体" w:hAnsi="宋体"/>
          <w:sz w:val="24"/>
        </w:rPr>
        <w:lastRenderedPageBreak/>
        <w:t>2023年任西部证券股份有限公司固定收益部投资经理，2023年至2025年任兴银理财有限责任公司专户投资部高级投资经理。2025年加入交银施罗德基金管理有限公司任混合资产投资部基金经理。现任交银施罗德裕盈纯债债券型证券投资基金(2026年02月07日至今)、交银施罗德裕祥纯债债券型证券投资基金(2026年02月07日至今)、交银施罗德中债1-3年农发行债券指数证券投资基金(2026年02月07日至今)的基金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魏玉敏女士(2019年01月23日至2021年12月16日)；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季参平先生(2021年08月19日至2024年05月12日)。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10、保存基金财产管理业务活动的记录、账册、报表和其他相关资料；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（7）玩忽职守，不按照规定履行职责；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（8）法律、行政法规和中国证监会禁止的其他行为。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w:t>
      </w:r>
      <w:r>
        <w:rPr>
          <w:rFonts w:ascii="宋体" w:hAnsi="宋体"/>
          <w:sz w:val="24"/>
        </w:rPr>
        <w:lastRenderedPageBreak/>
        <w:t>关的交易活动；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（3）风险控制委员会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（2）建立相互分离、相互制衡的内控机制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7" w:name="_Toc234408711"/>
      <w:r>
        <w:rPr>
          <w:rFonts w:ascii="Times New Roman" w:hAnsi="Times New Roman"/>
          <w:sz w:val="30"/>
        </w:rPr>
        <w:lastRenderedPageBreak/>
        <w:t>四、基金托管人</w:t>
      </w:r>
      <w:bookmarkEnd w:id="7"/>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（一）基本情况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住所及办公地址：北京市西城区太平桥大街25 号、甲25 号中国光大中心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成立日期：1992年6月18日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注册资本：590.85551亿元人民币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法定代表人：吴利军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基金托管业务批准文号：中国证监会证监基字【2002】75号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 63636363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 63639132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董事长吴利军先生，自2020年3月起任本行副董事长、2024年1月起任本行董事长。现任中国光大集团股份公司党委书记、董事长。曾任国内贸易部国家物资储备调节中心副主任(副局级)，中国证券监督管理委员会信息中心负责人，培训中心副主任(主持工作)，人事教育部主任、党委组织部部长，中国证券监督管理委员会党委委员、主席助理，深圳证券交易所理事会理事长、党委书记(副部长级)，中国光大集团股份公司党委副书记、副董事长、总经理。获经济学博士学位，高级经济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郝成先生，自2024年6月起任本行党委书记，2024年8月起任本行执行董事、行长。现任中国光大集团股份公司党委委员、执行董事。历任国家开发银行天津分行党委委员、副行长，国家开发银行人事局副局长、党委组织部副部长，国家开发银行吉林分行党委书记、行长，交通银行党委委员、副行长。获管理学博士学位，高级工程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资产托管部总经理贾光华先生，1994年7月在光大银行总行营业部参加工作，2005年10月调入同业机构部（后更名为金融同业部）后，先后任处长、总经理助</w:t>
      </w:r>
      <w:r>
        <w:rPr>
          <w:rFonts w:ascii="宋体" w:hAnsi="宋体"/>
          <w:sz w:val="24"/>
        </w:rPr>
        <w:lastRenderedPageBreak/>
        <w:t>理、副总经理、副总经理（主持工作），2018年5月任金融同业部总经理，2025年1月任资产托管部总经理。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（三）证券投资基金托管情况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31日，中国光大银行股份有限公司托管公开募集证券投资基金共346只，托管基金资产规模6,427.91亿元。同时，开展了证券公司资产管理计划、基金公司客户资产管理计划、职业年金、企业年金、QDII、QFII、银行理财、保险债权投资计划等资产的托管及信托公司资金信托计划、产业投资基金、股权基金等产品的保管业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（四）托管业务的内部控制制度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确保有关法律法规在基金托管业务中得到全面严格的贯彻执行；确保基金托管人有关基金托管的各项管理制度和业务操作规程在基金托管业务中得到全面严格的贯彻执行；确保基金财产安全；保证基金托管业务稳健运行；保护基金份额持有人、基金管理公司及基金托管人的合法权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2、内部控制的原则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（1）全面性原则。内部控制必须渗透到基金托管业务的各个操作环节，覆盖所有的岗位，不留任何死角。</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（2）预防性原则。树立“预防为主”的管理理念，从风险发生的源头加强内部控制，防患于未然，尽量避免业务操作中各种问题的产生。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（3）及时性原则。建立健全各项规章制度，采取有效措施加强内部控制。发现问题，及时处理，堵塞漏洞。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（4）独立性原则。基金托管业务内部控制机构独立于基金托管业务执行机构，业务操作人员和内控人员分开，以保证内控机构的工作不受干扰。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3、内部控制组织结构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设有风险管理与内控合规委员会，负责全行风险管理与内部控制工作。资产托管部建立了严密的内控监督体系，设立了投资监督与内控合规处，配备了专职内控合规人员，负责证券投资基金托管业务的内控管理工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4、内部控制制度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中国光大银行股份有限公司资产托管部自成立以来严格遵照《基金法》、《中华</w:t>
      </w:r>
      <w:r>
        <w:rPr>
          <w:rFonts w:ascii="宋体" w:hAnsi="宋体"/>
          <w:sz w:val="24"/>
        </w:rPr>
        <w:lastRenderedPageBreak/>
        <w:t>人民共和国商业银行法》、《信息披露管理办法》、《运作办法》、《销售办法》等法律、法规的要求，并根据相关法律法规制订、完善了《中国光大银行资产托管业务内部控制管理办法》、《中国光大银行资产托管业务保密办法》等十余项规章制度和实施细则，将风险控制落实到每一个工作环节。中国光大银行资产托管部以控制和防范基金托管业务风险为主线，在重要岗位（基金清算、基金核算、投资监督）还建立了安全保密区，安装了录像监视系统和录音监听系统，以保障基金信息的安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和基金合同等的要求，基金托管人主要通过定性和定量相结合、事前事中和事后监督相结合、技术与人工监督相结合等方式方法，对基金投资范围、投资组合比例等每日进行监督；同时，对基金管理人就基金资产净值的计算、基金管理人和基金托管人报酬的计提和支付、基金收益分配、基金费用支付等行为的合法性、合规性进行监督和核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违反法律、法规和基金合同等规定的行为，及时以邮件、电话或书面等形式通知基金管理人限期纠正，基金管理人收到通知后应及时核对确认并以邮件或书面形式对基金托管人发出回函。在限期内，基金托管人有权随时对通知事项进行复查。基金管理人对基金托管人通知的违规事项未能在限期内纠正的，基金托管人应报告中国证监会。</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8" w:name="_Toc234408712"/>
      <w:r>
        <w:rPr>
          <w:rFonts w:ascii="Times New Roman" w:hAnsi="Times New Roman"/>
          <w:sz w:val="30"/>
        </w:rPr>
        <w:lastRenderedPageBreak/>
        <w:t>五、相关服务机构</w:t>
      </w:r>
      <w:bookmarkEnd w:id="8"/>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（1）名称：中信银行股份有限公司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（2）名称：中国邮政储蓄银行股份有限公司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住所：北京市西城区金融大街3号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（3）名称：兴业银行股份有限公司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（4）名称：华夏银行股份有限公司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（6）名称：平安银行股份有限公司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（7）名称：江苏银行股份有限公司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（8）名称：宁波银行股份有限公司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（9）名称：交通银行股份有限公司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电话：（021）58781234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（10）名称：中国民生银行股份有限公司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（11）名称：广发证券股份有限公司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（12）名称：华西证券股份有限公司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（13）名称：东方财富证券股份有限公司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（14）名称：中信建投证券股份有限公司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（15）名称：华福证券股份有限公司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（16）名称：西部证券股份有限公司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法定代表人：徐朝晖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（17）名称：中泰证券股份有限公司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（18）名称：中国银河证券股份有限公司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（19）名称：中邮证券有限责任公司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网址：www.cnpsec.com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（20）名称：申万宏源证券有限公司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（21）名称：申万宏源西部证券有限公司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（22）名称：国金证券股份有限公司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（23）名称：华泰证券股份有限公司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（24）名称：国联民生证券股份有限公司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（25）名称：华宝证券股份有限公司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（26）名称：中信证券（山东）有限责任公司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客户服务电话：95548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（27）名称：中信证券股份有限公司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（28）名称：中信证券华南股份有限公司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（29）名称：国泰海通证券股份有限公司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（30）名称：财通证券股份有限公司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办公地址：杭州市杭大路15号嘉华国际商务中心201、501、502、1103、1601-1615、1701-1716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（31）名称：民生证券股份有限公司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（32）名称：奕丰基金销售有限公司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（33）名称：大连网金基金销售有限公司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电话：（0411-39027810）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（34）名称：上海挖财基金销售有限公司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（35）名称：南京苏宁基金销售有限公司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（36）名称：上海万得基金销售有限公司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马烨莹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（37）名称：北京新浪仓石基金销售有限公司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（38）名称：浙江同花顺基金销售有限公司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（39）名称：济安财富（北京）基金销售有限公司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网址：www.jianfortune.com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（40）名称：嘉实财富管理有限公司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（41）名称：诺亚正行基金销售有限公司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（42）名称：北京度小满基金销售有限公司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（43）名称：泛华普益基金销售有限公司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办公地址：成都市金牛区花照壁西顺街399号1栋1单元龙湖西宸天街B座1201号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（44）名称：和耕传承基金销售有限公司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（45）名称：上海中欧财富基金销售有限公司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（46）名称：深圳众禄基金销售股份有限公司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电话：（0755）33227953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（47）名称：上海基煜基金销售有限公司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（48）名称：北京创金启富基金销售有限公司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（49）名称：珠海盈米基金销售有限公司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联系人：黄敏嫦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（50）名称：上海天天基金销售有限公司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（51）名称：上海攀赢基金销售有限公司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（52）名称：上海证达通基金销售有限公司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（53）名称：北京汇成基金销售有限公司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（54）名称：中信期货有限公司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（55）名称：上海联泰基金销售有限公司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（56）名称：上海好买基金销售有限公司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网址：www.howbuy.com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（57）名称：博时财富基金销售有限公司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（58）名称：蚂蚁（杭州）基金销售有限公司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（59）名称：上海利得基金销售有限公司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（60）名称：腾安基金销售（深圳）有限公司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w:t>
      </w:r>
      <w:r>
        <w:rPr>
          <w:rFonts w:ascii="宋体" w:hAnsi="宋体"/>
          <w:sz w:val="24"/>
        </w:rPr>
        <w:lastRenderedPageBreak/>
        <w:t>书有限公司）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（61）名称：京东肯特瑞基金销售有限公司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（62）名称：上海陆金所基金销售有限公司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住所：北京市西城区太平桥大街17号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9" w:name="_Toc234408713"/>
      <w:r>
        <w:rPr>
          <w:rFonts w:ascii="Times New Roman" w:hAnsi="Times New Roman"/>
          <w:sz w:val="30"/>
        </w:rPr>
        <w:lastRenderedPageBreak/>
        <w:t>六、基金的募集</w:t>
      </w:r>
      <w:bookmarkEnd w:id="9"/>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本基金由基金管理人依照《基金法》、《运作办法》、《销售办法》、基金合同及其他有关规定，并经中国证监会2018年11月14日证监许可[2018]1856号文准予募集注册。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本基金为契约型开放式债券型证券投资基金。基金的存续期间为不定期。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本基金自2019年1月7日起至2019年1月18日进行发售，本基金设立募集期共募集份基金10,205,490,746.33份额，有效认购户数为316户。</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10" w:name="_Toc234408714"/>
      <w:r>
        <w:rPr>
          <w:rFonts w:ascii="Times New Roman" w:hAnsi="Times New Roman"/>
          <w:sz w:val="30"/>
        </w:rPr>
        <w:lastRenderedPageBreak/>
        <w:t>七、基金合同的生效</w:t>
      </w:r>
      <w:bookmarkEnd w:id="10"/>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根据有关规定，本基金满足基金合同生效条件，基金合同已于2019年1月23日正式生效。自基金合同生效之日起，本基金管理人正式开始管理本基金。</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提前终止基金合同，不需召开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11" w:name="_Toc234408715"/>
      <w:r>
        <w:rPr>
          <w:rFonts w:ascii="Times New Roman" w:hAnsi="Times New Roman"/>
          <w:sz w:val="30"/>
        </w:rPr>
        <w:lastRenderedPageBreak/>
        <w:t>八、基金份额的申购与赎回</w:t>
      </w:r>
      <w:bookmarkEnd w:id="11"/>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本基金A类基金份额和C类基金份额已于2019年2月26日起开放申购、赎回业务。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本基金D类基金份额已于2023年12月15日起开放申购、赎回业务。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3、最低余额的限制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每个工作日投资人在单个交易账户的本基金份额余额少于1份时，若当日该账户同时有基金份额减少类业务（如赎回、转换出等）被确认，则基金管理人有权将投资人在该账户的本基金份额一次性全部赎回。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基金管理人届时发布的相关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余额的数量限制等，基金管理人必须在调整实施前依照《信息披露办法》的有关规定在指定媒介上刊登公告并报中国证监会备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法参照基金合同有关条款处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3、申购和赎回申请的确认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C类基金份额和D类基金份额。投资人申购A类基金份额或D类基金份额在申购时支付申购费用、赎回时收取赎回费用，申购C类基金份额不支付申购费用、赎回时收取赎回费用，并从该类别基金资产中计提销售服务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A类基金份额和D类基金份额的申购费用由该类基金份额申购人承担，不列入基金财产，主要用于本基金的市场推广、销售、登记等各项费用。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投资人可以多次申购本基金，A类基金份额和D类基金份额申购费用按每笔该类</w:t>
      </w:r>
      <w:r>
        <w:rPr>
          <w:rFonts w:ascii="宋体" w:hAnsi="宋体"/>
          <w:sz w:val="24"/>
        </w:rPr>
        <w:lastRenderedPageBreak/>
        <w:t>基金份额申购申请单独计算。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7111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7111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类基金份额申购费率</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0.9%</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0.7%</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持有A类基金份额或D类基金份额的投资人因红利自动再投资而产生的A类基金份额或D类基金份额，不收取相应的申购费用。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本基金对通过基金管理人直销柜台申购A类基金份额或D类基金份额的养老金客户实施特定申购费率。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D7111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通过基金管理人直销柜台申购本基金D类基金份额的养老金客户特定申购费率如下表：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D7111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类基金份额特定申购费率</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C类基金份额或D类基金份额收取赎回费用，该费用随基金份额的持有时间递减。本基金A类基金份额、C类基金份额和D类基金份额的赎回费用由该类基金份额赎回人承担，对于持续持有期间少于7天的投资人收取的赎回费全额计入基金财产，对于持续持有期间大于等于7天的投资人收取的赎回费总额的25%应归基金财产，其余用于支付登记费和其他必要的手续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7111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7111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7111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711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1111" w:rsidRDefault="00D711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C类基金份额或D类基金份额的有效份额为净申购金额除以当日该类基金份额的基金份额净值，有效份额单位为份，申购份额计算结果按四舍五入方法，保留到小数点后2位，由此产生的收益或损失由基金财产承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C类基金份额和D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（注：对于适用固定金额申购费用的申购，申购费用＝固定申购费用金额）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例一：某投资者（非养老金客户）投资100,000元申购本基金的A类基金份额，假设申购当日A类基金份额净值为1.0400元，申购费率为0.8%，则其可得到的申购份额为：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即：某投资者（非养老金客户）投资100,000元申购本基金的A类基金份额，假设申购当日A类基金份额净值为1.0400元，则其可得到95,390.72份A类基金份额。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例二：某养老金客户投资1,000,000元通过基金管理人的直销柜台申购本基金的A类基金份额，假设申购当日A类基金份额净值为1.0400元，申购费率为0.10%，则其可得到的申购份额为：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净申购金额=1,000,000/（1+0.10%）=999,001.00 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申购费用=1,000,000-999,001.00=999.00元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申购份额=（1,000,000-999.00）/1.0400=960,577.88份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即：该养老金客户投资1,000,000元通过基金管理人的直销柜台申购本基金的A类基金份额，假设申购当日A类基金份额净值为1.0400元，则其可得到960,577.88份A类基金份额。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（3）D类基金份额的申购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如果投资者选择申购D类基金份额，则申购份额的计算方法如下：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申购份额=净申购金额/T日D类基金份额净值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例四：某投资者（非养老金客户）投资100,000元申购本基金的D类基金份额，假设申购当日D类基金份额净值为1.0400元，申购费率为0.9%，则其可得到的申购份额为：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净申购金额=100,000/（1+0.9%）=99,108.03元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申购费用=100,000-99,108.03=891.97元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申购份额=99,108.03/1.0400=95,296.18份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即：某投资者（非养老金客户）投资100,000元申购本基金D类基金份额，假设申购当日D类基金份额净值为1.0400元，则其可得到95,296.18份D类基金份额。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例五：某养老金客户投资1,000,000元通过基金管理人的直销柜台申购本基金的D类基金份额，假设申购当日D类基金份额净值为1.0400元，申购费率为0.12%，则其可得到的申购份额为：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净申购金额=1,000,000/（1+0.12%）=998,801.44元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申购费用=1,000,000-998,801.44=1,198.56元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申购份额=（1,000,000-1,198.56）/1.0400=960,386.00份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即：该养老金客户投资1,000,000元通过基金管理人的直销柜台申购本基金的D类基金份额，假设申购当日D类基金份额净值为1.0400元，则其可得到960,386.00份D类基金份额。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A类基金份额、C类基金份额或D类基金份额的赎回金额为按实际确认的有效赎</w:t>
      </w:r>
      <w:r>
        <w:rPr>
          <w:rFonts w:ascii="宋体" w:hAnsi="宋体"/>
          <w:sz w:val="24"/>
        </w:rPr>
        <w:lastRenderedPageBreak/>
        <w:t>回份额乘以当日该类基金份额的基金份额净值并扣除相应的费用（如有），赎回金额单位为元，计算结果保留到小数点后两位，第三位四舍五入，由此产生的收益或损失由基金财产承担。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例六：某投资者在持有期限为20天时赎回100,000份A类基金份额，对应的赎回费率为0.1%，假设赎回当日A类基金份额净值是1.0160元，则其可得到的赎回金额为：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即：投资者在持有期限为20天时赎回100,000份A类基金份额，对应的赎回费率为0.1%，假设赎回当日A类基金份额净值是1.0160元，则其可得到的赎回金额为101,498.40元。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例七：某投资者在持有期限为20天时赎回100,000份C类基金份额，对应的赎回费率为0.1%，假设赎回当日C类基金份额净值是1.0160元，则其可得到的赎回金额为：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即：投资者在持有期限为20天时赎回100,000份C类基金份额，对应的赎回费率为0.1%，假设赎回当日C类基金份额净值是1.0160元，则其可得到的赎回金额为101,498.40元。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（3）D类基金份额的赎回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投资者赎回D类基金份额，赎回金额的计算方法如下：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赎回费用=赎回份额×T日D类基金份额净值×赎回费率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赎回金额=赎回份额×T日D类基金份额净值-赎回费用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例八：某投资者赎回100,000份D类基金份额，持有期限为10日，对应的赎回费率为0，假设赎回当日D类基金份额净值是1.0160元，则其可得到的赎回金额为：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赎回金额=100,000×1.0160-0.00＝101,600.00元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即：投资者赎回100,000份D类基金份额，持有期限为10日，对应的赎回费率为0，假设赎回当日D类基金份额净值是1.0160元，则其可得到的赎回金额为101,600.00元。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D类基金份额净值＝D类基金份额的基金资产净值总额/发行在外的D类基金份额总数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C类基金份额和D类基金份额的基金份额净值的计算，均保留到小数点后4位，小数点后第5位四舍五入，由此误差产生的收益或损失由基金财产承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5、基金资产规模过大，使基金管理人无法找到合适的投资品种，或其他可能对基金业绩产生负面影响，或出现其他损害现有基金份额持有人利益的情形。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w:t>
      </w:r>
      <w:r>
        <w:rPr>
          <w:rFonts w:ascii="宋体" w:hAnsi="宋体"/>
          <w:sz w:val="24"/>
        </w:rPr>
        <w:lastRenderedPageBreak/>
        <w:t>机构的异常情况导致基金销售系统、基金销售支付结算系统、基金注册登记系统或基金会计系统无法正常运行。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7、基金管理人接受某笔或者某些申购申请有可能导致单一投资者持有基金份额的比例超过50%，或者变相规避50%集中度的。出现上述情形时，基金管理人有权将上述申购申请全部或部分确认失败。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8、当前一估值日基金资产净值50%以上的资产出现无可参考的活跃市场价格且采用估值技术仍导致公允价值存在重大不确定性时，经与基金托管人协商确认后，基金管理人应当暂停接受申购申请。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5、发生继续接受赎回申请将损害现有基金份额持有人利益的情形时，可暂停接受投资人的赎回申请。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8、基金合同约定、法律法规规定或中国证监会认定的其他情形。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w:t>
      </w:r>
      <w:r>
        <w:rPr>
          <w:rFonts w:ascii="宋体" w:hAnsi="宋体"/>
          <w:sz w:val="24"/>
        </w:rPr>
        <w:lastRenderedPageBreak/>
        <w:t>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w:t>
      </w:r>
      <w:r>
        <w:rPr>
          <w:rFonts w:ascii="宋体" w:hAnsi="宋体"/>
          <w:sz w:val="24"/>
        </w:rPr>
        <w:lastRenderedPageBreak/>
        <w:t>售机构可以按照规定的标准收取转托管费。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4月20日刊登公告自2021年4月21日起开通A类基金份额的定期定额投资计划业务，本基金2023年12月14日刊登公告自2023年12月15日起增设D类基金份额并开通D类基金份额的定期定额投资计划业务，具体开通销售机构名单和业务规则参见相关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12" w:name="_Toc234408716"/>
      <w:r>
        <w:rPr>
          <w:rFonts w:ascii="Times New Roman" w:hAnsi="Times New Roman"/>
          <w:sz w:val="30"/>
        </w:rPr>
        <w:lastRenderedPageBreak/>
        <w:t>九、基金的转换</w:t>
      </w:r>
      <w:bookmarkEnd w:id="12"/>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本基金2021年12月18日刊登公告自2021年12月22日起开放A类基金份额和C类基金份额的日常转换业务，本基金2023年12月14日刊登公告自2023年12月15日起增设D类基金份额并开通D类基金份额的日常转换业务。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（四）基金转换的数额限制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13" w:name="_Toc234408717"/>
      <w:r>
        <w:rPr>
          <w:rFonts w:ascii="Times New Roman" w:hAnsi="Times New Roman"/>
          <w:sz w:val="30"/>
        </w:rPr>
        <w:lastRenderedPageBreak/>
        <w:t>十、基金的投资</w:t>
      </w:r>
      <w:bookmarkEnd w:id="13"/>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本基金通过指数化投资，争取在扣除各项费用之前获得与标的指数相似的总回报，追求跟踪偏离度及跟踪误差的最小化。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国债、农发债、债券回购、银行存款等固定收益类资产以及法律法规或中国证监会允许基金投资的其他金融工具（但须符合中国证监会相关规定）。本基金不投资股票、权证等权益类资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本基金投资于债券资产的比例不低于基金资产的80%，其中标的指数成份券和备选成份券的比例不低于本基金非现金基金资产的80%；每个交易日日终，现金或到期日在一年以内的政府债券的投资比例合计不低于基金资产净值的5%，其中现金不包括结算备付金、存出保证金、应收申购款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（三）投资标的指数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中债-1-3年农发行债券指数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券价格波动等指数编制方法变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w:t>
      </w:r>
      <w:r>
        <w:rPr>
          <w:rFonts w:ascii="宋体" w:hAnsi="宋体"/>
          <w:sz w:val="24"/>
        </w:rPr>
        <w:lastRenderedPageBreak/>
        <w:t>的指数变更情形履行对应适当程序，并在调整实施前依照《信息披露办法》的有关规定在中国证监会指定媒介上刊登公告。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（四）投资策略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指数基金，主要采用抽样复制和动态最优化的方法，投资于标的指数中具有代表性和流动性的成份券和备选成份券，或选择非成份券作为替代，构造与标的指数风险收益特征相似的资产组合，以实现对标的指数的有效跟踪。</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正常市场情况下，本基金力争追求日均跟踪偏离度的绝对值不超过0.35%，将年化跟踪误差控制在4%以内。如因标的指数编制规则调整等其他原因，导致基金跟踪偏离度和跟踪误差超过了上述范围，基金管理人应采取合理措施，避免跟踪误差进一步扩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1、债券指数化投资策略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（1）债券投资组合的构建策略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构建投资组合的过程主要分为三步：划分债券层级、筛选目标组合成份券和逐步调整建仓。</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①划分债券层级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本基金根据债券的剩余期限将标的指数成份券划分层级，按照分层抽样的原理，确定各层级成份券及其权重。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②筛选目标组合成份券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分层完成后，本基金在各层级成份券内利用动态最优化或随机抽样等方法筛选出与各层级总体风险收益特征（例如久期、凸性等）相近的且流动性较好（主要考虑发行规模、日均成交金额、期间成交天数等指标）的个券组合，或部分投资于非成份券，以更好的实现对标的指数的跟踪。</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③逐步建仓</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本基金将根据实际的市场流动性情况和投资机会逐步建仓。</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（2）债券投资组合的调整策略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①定期调整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基金管理人将每月评估投资组合整体以及各层级债券与标的指数的偏离情 况，定期对投资组合进行调整，以确保总体特征与标的指数相似，并缩小跟踪误差。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②不定期调整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发生较大的申购赎回、组合中债券派息、债券到期以及市场波动剧烈等情况，导致投资组合与标的指数出现偏离，本基金将综合考虑市场流动性、交易成本、偏离程度等因素，对投资组合进行不定期的动态调整以缩小跟踪误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2、其他投资策略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在一定程度上弥补基金费用，基金管理人还可以在控制风险的前提下，使用其他投资策略。未来，随着市场的发展和基金管理运作的需要，基金管理人可以在不改变投资目标的前提下，遵循法律法规的规定并履行适当程序后，相应调整或更新投资策略，并在招募说明书更新中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（1）本基金投资于债券资产的比例不低于基金资产的80%，其中标的指数成份券和备选成份券的比例不低于本基金非现金基金资产的80%；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（2）每个交易日日终，保持不低于基金资产净值5%的现金或者到期日在一年以内的政府债券，其中现金不包括结算备付金、存出保证金、应收申购款等；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（3）本基金进入全国银行间同业市场进行债券回购的资金余额不得超过基金资产净值的40%；本基金在全国银行间同业市场中的债券回购最长期限为1 年，债券回购到期后不得展期；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（4）本基金的基金资产总值不得超过基金资产净值的140%；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（6）本基金与私募类证券资管产品及中国证监会认定的其他主体为交易对手开展逆回购交易的，可接受质押品的资质要求应当与基金合同约定的投资范围保持一致；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（7）法律法规及中国证监会规定的和《基金合同》约定的其他投资限制。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5）、（6）项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（六）业绩比较基准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中债-1-3年农发行债券指数收益率*95%+银行活期存款利率（税后）*5%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未来若出现标的指数不符合要求（不包括因成份券价格波动等指数编制方法变动之外的因素致使标的指数不符合要求的情形）、指数编制机构退出等情形，基金</w:t>
      </w:r>
      <w:r>
        <w:rPr>
          <w:rFonts w:ascii="宋体" w:hAnsi="宋体"/>
          <w:sz w:val="24"/>
        </w:rPr>
        <w:lastRenderedPageBreak/>
        <w:t>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若基金标的指数发生变更，基金业绩比较基准随之变更，由基金管理人根据标的指数变更情形履行对应适当程序，并在调整实施前依照《信息披露办法》的有关规定在中国证监会指定媒介上刊登公告。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（七）风险收益特征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高于货币市场基金，低于混合型基金和股票型基金。本基金为指数型基金，主要采用抽样复制和动态最优化的方法跟踪标的指数的表现，具有与标的指数、以及标的指数所代表的债券市场相似的风险收益特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（八）基金管理人代表基金行使债权人权利的处理原则及方法</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（九）侧袋机制的实施和投资运作安排</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（十）基金投资组合报告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基金托管人中国光大银行股份有限公司根据本基金合同规定，于2026年04月20日复核了本报告中的财务指标、净值表现和投资组合报告等内容，保证复核内容不存在虚假记载、误导性陈述或者重大遗漏。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本报告期自2026年01月01日起至03月31日止。本报告财务资料未经审计师审计。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3,403,110,823.39</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98.89</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3,403,110,823.39</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98.89</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7,591,254.45</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30,724,425.35</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0.89</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3,441,426,503.19</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30,707,511.05</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0.89</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3,372,403,312.34</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98.02</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3,372,403,312.34</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98.02</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3,403,110,823.39</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98.91</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250403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03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6,500,000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649,894,575.34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18.89</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230407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农发</w:t>
            </w:r>
            <w:r>
              <w:rPr>
                <w:rFonts w:ascii="Times New Roman" w:hAnsi="Times New Roman"/>
                <w:color w:val="000000"/>
                <w:kern w:val="0"/>
                <w:sz w:val="25"/>
                <w:szCs w:val="24"/>
              </w:rPr>
              <w:t>07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3,500,000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365,635,315.07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10.63</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250413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3,400,000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345,640,646.58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10.05</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230415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农发</w:t>
            </w: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2,400,000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249,235,726.03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7.24</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09250412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农发清发</w:t>
            </w: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2,400,000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244,066,191.78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7.09</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注：序号1　250403　25农发03　6,500,000　649,894,575.34　　18.89　　　序号2　230407　23农发07　3,500,000　365,635,315.07　　10.63　　　序号3　250413　25农发13　3,400,000　345,640,646.58　　10.05　　　序号4　230415　23农发15　2,400,000　249,235,726.03　　7.24　　　序号5　9250412　25农发清发12　2,400,000　244,066,191.78　　7.09　　　序号6　240413　24农发13　2,200,000　223,658,027.40　　6.50　　　序号7　230403　23农发03　2,000,000　205,621,369.86　　5.98　　　序号8　9250402　25农发清发02　2,000,000　200,438,739.73　　5.83　　　序号9　220407　22农发07　1,700,000　174,924,643.84　　5.08　　　序号10　250423　25农发23　1,700,000　172,083,175.34　　5.00　　　序号11　9250422　25农发清发22　1,000,000　101,192,876.71　　2.94　　　序号12　250430　25农发30　1,000,000　100,231,753.42　　2.91　　　序号13　240405　24农发05　900,000　</w:t>
      </w:r>
      <w:r>
        <w:rPr>
          <w:rFonts w:ascii="宋体" w:hAnsi="宋体"/>
          <w:sz w:val="24"/>
        </w:rPr>
        <w:lastRenderedPageBreak/>
        <w:t xml:space="preserve">93,646,208.22　　2.72　　　序号14　9250432　25农发清发32　700,000　70,528,126.03　　2.05　　　序号15　240415　24农发15　500,000　50,995,821.92　　1.48　　　序号16　9250407　25农发清发07　400,000　40,274,443.84　　1.17　　　序号17　240410　24农发10　300,000　32,088,969.86　　0.93　　　序号18　230402　23农发02　200,000　21,742,054.79　　0.63　　　序号19　250415　25农发15　200,000　20,233,408.22　　0.59　　　序号20　260005　26附息国债05　200,000　19,921,839.78　　0.58　　　序号21　230012　23附息国债12　100,000　10,785,671.27　　0.31　　　序号22　9240417　24农发清发17　100,000　10,271,238.36　　0.30　</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2025年08月01日,国家金融监督管理总局公示行政处罚决定书,给予中国农业发展银行1020万元人民币的行政处罚。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遵循指数化投资理念，绝大部分资产采用完全复制法跟踪指数，以完全按照标的指数成份股组成及其权重构建基金股票投资组合为原则，进行被动式指数化投资。本基金对上述主体发行证券的投资遵守本基金管理人基金投资管理相关制度及被动式指数化投资策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30,092,708.21</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631,717.14</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right"/>
              <w:rPr>
                <w:rFonts w:ascii="宋体" w:hAnsi="宋体"/>
                <w:color w:val="000000"/>
                <w:kern w:val="0"/>
                <w:sz w:val="25"/>
                <w:szCs w:val="24"/>
              </w:rPr>
            </w:pPr>
            <w:r>
              <w:rPr>
                <w:rFonts w:ascii="Times New Roman" w:hAnsi="Times New Roman"/>
                <w:color w:val="000000"/>
                <w:kern w:val="0"/>
                <w:sz w:val="25"/>
                <w:szCs w:val="24"/>
              </w:rPr>
              <w:t>30,724,425.35</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14" w:name="_Toc234408718"/>
      <w:r>
        <w:rPr>
          <w:rFonts w:ascii="Times New Roman" w:hAnsi="Times New Roman"/>
          <w:sz w:val="30"/>
        </w:rPr>
        <w:lastRenderedPageBreak/>
        <w:t>十一、基金的业绩</w:t>
      </w:r>
      <w:bookmarkEnd w:id="14"/>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（1）交银中债1-3年农发债指数A：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4.87%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4.57%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3.28%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2.53%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3.51%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3.61%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3.56%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2.51%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3.51%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3.09%</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（2）交银中债1-3年农发债指数C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4.80%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4.50%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2.94%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3.32%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（3）交银中债1-3年农发债指数D</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3.28%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2.98%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D711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注：本基金的业绩比较基准为“中债-1-3年农发行债券指数收益率*95%+银行活期存款利率（税后）*5%”。</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D71111" w:rsidRDefault="00A36C3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交银施罗德中债1-3年农发行债券指数证券投资基金</w:t>
      </w:r>
    </w:p>
    <w:p w:rsidR="00D71111" w:rsidRDefault="00A36C3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D71111" w:rsidRDefault="00A36C3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（2019年1月23日至2026年03月31日）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（1）交银中债1-3年农发债指数A</w:t>
      </w:r>
    </w:p>
    <w:p w:rsidR="00D71111" w:rsidRDefault="00B9528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（2）交银中债1-3年农发债指数C</w:t>
      </w:r>
    </w:p>
    <w:p w:rsidR="00D71111" w:rsidRDefault="00B9528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（3）交银中债1-3年农发债指数D</w:t>
      </w:r>
    </w:p>
    <w:p w:rsidR="00D71111" w:rsidRDefault="00B9528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2、本基金自2022年9月8日起，开始销售C类份额，投资者提交的申购申请于2022年9月9日被确认并将有效份额登记在册。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3、本基金自2023年12月15日起，开始销售D类份额，投资者提交的申购申请于2023年12月18日被确认并将有效份额登记在册。</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15" w:name="_Toc234408719"/>
      <w:r>
        <w:rPr>
          <w:rFonts w:ascii="Times New Roman" w:hAnsi="Times New Roman"/>
          <w:sz w:val="30"/>
        </w:rPr>
        <w:lastRenderedPageBreak/>
        <w:t>十二、基金的财产</w:t>
      </w:r>
      <w:bookmarkEnd w:id="15"/>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16" w:name="_Toc234408720"/>
      <w:r>
        <w:rPr>
          <w:rFonts w:ascii="Times New Roman" w:hAnsi="Times New Roman"/>
          <w:sz w:val="30"/>
        </w:rPr>
        <w:lastRenderedPageBreak/>
        <w:t>十三、基金资产的估值</w:t>
      </w:r>
      <w:bookmarkEnd w:id="16"/>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基金所拥有的债券和其它投资等持续以公允价值计量的金融资产及负债。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本基金所持有的投资品种，按如下原则进行估值：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所市场上市实行净价交易或挂牌转让的固定收益品种（另有规定的除外），选取第三方估值机构提供的相应品种当日的估值净价进行估值；交易所上市实行全价交易的债券（可转债除外），选取第三方估值机构提供的估值全价减去估值全价中所含的债券应收利息得到的净价进行估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（1）首次公开发行未上市的债券，采用估值技术确定公允价值，在估值技术难以可靠计量公允价值的情况下，按成本估值。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在交易所市场发行未上市或未挂牌转让的债券，对存在活跃市场的情况下，应以活跃市场上未经调整的报价作为计量日的公允价值进行估值；对于活跃市场报价未能代表计量日公允价值的情况下，按成本应对市场报价进行调整，确认计量日的公允价值；对于不存在市场活动或市场活动很少的情况下，则采用估值技术确定公允价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4、存款的估值方法</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持有的银行定期存款或通知存款以本金列示，按协议或合同利率逐日确认利息收入。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5、本基金可以采用第三方估值机构按照上述公允价值确定原则提供的估值价格数据。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7、当发生大额申购或赎回情形时，基金管理人可以对本基金采用摆动定价机制，以确保基金估值的公平性。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基金管理人向基金托管人出具加盖公章的书面说明后，按照基金管理人对基金资产净值的计算结果对外予以公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w:t>
      </w:r>
      <w:r>
        <w:rPr>
          <w:rFonts w:ascii="宋体" w:hAnsi="宋体"/>
          <w:sz w:val="24"/>
        </w:rPr>
        <w:lastRenderedPageBreak/>
        <w:t>准确性、及时性。当基金份额净值小数点后第4位以内（含第4位）发生估值错误时，视为基金份额净值错误。</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w:t>
      </w:r>
      <w:r>
        <w:rPr>
          <w:rFonts w:ascii="宋体" w:hAnsi="宋体"/>
          <w:sz w:val="24"/>
        </w:rPr>
        <w:lastRenderedPageBreak/>
        <w:t>和超过其实际损失的差额部分支付给估值错误责任方。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w:t>
      </w:r>
      <w:r>
        <w:rPr>
          <w:rFonts w:ascii="宋体" w:hAnsi="宋体"/>
          <w:sz w:val="24"/>
        </w:rPr>
        <w:lastRenderedPageBreak/>
        <w:t>托管人对净值计算结果复核确认后发送给基金管理人，由基金管理人依据基金合同和相关法律法规的规定对基金净值予以公布。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r w:rsidRPr="00BB248E">
        <w:rPr>
          <w:rFonts w:ascii="宋体" w:hAnsi="宋体" w:hint="eastAsia"/>
          <w:b/>
          <w:kern w:val="0"/>
          <w:sz w:val="24"/>
        </w:rPr>
        <w:t>。</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17" w:name="_Toc234408721"/>
      <w:r>
        <w:rPr>
          <w:rFonts w:ascii="Times New Roman" w:hAnsi="Times New Roman"/>
          <w:sz w:val="30"/>
        </w:rPr>
        <w:lastRenderedPageBreak/>
        <w:t>十四、基金收益与分配</w:t>
      </w:r>
      <w:bookmarkEnd w:id="17"/>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1、由于本基金A类基金份额和D类基金份额不收取销售服务费，C类基金份额收取销售服务费，各基金份额类别对应的可供分配利润将有所不同；本基金同一基金份额类别的每一基金份额享有同等分配权；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2、在符合有关基金分红条件的前提下，基金管理人可以根据实际情况进行收益分配，具体分配方案以公告为准，若基金合同生效不满3个月可不进行收益分配；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C类基金份额和D类基金份额分别选择不同的收益分配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5、法律法规或监管机构另有规定的，从其规定。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18" w:name="_Toc234408722"/>
      <w:r>
        <w:rPr>
          <w:rFonts w:ascii="Times New Roman" w:hAnsi="Times New Roman"/>
          <w:sz w:val="30"/>
        </w:rPr>
        <w:lastRenderedPageBreak/>
        <w:t>十五、基金的费用与税收</w:t>
      </w:r>
      <w:bookmarkEnd w:id="18"/>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本基金的管理费按前一日基金资产净值的0.15%年费率计提。管理费的计算方法如下：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于次月首日起5个工作日内向基金托管人发送基金管理费划款指令，基金托管人复核后从基金财产中一次性支付给基金管理人。若遇法定节假日、休息日或不可抗力致使无法按时支付的，支付日期顺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本基金的托管费按前一日基金资产净值的0.05%年费率计提。托管费的计算方法如下：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H＝E×0.05%÷当年天数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于次月首日起5个工作日内向基金托管人发送基金托管费划款指令，基金托管人复核后从基金财产中一次性支取。若遇法定节假日、休息日或不可抗力致使无法按时支付的，支付日期顺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本基金A类基金份额和D类基金份额不收取销售服务费，C类基金份额的销售服务费按前一日C类基金资产净值的0.1%年费率计提。计算方法如下：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于次月首日起5个工作日内向基金托管人发送划款指令，由基金托管人复核后从基金财产中一次性支付给基金管理人，由基金管理人代付给销售机构。若遇法定节假日、休息日或不可抗力致使无法按时支付的，支付日期顺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1、基金管理人和基金托管人因未履行或未完全履行义务导致的费用支出或基金财产的损失；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4、标的指数许可使用费。标的指数许可使用费由基金管理人承担，不得从基金财产中列支；</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5、其他根据相关法律法规及中国证监会的有关规定不得列入基金费用的项目。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在履行适当程序后调整基金管理费率、基金托管费率等相关费率。降低C类基金份额销售服务费率，无须召开基金份额持有人大会。基金管理人必须依照有关规定于新的费率实施日前在指定媒介上刊登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19" w:name="_Toc234408723"/>
      <w:r>
        <w:rPr>
          <w:rFonts w:ascii="Times New Roman" w:hAnsi="Times New Roman"/>
          <w:sz w:val="30"/>
        </w:rPr>
        <w:lastRenderedPageBreak/>
        <w:t>十六、基金的会计与审计</w:t>
      </w:r>
      <w:bookmarkEnd w:id="19"/>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20" w:name="_Toc234408724"/>
      <w:r>
        <w:rPr>
          <w:rFonts w:ascii="Times New Roman" w:hAnsi="Times New Roman"/>
          <w:sz w:val="30"/>
        </w:rPr>
        <w:lastRenderedPageBreak/>
        <w:t>十七、基金的信息披露</w:t>
      </w:r>
      <w:bookmarkEnd w:id="20"/>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开始办理基金份额申购或者赎回后，基金管理人应当在不晚于每个开放日的次日，通过指定网站、基金销售机构网站或者营业网点分别披露开放日的A类基金份额、C类基金份额和D类基金份额所对应的基金份额净值和基金份额累计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基金管理人应当在不晚于半年度和年度最后一日的次日，在指定网站披露半年度和年度最后一日的A类基金份额、C类基金份额和D类基金份额所对应的基金份额净值和基金份额累计净值。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w:t>
      </w:r>
      <w:r>
        <w:rPr>
          <w:rFonts w:ascii="宋体" w:hAnsi="宋体"/>
          <w:sz w:val="24"/>
        </w:rPr>
        <w:lastRenderedPageBreak/>
        <w:t>重大影响的下列事件：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（19）本基金连续发生巨额赎回并暂停接受赎回申请或延缓支付赎回款项；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（25）基金信息披露义务人认为可能对基金份额持有人权益或者基金份额的价格产生重大影响的其他事项或中国证监会规定的其他事项。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w:t>
      </w:r>
      <w:r>
        <w:rPr>
          <w:rFonts w:ascii="宋体" w:hAnsi="宋体"/>
          <w:sz w:val="24"/>
        </w:rPr>
        <w:lastRenderedPageBreak/>
        <w:t>级管理人员负责管理信息披露事务。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21" w:name="_Toc234408725"/>
      <w:r>
        <w:rPr>
          <w:rFonts w:ascii="Times New Roman" w:hAnsi="Times New Roman"/>
          <w:sz w:val="30"/>
        </w:rPr>
        <w:lastRenderedPageBreak/>
        <w:t>十八、侧袋机制</w:t>
      </w:r>
      <w:bookmarkEnd w:id="21"/>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D71111" w:rsidRDefault="00A36C32">
      <w:pPr>
        <w:pStyle w:val="1"/>
        <w:snapToGrid w:val="0"/>
        <w:spacing w:beforeLines="0" w:before="240" w:after="240"/>
        <w:rPr>
          <w:rFonts w:ascii="宋体" w:hAnsi="宋体"/>
          <w:szCs w:val="30"/>
        </w:rPr>
      </w:pPr>
      <w:bookmarkStart w:id="22" w:name="_Toc234408726"/>
      <w:r>
        <w:rPr>
          <w:rFonts w:ascii="Times New Roman" w:hAnsi="Times New Roman"/>
          <w:sz w:val="30"/>
        </w:rPr>
        <w:lastRenderedPageBreak/>
        <w:t>十九、风险揭示</w:t>
      </w:r>
      <w:bookmarkEnd w:id="22"/>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债券所得的利息收入进行再投资将获得较低的收益率，再投资的风险加大；反之，当市场利率上升时，基金所持有的债券价格会下降，利率风险加大，但是利息的再投资收益会上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w:t>
      </w:r>
      <w:r>
        <w:rPr>
          <w:rFonts w:ascii="宋体" w:hAnsi="宋体"/>
          <w:sz w:val="24"/>
        </w:rPr>
        <w:lastRenderedPageBreak/>
        <w:t>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本基金的投资市场主要为证券交易所、全国银行间债券市场等流动性较好的规范型交易场所，主要投资对象为具有良好流动性的金融工具，综合评估在正常市场环境下本基金的流动性风险适中。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当基金出现巨额赎回时，基金管理人可以根据基金当时的资产组合状况决定全额赎回或部分延期赎回。</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w:t>
      </w:r>
      <w:r>
        <w:rPr>
          <w:rFonts w:ascii="宋体" w:hAnsi="宋体"/>
          <w:sz w:val="24"/>
        </w:rPr>
        <w:lastRenderedPageBreak/>
        <w:t>助措施，同时基金管理人应时刻防范可能产生的流动性风险，对流动性风险进行日常监控，保护持有人的利益。当实施备用的流动性风险管理工具时，有可能无法按合同约定的时限支付赎回款项。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（四）交易对手违约风险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（五）本基金投资策略所特有的指数化投资风险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1、标的指数的风险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（1）标的指数下跌的风险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标的指数成份券的价格可能受到政治因素、经济因素、投资者心理和交易制度等各种因素的影响而波动，导致指数值波动，从而使基金收益水平发生变化，产生风险。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（2）标的指数计算出错的风险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指数编制方法的缺陷可能导致标的指数的表现与总体市场表现产生差异，从而</w:t>
      </w:r>
      <w:r>
        <w:rPr>
          <w:rFonts w:ascii="宋体" w:hAnsi="宋体"/>
          <w:sz w:val="24"/>
        </w:rPr>
        <w:lastRenderedPageBreak/>
        <w:t>使基金收益发生变化。同时，标的指数许可方不对指数的实时性、完整性和准确性做出任何承诺。标的指数值可能出现错误，投资者若参考指数值进行投资决策可能导致损失。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（3）标的指数变更的风险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可能性很小，但根据基金合同规定，如出现变更标的指数的情形，本基金将变更标的指数。基于原标的指数的投资政策将会改变，投资组合将随之调整，基金的收益风险特征将与新的标的指数保持一致，投资者须承担此项调整带来的风险与成本。</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2、基金跟踪偏离风险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基金在跟踪标的指数时由于各种原因导致基金的业绩表现与标的指数表现之间可能产生差异，主要影响因素可能包括：</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主要采用抽样复制和动态最优化的方法，投资于标的指数中具有代表性和流动性的成份券和备选成份券，或选择非成份券作为替代，构造与标的指数风险收益特征相似的资产组合，基金投资组合与标的指数构成可能存在差异，从而可能导致基金实际收益率与标的指数收益率产生偏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（2）在标的指数编制中，债券利息计算再投资收益，而基金再投资中未必能获得相同的收益率；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（3）指数调整成份券时，基金在相应的组合调整中可能暂时扩大与标的指数的构成差异，而且会产生相应的交易成本。</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（4）基金运作过程中发生的费用，包括交易成本、市场冲击成本、管理费和托管费等，可能导致本基金在跟踪指数时产生收益上的偏离；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（5）基金发生申购或赎回时将带来一定的现金流或变现需求，当债券市场流动性不足时，或受银行间债券市场债券交易起点的限制，本基金投资组合面临一定程度的跟踪偏离风险；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（6）在指数化投资过程中，基金管理人对指数基金的管理能力例如跟踪指数的技术手段、买入卖出的时机选择等都会对本基金的收益产生影响，从而影响本基金对业绩比较基准的跟踪程度。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3、标的指数回报与债券市场平均回报偏离的风险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标的指数并不能完全代表整个债券市场。标的指数成份券的平均回报率与整个债券市场的平均回报率可能存在偏离。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4、跟踪误差控制未达约定目标的风险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本基金力争控制本基金日均跟踪偏离度的绝对值不超过0.35%，年跟踪误差不超过4%。但因标的指数编制规则调整或其他因素可能导致跟踪误差超过上述范围，本基金净值表现与指数价格走势可能发生较大偏离。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5、指数编制机构停止服务的风险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投资人将面临更换基金标的指数、转换运作方式，与其他基金合并或者终止基金合同等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6、成份券停牌或违约的风险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成份券可能因各种原因临时或长期停牌。发生停牌时，基金可能面临因无法及时调整投资组合而导致跟踪偏离度和跟踪误差扩大的风险。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基金可能面临因成份券发行人不能按时支付债券利息或偿还本金，从而带来损失的风险。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指数成份券发生明显负面事件面临违约风险，且指数编制机构暂未作出调整的，基金管理人应当按照持有人利益优先的原则，履行内部决策程序后及时对相关成份券进行调整，由此可能影响投资者的投资损益并使基金产生跟踪偏离度和跟踪误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（六）本基金的特有风险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1、本基金为债券型基金，投资于债券资产的比例不低于基金资产的80%，因投资债券资产而面临债券资产市场的系统性风险和个券风险；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2、基金合同提前终止风险。连续六十个工作日出现基金份额持有人数量不满200人或者基金资产净值低于5000万元情形的，基金管理人应向中国证监会报告并</w:t>
      </w:r>
      <w:r>
        <w:rPr>
          <w:rFonts w:ascii="宋体" w:hAnsi="宋体"/>
          <w:sz w:val="24"/>
        </w:rPr>
        <w:lastRenderedPageBreak/>
        <w:t>提前终止基金合同，不需召开基金份额持有人大会。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（七）本基金法律文件风险收益特征表述与销售机构基金风险评价可能不一致的风险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（八）其他风险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23" w:name="_Toc234408727"/>
      <w:r>
        <w:rPr>
          <w:rFonts w:ascii="Times New Roman" w:hAnsi="Times New Roman"/>
          <w:sz w:val="30"/>
        </w:rPr>
        <w:lastRenderedPageBreak/>
        <w:t>二十、基金合同的变更、终止与基金财产的清算</w:t>
      </w:r>
      <w:bookmarkEnd w:id="23"/>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3、连续60个工作日出现基金份额持有人数量不满200人或者基金资产净值低于5000万元情形的，基金管理人应向中国证监会报告并提前终止基金合同，不需召开基金份额持有人大会；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券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3、基金财产清算小组职责：基金财产清算小组负责基金财产的保管、清理、估价、变现和分配。基金财产清算小组可以依法进行必要的民事活动。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24" w:name="_Toc234408728"/>
      <w:r>
        <w:rPr>
          <w:rFonts w:ascii="Times New Roman" w:hAnsi="Times New Roman"/>
          <w:sz w:val="30"/>
        </w:rPr>
        <w:lastRenderedPageBreak/>
        <w:t>二十一、基金合同内容摘要</w:t>
      </w:r>
      <w:bookmarkEnd w:id="24"/>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基金份额持有人大会由基金份额持有人组成，基金份额持有人的合法授权代表有权代表基金份额持有人出席会议并表决。基金份额持有人持有的每一基金份额拥有平等的投票权。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（2）在法律法规和《基金合同》规定的范围内，且在对现有基金份额持有人利益无实质性不利影响的前提下，以下情况可由基金管理人和基金托管人协商后修改，不需召开基金份额持有人大会：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3）调整本基金的申购费率、调低赎回费率、变更或增加收费方式；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w:t>
      </w:r>
      <w:r>
        <w:rPr>
          <w:rFonts w:ascii="宋体" w:hAnsi="宋体"/>
          <w:sz w:val="24"/>
        </w:rPr>
        <w:lastRenderedPageBreak/>
        <w:t>同》进行修改；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w:t>
      </w:r>
      <w:r>
        <w:rPr>
          <w:rFonts w:ascii="宋体" w:hAnsi="宋体"/>
          <w:sz w:val="24"/>
        </w:rPr>
        <w:lastRenderedPageBreak/>
        <w:t>基金管理人，基金管理人应当配合；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w:t>
      </w:r>
      <w:r>
        <w:rPr>
          <w:rFonts w:ascii="宋体" w:hAnsi="宋体"/>
          <w:sz w:val="24"/>
        </w:rPr>
        <w:lastRenderedPageBreak/>
        <w:t>关允许的其他方式召开，会议的召开方式由会议召集人确定。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w:t>
      </w:r>
      <w:r>
        <w:rPr>
          <w:rFonts w:ascii="宋体" w:hAnsi="宋体"/>
          <w:sz w:val="24"/>
        </w:rPr>
        <w:lastRenderedPageBreak/>
        <w:t>持有人大会。重新召集的基金份额持有人大会应当有代表基金总份额三分之一以上（含三分之一）基金份额的持有人直接出具表决意见或授权他人代表出具表决意见；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w:t>
      </w:r>
      <w:r>
        <w:rPr>
          <w:rFonts w:ascii="宋体" w:hAnsi="宋体"/>
          <w:sz w:val="24"/>
        </w:rPr>
        <w:lastRenderedPageBreak/>
        <w:t>份额持有人大会，不影响基金份额持有人大会作出的决议的效力。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w:t>
      </w:r>
      <w:r>
        <w:rPr>
          <w:rFonts w:ascii="宋体" w:hAnsi="宋体"/>
          <w:sz w:val="24"/>
        </w:rPr>
        <w:lastRenderedPageBreak/>
        <w:t>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基金份额持有人大会的决议，召集人应当自通过之日起5日内报中国证监会备案。基金份额持有人大会的决议自表决通过之日起生效。法律法规另有规定的，从其规定。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w:t>
      </w:r>
      <w:r>
        <w:rPr>
          <w:rFonts w:ascii="宋体" w:hAnsi="宋体"/>
          <w:sz w:val="24"/>
        </w:rPr>
        <w:lastRenderedPageBreak/>
        <w:t>代表的基金份额或表决权符合该等比例：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w:t>
      </w:r>
      <w:r>
        <w:rPr>
          <w:rFonts w:ascii="宋体" w:hAnsi="宋体"/>
          <w:sz w:val="24"/>
        </w:rPr>
        <w:lastRenderedPageBreak/>
        <w:t>报中国证监会备案。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（3）连续60个工作日出现基金份额持有人数量不满200人或者基金资产净值低于5000万元情形的，基金管理人应向中国证监会报告并提前终止基金合同，不需召开基金份额持有人大会；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券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（五）基金合同存放地和投资者取得基金合同的方式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25" w:name="_Toc234408729"/>
      <w:r>
        <w:rPr>
          <w:rFonts w:ascii="Times New Roman" w:hAnsi="Times New Roman"/>
          <w:sz w:val="30"/>
        </w:rPr>
        <w:lastRenderedPageBreak/>
        <w:t>二十二、托管协议的内容摘要</w:t>
      </w:r>
      <w:bookmarkEnd w:id="25"/>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 2005年8月4日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 2亿元人民币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 号中国光大中心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成立时间：1992年6月18日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注册资本：人民币466.79095亿元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基金托管资格批文及文号：证监基金字【2002】75号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1、基金托管人根据有关法律法规的规定及基金合同的约定，对基金投资范围、投资比例进行监督。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本基金的投资范围为具有良好流动性的金融工具，包括国内依法发行上市的国债、农发债、债券回购、银行存款等固定收益类资产以及法律法规或中国证监会允</w:t>
      </w:r>
      <w:r>
        <w:rPr>
          <w:rFonts w:ascii="宋体" w:hAnsi="宋体"/>
          <w:sz w:val="24"/>
        </w:rPr>
        <w:lastRenderedPageBreak/>
        <w:t>许基金投资的其他金融工具（但须符合中国证监会相关规定）。本基金不投资股票、权证等权益类资产。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本基金投资于债券资产的比例不低于基金资产的80%，其中标的指数成份券和备选成份券的比例不低于本基金非现金基金资产的80%；每个交易日日终，现金或到期日在一年以内的政府债券的投资比例合计不低于基金资产净值的5%，其中现金不包括结算备付金、存出保证金、应收申购款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（1）本基金投资于债券资产的比例不低于基金资产的80%，其中标的指数成份券和备选成份券的比例不低于本基金非现金基金资产的80%；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（2）每个交易日日终，保持不低于基金资产净值5%的现金或者到期日在一年以内的政府债券，其中现金不包括结算备付金、存出保证金、应收申购款等；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（3）本基金进入全国银行间同业市场进行债券回购的资金余额不得超过基金资产净值的40%；本基金在全国银行间同业市场中的债券回购最长期限为1 年，债券回购到期后不得展期；</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（4）本基金的基金资产总值不得超过基金资产净值的140%；</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（6）本基金与私募类证券资管产品及中国证监会认定的其他主体为交易对手开展逆回购交易的，可接受质押品的资质要求应当与基金合同约定的投资范围保持一致；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（7）法律法规及中国证监会规定的和《基金合同》约定的其他投资限制。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5）、（6）项外，因证券市场波动、证券发行人合并或基金规模变动等基金管理人之外的因素致使基金投资比例不符合上述规定投资比例的，基金管理人应当在10个交易日内进行调整，但中国证监会规定的特殊情形除外。法律</w:t>
      </w:r>
      <w:r>
        <w:rPr>
          <w:rFonts w:ascii="宋体" w:hAnsi="宋体"/>
          <w:sz w:val="24"/>
        </w:rPr>
        <w:lastRenderedPageBreak/>
        <w:t>法规另有规定的，从其规定。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如果法律法规对基金合同约定投资组合比例限制进行变更的，以变更后的规定为准。法律法规或监管部门取消上述限制，如适用于本基金，基金管理人在履行适当程序后，则本基金不再受相关限制。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3、基金托管人根据有关法律法规的规定及基金合同的约定，对本托管协议第十五条第（十二）款基金投资禁止行为进行监督。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事后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w:t>
      </w:r>
      <w:r>
        <w:rPr>
          <w:rFonts w:ascii="宋体" w:hAnsi="宋体"/>
          <w:sz w:val="24"/>
        </w:rPr>
        <w:lastRenderedPageBreak/>
        <w:t>易，基金托管人则根据银行间债券市场成交单对合同履行情况进行监督，不承担交易对手不履行合同造成的损失。如基金托管人事后发现基金管理人没有按照事先约定的交易对手进行交易时，基金托管人应及时提醒基金管理人，基金托管人不承担由此造成的任何损失和责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投资银行定期存款应符合相关法律法规约定。基金管理人在投资银行定期存款的过程中，必须符合基金合同就投资品种、投资比例、存款期限等方面的限制。基金管理人应基于审慎原则评估存款银行信用风险并据此选择存款银行。因基金管理人违反上述原则给基金造成的损失，基金托管人不承担任何责任。开立定期存款账户时，定期存款账户的户名应与托管账户户名一致。对于跨行定期存款投资，基金管理人必须和存款机构签订定期存款协议，约定双方的权利和义务，该协议作为划款指令附件。该协议中必须体现如下明确条款：“存款证实书不得被质押或以任何方式被抵押，并不得用于转让和背书；本息到期归还或提前支取的所有款项必须划至托管专户（明确户名、开户行、账号等），不得划入其他任何账户”。并依照本协议交接原则对存单交接流程予以明确。如定期存款协议中未体现前述条款，基金托管人有权拒绝定期存款投资的划款指令。对于跨行存款，基金管理人需提前与基金托管人就定期存款协议及存单交接流程进行沟通。在取得存款证实书后，基金托管人保管证实书正本。基金托管人不对跨行存款的利率政策风险、存款行的选择承担责任。基金托管人对投资后处于基金托管人实际控制之外的资产不承担保管责任。跨行定期存款账户的预留印鉴为基金托管人托管业务专用章与托管业务授权人名章。</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将在发现后立即报告中国证监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基金管理人应积极配合和协助基金托管人的监督和核查。基金管理人收到书面</w:t>
      </w:r>
      <w:r>
        <w:rPr>
          <w:rFonts w:ascii="宋体" w:hAnsi="宋体"/>
          <w:sz w:val="24"/>
        </w:rPr>
        <w:lastRenderedPageBreak/>
        <w:t>通知后应在下一工作日前及时核对并以书面形式给基金托管人发出回函，就基金托管人合理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基金托管人发出的书面提示，基金管理人应在规定时间内答复并改正，或就基金托管人合理的疑义进行解释或举证；对基金托管人按照法律法规、基金合同和本托管协议的要求需向中国证监会报送基金监督报告的事项，基金管理人应积极配合提供相关数据资料和制度等。</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基金管理人无正当理由，拒绝、阻挠对方根据本托管协议规定行使监督权，或采取拖延、欺诈等手段妨碍对方进行有效监督，情节严重或经基金托管人提出警告仍不改正的，基金托管人应报告中国证监会。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11、侧袋机制的实施和投资运作安排</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侧袋机制实施期间，本部分约定的投资组合比例、组合限制等约定仅适用于主袋账户。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等投资所需账户、复核基金管理人计算的各类基金份额的基金资产净值和基金份额净值、根据基金管</w:t>
      </w:r>
      <w:r>
        <w:rPr>
          <w:rFonts w:ascii="宋体" w:hAnsi="宋体"/>
          <w:sz w:val="24"/>
        </w:rPr>
        <w:lastRenderedPageBreak/>
        <w:t>理人指令办理清算交收、相关信息披露和监督基金投资运作等行为。</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（3）基金托管人按照规定开设基金财产的资金账户和证券账户等投资所需账户；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财产的损失，基金托管人应及时配合基金管理人向有关当事人追偿基金财产的损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w:t>
      </w:r>
      <w:r>
        <w:rPr>
          <w:rFonts w:ascii="宋体" w:hAnsi="宋体"/>
          <w:sz w:val="24"/>
        </w:rPr>
        <w:lastRenderedPageBreak/>
        <w:t>基金财产。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（1）基金募集期间募集的资金应存于基金管理人开立的“基金募集专户”。该账户由基金管理人开立并管理。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开立的基金托管专户，同时在规定时间内，聘请具有从事证券相关业务资格的会计师事务所进行验资，出具验资报告。出具的验资报告由参加验资的2名或2名以上中国注册会计师签字方为有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（3）若基金募集期限届满或基金停止募集时，未能达到基金合同生效的条件，由基金管理人按规定办理退款等事宜。</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3、基金托管专户的开立和管理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基金托管专户的名称:交银施罗德中债1-3年农发行债券指数证券投资基金</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托管账户开户行:中国光大银行深圳分行营业部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的名义在其营业机构开设基金托管专户，保管基金的银行存款。本基金的一切货币收支活动，包括但不限于投资、支付赎回金额、支付基金收益、收取申购款，均需通过基金托管专户进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（2）基金托管专户的开立和使用，限于满足开展本基金业务的需要。基金托管人和基金管理人不得假借本基金的名义开立任何其他银行账户；亦不得使用基金的任何账户进行本基金业务以外的活动。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（3）基金托管专户的开立和管理应符合有关法律法规以及银行业监督管理机构的其他有关规定。</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托管人以基金托管人的名义在中国证券登记结算有限责任公司开立结算备付金账户，并代表所托管的基金完成与中国证券登记结算有限责任公司的一级法人清算工作，基金管理人应予以积极协助。结算备付金、交收价差资金等的收取按照中国证券登记结算有限责任公司的规定执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5、银行间债券托管专户的开设和管理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负责以本基金的名义在银行间市场开设银行间债券市场债券托管账户、持有人账户和资金结算账户，并代表基金进行银行间市场债券的结算。基金管理人和基金托管人共同代表基金签订全国银行间债券市场债券回购主协议，基金托管人保管协议正本，基金管理人保存协议副本。</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签订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等有价凭证的购买和转让，由基金管理人和基金托管人共同办理。基金托管人对由基金托管人及基金托管人委托保管的机构以外机构实际有效控制的证券不承担保管责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w:t>
      </w:r>
      <w:r>
        <w:rPr>
          <w:rFonts w:ascii="宋体" w:hAnsi="宋体"/>
          <w:sz w:val="24"/>
        </w:rPr>
        <w:lastRenderedPageBreak/>
        <w:t>包括但不限于基金年度审计合同、基金信息披露协议及基金投资业务中产生的重大合同，基金管理人应保证基金管理人和基金托管人至少各持有一份正本的原件。基金管理人应在重大合同签署后及时将重大合同传真给基金托管人，并在30个工作日内将正本送达基金托管人处。重大合同的保管期限为基金合同终止后15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对于无法取得二份以上正本的，基金管理人应向基金托管人提供与合同原件核对一致的加盖公章的合同传真件，未经双方协商一致，合同原件不得转移。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按照每个工作日闭市后，该类基金份额的基金资产净值除以当日该类基金份额的余额数量计算，精确到0.0001元，小数点后第五位四舍五入。</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份额净值结果发送基金托管人，经基金托管人复核无误后，由基金管理人按规定对外公布，但基金管理人根据法律法规或基金合同的规定暂停估值时除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应定期向基金托管人提供基金份额持有人名册，基金托管人得到基金管理人提供的持有人名册后与基金管理人分别进行保管。保管方式可以采用电子或文档的形式，保存期不少于15年。如不能妥善保管，则按相关法规承担责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因编制基金定期报告等合理原因要求基金管理人提供相关资料时，基金管理人应将有关资料送交基金托管人，不得无故拒绝或延误提供，并保证其真实性、准确性和完整性。基金托管人不得将所保管的基金份额持有人名册用于基金托管业务以外的其他用途，并应遵守保密义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26" w:name="_Toc234408730"/>
      <w:r>
        <w:rPr>
          <w:rFonts w:ascii="Times New Roman" w:hAnsi="Times New Roman"/>
          <w:sz w:val="30"/>
        </w:rPr>
        <w:lastRenderedPageBreak/>
        <w:t>二十三、对基金份额持有人的服务</w:t>
      </w:r>
      <w:bookmarkEnd w:id="26"/>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转换等业务。通过网上直销交易平台办理本基金A类基金份额或D类基金份额的申购和定期定额投资业务的个人投资者将享受前端申购费率的优惠。具体优惠费率请参见公司网站列示的网上直销交易平台申购、定期定额投资费率表或相关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（五）基金红利再投资</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基金份额、C类基金份额和D类基金份额分别选择不同的收益分配方式。再投资红利按红利再投日（即除息日）除息后的基金份额净值自动转为基金份额，并免收申购费用。</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（六）定期定额投资计划</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本基金已开通A类基金份额和D类基金份额的定期定额投资计划，具体实施方法请参见相关公告。</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（七）如本招募说明书存在任何您/贵机构无法理解的内容，请通过上述方式联系基金管理人。请确保投资前，您/贵机构已经全面理解了本招募说明书</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27" w:name="_Toc234408731"/>
      <w:r>
        <w:rPr>
          <w:rFonts w:ascii="Times New Roman" w:hAnsi="Times New Roman"/>
          <w:sz w:val="30"/>
        </w:rPr>
        <w:lastRenderedPageBreak/>
        <w:t>二十四、其他应披露事项</w:t>
      </w:r>
      <w:bookmarkEnd w:id="27"/>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2025-06-19</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2025-06-23</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交银施罗德基金管理有限公司关于增加平安银行股份有限公司为旗下基金的销售机构的公告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2025-07-15</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交银施罗德基金管理有限公司关于增加上海联泰基金销售有限公司为旗下基金的销售机构的公告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2025-09-02</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2026-02-07</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2026-02-11</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2026-02-11</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2026-02-11</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2026-02-11</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22</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r w:rsidR="00D711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年农发行债券指数证券投资基金开通同一基金不同类别基金份额转换业务的公告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1111" w:rsidRDefault="00A36C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2026-06-16</w:t>
            </w:r>
          </w:p>
        </w:tc>
      </w:tr>
    </w:tbl>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28" w:name="_Toc234408732"/>
      <w:r>
        <w:rPr>
          <w:rFonts w:ascii="Times New Roman" w:hAnsi="Times New Roman"/>
          <w:sz w:val="30"/>
        </w:rPr>
        <w:lastRenderedPageBreak/>
        <w:t>二十五、招募说明书的存放及查阅方式</w:t>
      </w:r>
      <w:bookmarkEnd w:id="28"/>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A36C3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1111" w:rsidRDefault="00A36C32">
      <w:pPr>
        <w:pStyle w:val="1"/>
        <w:snapToGrid w:val="0"/>
        <w:spacing w:beforeLines="0" w:before="240" w:after="240"/>
        <w:rPr>
          <w:rFonts w:ascii="宋体" w:hAnsi="宋体"/>
          <w:szCs w:val="30"/>
        </w:rPr>
      </w:pPr>
      <w:bookmarkStart w:id="29" w:name="_Toc234408733"/>
      <w:r>
        <w:rPr>
          <w:rFonts w:ascii="Times New Roman" w:hAnsi="Times New Roman"/>
          <w:sz w:val="30"/>
        </w:rPr>
        <w:lastRenderedPageBreak/>
        <w:t>二十六、备查文件</w:t>
      </w:r>
      <w:bookmarkEnd w:id="29"/>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（一）中国证监会准予交银施罗德中债1-3年农发行债券指数证券投资基金募集注册的文件</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（二）《交银施罗德中债1-3年农发行债券指数证券投资基金基金合同》</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（三）《交银施罗德中债1-3年农发行债券指数证券投资基金托管协议》</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D71111" w:rsidRDefault="00A36C3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（六）关于申请募集注册交银施罗德中债1-3年农发行债券指数证券投资基金的法律意见书</w:t>
      </w:r>
    </w:p>
    <w:sectPr w:rsidR="00D71111">
      <w:footerReference w:type="default" r:id="rId18"/>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0FC" w:rsidRDefault="00A36C32">
      <w:r>
        <w:separator/>
      </w:r>
    </w:p>
  </w:endnote>
  <w:endnote w:type="continuationSeparator" w:id="0">
    <w:p w:rsidR="007C20FC" w:rsidRDefault="00A36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111" w:rsidRDefault="00D7111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111" w:rsidRDefault="00B9528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D71111" w:rsidRDefault="00A36C3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B95288">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111" w:rsidRDefault="00D71111">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111" w:rsidRDefault="00B9528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D71111" w:rsidRDefault="00A36C3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B95288">
                  <w:rPr>
                    <w:rFonts w:ascii="Times New Roman" w:hAnsi="Times New Roman"/>
                    <w:noProof/>
                    <w:kern w:val="0"/>
                    <w:sz w:val="18"/>
                    <w:szCs w:val="18"/>
                  </w:rPr>
                  <w:t>143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0FC" w:rsidRDefault="00A36C32">
      <w:r>
        <w:separator/>
      </w:r>
    </w:p>
  </w:footnote>
  <w:footnote w:type="continuationSeparator" w:id="0">
    <w:p w:rsidR="007C20FC" w:rsidRDefault="00A36C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111" w:rsidRDefault="00D7111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111" w:rsidRDefault="00A36C32">
    <w:pPr>
      <w:pStyle w:val="a3"/>
      <w:jc w:val="right"/>
      <w:rPr>
        <w:rFonts w:ascii="宋体" w:hAnsi="宋体"/>
      </w:rPr>
    </w:pPr>
    <w:r>
      <w:rPr>
        <w:rFonts w:ascii="宋体" w:hAnsi="宋体" w:hint="eastAsia"/>
      </w:rPr>
      <w:t>交银施罗德中债1-3年农发行债券指数证券投资基金招募说明书更新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111" w:rsidRDefault="00D71111">
    <w:pPr>
      <w:pStyle w:val="10"/>
      <w:jc w:val="right"/>
    </w:pPr>
  </w:p>
  <w:p w:rsidR="00D71111" w:rsidRDefault="00D71111">
    <w:pPr>
      <w:pStyle w:val="10"/>
      <w:jc w:val="right"/>
    </w:pPr>
  </w:p>
  <w:p w:rsidR="00D71111" w:rsidRDefault="00D71111">
    <w:pPr>
      <w:pStyle w:val="a3"/>
      <w:jc w:val="right"/>
    </w:pPr>
  </w:p>
  <w:p w:rsidR="00D71111" w:rsidRDefault="00A36C32">
    <w:pPr>
      <w:pStyle w:val="a3"/>
      <w:jc w:val="right"/>
      <w:rPr>
        <w:rFonts w:ascii="宋体" w:hAnsi="宋体"/>
      </w:rPr>
    </w:pPr>
    <w:r>
      <w:rPr>
        <w:rFonts w:ascii="宋体" w:hAnsi="宋体" w:hint="eastAsia"/>
      </w:rPr>
      <w:t>交银施罗德中债1-3年农发行债券指数证券投资基金招募说明书更新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111" w:rsidRDefault="00D71111">
    <w:pPr>
      <w:pStyle w:val="a3"/>
      <w:jc w:val="right"/>
    </w:pPr>
  </w:p>
  <w:p w:rsidR="00D71111" w:rsidRDefault="00D71111">
    <w:pPr>
      <w:pStyle w:val="a3"/>
      <w:jc w:val="right"/>
    </w:pPr>
  </w:p>
  <w:p w:rsidR="00D71111" w:rsidRDefault="00D71111">
    <w:pPr>
      <w:pStyle w:val="a3"/>
      <w:jc w:val="right"/>
    </w:pPr>
  </w:p>
  <w:p w:rsidR="00D71111" w:rsidRDefault="00A36C32">
    <w:pPr>
      <w:pStyle w:val="a3"/>
      <w:jc w:val="right"/>
      <w:rPr>
        <w:rFonts w:ascii="宋体" w:hAnsi="宋体"/>
      </w:rPr>
    </w:pPr>
    <w:r>
      <w:rPr>
        <w:rFonts w:ascii="宋体" w:hAnsi="宋体" w:hint="eastAsia"/>
      </w:rPr>
      <w:t>交银施罗德中债1-3年农发行债券指数证券投资基金招募说明书更新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7"/>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20FC"/>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36C32"/>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5288"/>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111"/>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3"/>
    </o:shapelayout>
  </w:shapeDefaults>
  <w:decimalSymbol w:val="."/>
  <w:listSeparator w:val=","/>
  <w15:docId w15:val="{A94C6BFF-CCEF-4B10-871E-BC3AA512D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144</Pages>
  <Words>15071</Words>
  <Characters>85908</Characters>
  <Application>Microsoft Office Word</Application>
  <DocSecurity>0</DocSecurity>
  <Lines>715</Lines>
  <Paragraphs>201</Paragraphs>
  <ScaleCrop>false</ScaleCrop>
  <Company>Microsoft</Company>
  <LinksUpToDate>false</LinksUpToDate>
  <CharactersWithSpaces>100778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2026-07-08T05:11:00Z</dcterms:created>
  <dcterms:modified xsi:type="dcterms:W3CDTF">2026-07-08T05:11:00Z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