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交银施罗德蓝筹混合型证券投资基金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2026-06-17</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交银蓝筹混合</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519694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2007-08-08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徐森洲</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2025-09-27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2014-06-19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向中国证监会说明出现上述情况的原因并提出解决方案。</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519694（前端），519695（后端）</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一只蓝筹混合型基金，主要通过投资于业绩优良、发展稳定、在行业内占有支配性地位、分红稳定的蓝筹上市公司股票，在有效控制风险并保持基金资产良好流动性的前提下，追求在稳定分红的基础上实现基金资产的长期稳定增长。</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存托凭证）、债券、货币市场工具、权证、资产支持证券以及法律法规或中国证监会允许基金投资的其他金融工具。如法律法规或监管机构以后允许基金投资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本基金的投资对象重点为业绩优良、发展稳定、在行业内占有支配性地位、分红稳定的蓝筹上市公司股票，满足上述条件的蓝筹股票占全部股票投资组合市值的比例不低于80%。</w:t>
            </w:r>
          </w:p>
          <w:p>
            <w:pPr>
              <w:ind w:firstLine="420"/>
              <w:jc w:val="left"/>
              <w:rPr>
                <w:rFonts w:ascii="仿宋_GB2312" w:eastAsia="仿宋_GB2312"/>
                <w:szCs w:val="21"/>
              </w:rPr>
            </w:pPr>
            <w:r>
              <w:rPr>
                <w:rFonts w:hint="eastAsia" w:ascii="仿宋_GB2312" w:eastAsia="仿宋_GB2312"/>
                <w:szCs w:val="21"/>
              </w:rPr>
              <w:t>在正常市场情况下，基金的投资组合比例为：股票资产（含存托凭证）占基金资产的60%-95%；债券、货币市场工具、现金、权证、资产支持证券以及法律法规或中国证监会允许基金投资的其他证券品种占基金资产的5%-40%（基金保留的现金以及投资于到期日在一年以内的政府债券的比例合计不低于基金资产净值的5%，其中现金不包括结算备付金、存出保证金、应收申购款等）。在基金实际管理过程中，本基金具体配置比例由基金管理人根据中国宏观经济情况和证券市场的阶段性变化做主动调整，以求基金资产在各类资产的投资中达到风险和收益的最佳平衡，但比例不超出基金合同约定的限定范围。</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选股方法与积极主动的投资风格相结合，通过优选业绩优良、发展稳定、在行业内占有支配性地位、分红稳定的蓝筹上市公司股票进行投资，以谋求基金资产的长期稳定增长。</w:t>
            </w:r>
          </w:p>
          <w:p>
            <w:pPr>
              <w:ind w:firstLine="420"/>
              <w:jc w:val="left"/>
              <w:rPr>
                <w:rFonts w:ascii="仿宋_GB2312" w:eastAsia="仿宋_GB2312"/>
                <w:szCs w:val="21"/>
              </w:rPr>
            </w:pPr>
            <w:r>
              <w:rPr>
                <w:rFonts w:hint="eastAsia" w:ascii="仿宋_GB2312" w:eastAsia="仿宋_GB2312"/>
                <w:szCs w:val="21"/>
              </w:rPr>
              <w:t>1、资产配置；2、行业配置；3、股票选择；4、债券投资；5、权证投资策略；6、资产支持证券投资策略。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75%×中证100指数+25%×中证综合债券指数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以优质蓝筹股为主要投资对象，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详见《交银施罗德蓝筹混合型证券投资基金招募说明书》“基金的投资”。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申购费（后收费）</w:t>
            </w:r>
          </w:p>
        </w:tc>
        <w:tc>
          <w:tcPr>
            <w:tcW w:w="2409" w:type="dxa"/>
          </w:tcPr>
          <w:p>
            <w:pPr>
              <w:rPr>
                <w:rFonts w:ascii="仿宋_GB2312" w:eastAsia="仿宋_GB2312"/>
                <w:szCs w:val="21"/>
              </w:rPr>
            </w:pPr>
            <w:r>
              <w:rPr>
                <w:rFonts w:hint="eastAsia" w:ascii="仿宋_GB2312" w:eastAsia="仿宋_GB2312"/>
                <w:szCs w:val="21"/>
              </w:rPr>
              <w:t>N≤1年</w:t>
            </w:r>
          </w:p>
        </w:tc>
        <w:tc>
          <w:tcPr>
            <w:tcW w:w="1843" w:type="dxa"/>
            <w:vAlign w:val="center"/>
          </w:tcPr>
          <w:p>
            <w:pPr>
              <w:rPr>
                <w:rFonts w:ascii="仿宋_GB2312" w:eastAsia="仿宋_GB2312"/>
                <w:szCs w:val="21"/>
              </w:rPr>
            </w:pPr>
            <w:r>
              <w:rPr>
                <w:rFonts w:hint="eastAsia" w:ascii="仿宋_GB2312" w:eastAsia="仿宋_GB2312"/>
                <w:szCs w:val="21"/>
              </w:rPr>
              <w:t>1.8%</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1年＜N≤3年</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3年＜N≤5年</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5年＜N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本基金属于混合型基金，将维持较高的股票持仓比例。如果股票市场出现整体下跌，本基金的净值表现将受到影响。</w:t>
      </w:r>
    </w:p>
    <w:p>
      <w:pPr>
        <w:ind w:firstLine="420"/>
        <w:jc w:val="left"/>
        <w:rPr>
          <w:rFonts w:ascii="仿宋_GB2312" w:eastAsia="仿宋_GB2312"/>
          <w:szCs w:val="21"/>
        </w:rPr>
      </w:pPr>
      <w:r>
        <w:rPr>
          <w:rFonts w:hint="eastAsia" w:ascii="仿宋_GB2312" w:eastAsia="仿宋_GB2312"/>
          <w:szCs w:val="21"/>
        </w:rPr>
        <w:t>本基金主要投资于业绩优良、发展稳定、在行业内占有支配性地位、分红稳定的蓝筹上市公司股票，在选股策略上本基金特有的风险主要来自两个方面：一是对行业及上市公司的基本面研究是否准确、深入，二是对蓝筹上市企业的优选和判断是否科学、准确。基本面研究及蓝筹上市企业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7、投资存托凭证的特定风险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●《交银施罗德蓝筹混合型证券投资基金基金合同》、</w:t>
      </w:r>
    </w:p>
    <w:p>
      <w:pPr>
        <w:ind w:firstLine="420"/>
        <w:jc w:val="left"/>
        <w:rPr>
          <w:rFonts w:ascii="仿宋_GB2312" w:eastAsia="仿宋_GB2312"/>
          <w:szCs w:val="21"/>
        </w:rPr>
      </w:pPr>
      <w:r>
        <w:rPr>
          <w:rFonts w:hint="eastAsia" w:ascii="仿宋_GB2312" w:eastAsia="仿宋_GB2312"/>
          <w:szCs w:val="21"/>
        </w:rPr>
        <w:t>《交银施罗德蓝筹混合型证券投资基金托管协议》、</w:t>
      </w:r>
    </w:p>
    <w:p>
      <w:pPr>
        <w:ind w:firstLine="420"/>
        <w:jc w:val="left"/>
        <w:rPr>
          <w:rFonts w:ascii="仿宋_GB2312" w:eastAsia="仿宋_GB2312"/>
          <w:szCs w:val="21"/>
        </w:rPr>
      </w:pPr>
      <w:r>
        <w:rPr>
          <w:rFonts w:hint="eastAsia" w:ascii="仿宋_GB2312" w:eastAsia="仿宋_GB2312"/>
          <w:szCs w:val="21"/>
        </w:rPr>
        <w:t>《交银施罗德蓝筹混合型证券投资基金招募说明书》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B2481"/>
    <w:rsid w:val="00CD7637"/>
    <w:rsid w:val="00D04A15"/>
    <w:rsid w:val="00D373CC"/>
    <w:rsid w:val="00DB319C"/>
    <w:rsid w:val="00E51B6D"/>
    <w:rsid w:val="00F75715"/>
    <w:rsid w:val="00F811C4"/>
    <w:rsid w:val="00FC2918"/>
    <w:rsid w:val="2D4D79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697</Words>
  <Characters>3973</Characters>
  <Lines>33</Lines>
  <Paragraphs>9</Paragraphs>
  <TotalTime>8</TotalTime>
  <ScaleCrop>false</ScaleCrop>
  <LinksUpToDate>false</LinksUpToDate>
  <CharactersWithSpaces>4661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2026-06-23T08:17:00Z</dcterms:created>
  <dc:creator>Cc</dc:creator>
  <cp:lastModifiedBy>haotingting</cp:lastModifiedBy>
  <dcterms:modified xsi:type="dcterms:W3CDTF">2026-06-30T02:29:00Z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D6AB7FBC8E7E4C9F967B3BA363F99312</vt:lpwstr>
  </property>
</Properties>
</file>