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AE2B1A">
      <w:pPr>
        <w:rPr>
          <w:sz w:val="32"/>
        </w:rPr>
      </w:pPr>
    </w:p>
    <w:p w:rsidR="00C92FC0" w:rsidRPr="00EB07BC" w:rsidRDefault="00AE2B1A">
      <w:pPr>
        <w:rPr>
          <w:sz w:val="32"/>
        </w:rPr>
      </w:pPr>
    </w:p>
    <w:p w:rsidR="00C92FC0" w:rsidRPr="00EB07BC" w:rsidRDefault="00AE2B1A">
      <w:pPr>
        <w:rPr>
          <w:sz w:val="32"/>
        </w:rPr>
      </w:pPr>
    </w:p>
    <w:p w:rsidR="00F5358F" w:rsidRDefault="00F5358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5358F" w:rsidRDefault="00F5358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5358F" w:rsidRDefault="00F5358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5358F" w:rsidRDefault="00C16E8D">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交银施罗德股息优化混合型证券投资基金</w:t>
      </w:r>
    </w:p>
    <w:p w:rsidR="00F5358F" w:rsidRDefault="00C16E8D">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F5358F" w:rsidRDefault="00F5358F">
      <w:pPr>
        <w:snapToGrid w:val="0"/>
        <w:spacing w:line="360" w:lineRule="auto"/>
        <w:jc w:val="center"/>
        <w:rPr>
          <w:rFonts w:ascii="宋体" w:hAnsi="宋体"/>
          <w:b/>
          <w:sz w:val="30"/>
          <w:szCs w:val="30"/>
        </w:rPr>
      </w:pPr>
    </w:p>
    <w:p w:rsidR="00F5358F" w:rsidRDefault="00F5358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5358F" w:rsidRDefault="00F5358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5358F" w:rsidRDefault="00F5358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5358F" w:rsidRDefault="00F5358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5358F" w:rsidRDefault="00F5358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5358F" w:rsidRDefault="00F5358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5358F" w:rsidRDefault="00C16E8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F5358F" w:rsidRDefault="00C16E8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F5358F" w:rsidRDefault="00F5358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5358F" w:rsidRDefault="00F5358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5358F" w:rsidRDefault="00C16E8D">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F5358F" w:rsidRDefault="00F5358F">
      <w:pPr>
        <w:autoSpaceDE w:val="0"/>
        <w:autoSpaceDN w:val="0"/>
        <w:adjustRightInd w:val="0"/>
        <w:snapToGrid w:val="0"/>
        <w:spacing w:line="360" w:lineRule="auto"/>
        <w:ind w:left="1347" w:rightChars="6" w:right="13"/>
        <w:rPr>
          <w:rFonts w:ascii="宋体" w:hAnsi="宋体"/>
          <w:kern w:val="0"/>
          <w:sz w:val="32"/>
          <w:szCs w:val="32"/>
        </w:rPr>
        <w:sectPr w:rsidR="00F5358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F5358F" w:rsidRDefault="00C16E8D">
      <w:pPr>
        <w:pStyle w:val="1"/>
        <w:snapToGrid w:val="0"/>
        <w:spacing w:beforeLines="0" w:before="240" w:after="240"/>
        <w:rPr>
          <w:rFonts w:ascii="宋体" w:hAnsi="宋体"/>
          <w:kern w:val="0"/>
        </w:rPr>
      </w:pPr>
      <w:bookmarkStart w:id="0" w:name="_Toc324920538"/>
      <w:bookmarkStart w:id="1" w:name="_Toc496884613"/>
      <w:bookmarkStart w:id="2" w:name="_Toc234327909"/>
      <w:r>
        <w:rPr>
          <w:rFonts w:ascii="Times New Roman" w:hAnsi="Times New Roman"/>
          <w:kern w:val="0"/>
        </w:rPr>
        <w:lastRenderedPageBreak/>
        <w:t>重要提示</w:t>
      </w:r>
      <w:bookmarkEnd w:id="0"/>
      <w:bookmarkEnd w:id="1"/>
      <w:bookmarkEnd w:id="2"/>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交银施罗德股息优化混合型证券投资基金（以下简称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2017</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2017</w:t>
      </w:r>
      <w:r>
        <w:rPr>
          <w:rFonts w:ascii="Times New Roman" w:hAnsi="Times New Roman"/>
          <w:kern w:val="0"/>
          <w:sz w:val="24"/>
        </w:rPr>
        <w:t>】</w:t>
      </w:r>
      <w:r>
        <w:rPr>
          <w:rFonts w:ascii="Times New Roman" w:hAnsi="Times New Roman"/>
          <w:kern w:val="0"/>
          <w:sz w:val="24"/>
        </w:rPr>
        <w:t>937</w:t>
      </w:r>
      <w:r>
        <w:rPr>
          <w:rFonts w:ascii="Times New Roman" w:hAnsi="Times New Roman"/>
          <w:kern w:val="0"/>
          <w:sz w:val="24"/>
        </w:rPr>
        <w:t>号文准予募集注册。本基金基金合同于</w:t>
      </w:r>
      <w:r>
        <w:rPr>
          <w:rFonts w:ascii="Times New Roman" w:hAnsi="Times New Roman"/>
          <w:kern w:val="0"/>
          <w:sz w:val="24"/>
        </w:rPr>
        <w:t>2017</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日正式生效。</w:t>
      </w:r>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交易对手违约产生的信用风险；本基金投资策略所特有的风险；投资股指期货的特定风险；投资资产支持证券的特定风险；投资流通受限证券的特定风险；投资科创板股票的特定风险；投资本基金的其他风险等等。</w:t>
      </w:r>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F5358F" w:rsidRDefault="00C16E8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F5358F" w:rsidRDefault="00F5358F">
      <w:pPr>
        <w:autoSpaceDE w:val="0"/>
        <w:autoSpaceDN w:val="0"/>
        <w:adjustRightInd w:val="0"/>
        <w:snapToGrid w:val="0"/>
        <w:spacing w:before="51" w:line="360" w:lineRule="auto"/>
        <w:ind w:left="120" w:rightChars="6" w:right="13" w:firstLine="480"/>
        <w:rPr>
          <w:rFonts w:ascii="宋体" w:hAnsi="宋体"/>
          <w:kern w:val="0"/>
          <w:szCs w:val="24"/>
        </w:rPr>
        <w:sectPr w:rsidR="00F5358F">
          <w:headerReference w:type="default" r:id="rId14"/>
          <w:pgSz w:w="11920" w:h="16840"/>
          <w:pgMar w:top="1440" w:right="1680" w:bottom="280" w:left="1680" w:header="0" w:footer="1073" w:gutter="0"/>
          <w:pgNumType w:start="1"/>
          <w:cols w:space="720"/>
        </w:sectPr>
      </w:pPr>
    </w:p>
    <w:p w:rsidR="00AE2B1A" w:rsidRPr="00AE2B1A" w:rsidRDefault="00C16E8D" w:rsidP="00AE2B1A">
      <w:pPr>
        <w:pStyle w:val="ad"/>
        <w:snapToGrid w:val="0"/>
        <w:spacing w:after="240" w:line="360" w:lineRule="auto"/>
        <w:jc w:val="center"/>
        <w:rPr>
          <w:rFonts w:ascii="宋体" w:hAnsi="宋体"/>
          <w:noProof/>
          <w:sz w:val="24"/>
        </w:rPr>
      </w:pPr>
      <w:r w:rsidRPr="00AE2B1A">
        <w:rPr>
          <w:rFonts w:ascii="宋体" w:hAnsi="宋体"/>
          <w:color w:val="000000"/>
          <w:position w:val="-4"/>
          <w:sz w:val="24"/>
          <w:szCs w:val="30"/>
        </w:rPr>
        <w:lastRenderedPageBreak/>
        <w:t>目</w:t>
      </w:r>
      <w:r w:rsidRPr="00AE2B1A">
        <w:rPr>
          <w:rFonts w:ascii="宋体" w:hAnsi="宋体"/>
          <w:color w:val="000000"/>
          <w:position w:val="-4"/>
          <w:sz w:val="24"/>
          <w:szCs w:val="30"/>
        </w:rPr>
        <w:tab/>
        <w:t>录</w:t>
      </w:r>
      <w:r w:rsidR="00AE2B1A" w:rsidRPr="00AE2B1A">
        <w:rPr>
          <w:rFonts w:ascii="宋体" w:hAnsi="宋体"/>
          <w:color w:val="000000"/>
          <w:position w:val="-4"/>
          <w:sz w:val="24"/>
          <w:szCs w:val="30"/>
        </w:rPr>
        <w:fldChar w:fldCharType="begin"/>
      </w:r>
      <w:r w:rsidR="00AE2B1A" w:rsidRPr="00AE2B1A">
        <w:rPr>
          <w:rFonts w:ascii="宋体" w:hAnsi="宋体"/>
          <w:color w:val="000000"/>
          <w:position w:val="-4"/>
          <w:sz w:val="24"/>
          <w:szCs w:val="30"/>
        </w:rPr>
        <w:instrText xml:space="preserve"> TOC \o "1-3" \f - \h \t "-1" </w:instrText>
      </w:r>
      <w:r w:rsidR="00AE2B1A" w:rsidRPr="00AE2B1A">
        <w:rPr>
          <w:rFonts w:ascii="宋体" w:hAnsi="宋体"/>
          <w:color w:val="000000"/>
          <w:position w:val="-4"/>
          <w:sz w:val="24"/>
          <w:szCs w:val="30"/>
        </w:rPr>
        <w:fldChar w:fldCharType="separate"/>
      </w:r>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09" w:history="1">
        <w:r w:rsidRPr="00AE2B1A">
          <w:rPr>
            <w:rStyle w:val="aa"/>
            <w:rFonts w:ascii="宋体" w:hAnsi="宋体" w:hint="eastAsia"/>
            <w:noProof/>
            <w:kern w:val="0"/>
            <w:sz w:val="24"/>
          </w:rPr>
          <w:t>重要提示</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_Toc234327909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0" w:history="1">
        <w:r w:rsidRPr="00AE2B1A">
          <w:rPr>
            <w:rStyle w:val="aa"/>
            <w:rFonts w:ascii="宋体" w:hAnsi="宋体" w:hint="eastAsia"/>
            <w:noProof/>
            <w:sz w:val="24"/>
          </w:rPr>
          <w:t>一、绪言</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_Toc234327910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4</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1" w:history="1">
        <w:r w:rsidRPr="00AE2B1A">
          <w:rPr>
            <w:rStyle w:val="aa"/>
            <w:rFonts w:ascii="宋体" w:hAnsi="宋体" w:hint="eastAsia"/>
            <w:noProof/>
            <w:sz w:val="24"/>
          </w:rPr>
          <w:t>二、释义</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_Toc234327911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5</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2" w:history="1">
        <w:r w:rsidRPr="00AE2B1A">
          <w:rPr>
            <w:rStyle w:val="aa"/>
            <w:rFonts w:ascii="宋体" w:hAnsi="宋体" w:hint="eastAsia"/>
            <w:noProof/>
            <w:sz w:val="24"/>
          </w:rPr>
          <w:t>三、基金管理人</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_Toc234327912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9</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3" w:history="1">
        <w:r w:rsidRPr="00AE2B1A">
          <w:rPr>
            <w:rStyle w:val="aa"/>
            <w:rFonts w:ascii="宋体" w:hAnsi="宋体" w:hint="eastAsia"/>
            <w:noProof/>
            <w:sz w:val="24"/>
          </w:rPr>
          <w:t>四、基金托管人</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_Toc234327913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16</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4" w:history="1">
        <w:r w:rsidRPr="00AE2B1A">
          <w:rPr>
            <w:rStyle w:val="aa"/>
            <w:rFonts w:ascii="宋体" w:hAnsi="宋体" w:hint="eastAsia"/>
            <w:noProof/>
            <w:sz w:val="24"/>
          </w:rPr>
          <w:t>五、相关服务机构</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_Toc234327914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19</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5" w:history="1">
        <w:r w:rsidRPr="00AE2B1A">
          <w:rPr>
            <w:rStyle w:val="aa"/>
            <w:rFonts w:ascii="宋体" w:hAnsi="宋体" w:hint="eastAsia"/>
            <w:noProof/>
            <w:sz w:val="24"/>
          </w:rPr>
          <w:t>六、基金的募集</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_Toc234327915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50</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6" w:history="1">
        <w:r w:rsidRPr="00AE2B1A">
          <w:rPr>
            <w:rStyle w:val="aa"/>
            <w:rFonts w:ascii="宋体" w:hAnsi="宋体" w:hint="eastAsia"/>
            <w:noProof/>
            <w:sz w:val="24"/>
          </w:rPr>
          <w:t>七、基金合同的生效</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_Toc234327916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51</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7" w:history="1">
        <w:r w:rsidRPr="00AE2B1A">
          <w:rPr>
            <w:rStyle w:val="aa"/>
            <w:rFonts w:ascii="宋体" w:hAnsi="宋体" w:hint="eastAsia"/>
            <w:noProof/>
            <w:sz w:val="24"/>
          </w:rPr>
          <w:t>八、基金份额的申购与赎回</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_Toc234327917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52</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8" w:history="1">
        <w:r w:rsidRPr="00AE2B1A">
          <w:rPr>
            <w:rStyle w:val="aa"/>
            <w:rFonts w:ascii="宋体" w:hAnsi="宋体" w:hint="eastAsia"/>
            <w:noProof/>
            <w:sz w:val="24"/>
          </w:rPr>
          <w:t>九、基金的转换</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_Toc234327918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64</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19" w:history="1">
        <w:r w:rsidRPr="00AE2B1A">
          <w:rPr>
            <w:rStyle w:val="aa"/>
            <w:rFonts w:ascii="宋体" w:hAnsi="宋体" w:hint="eastAsia"/>
            <w:noProof/>
            <w:sz w:val="24"/>
          </w:rPr>
          <w:t>十、基金的投资</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_Toc234327919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71</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0" w:history="1">
        <w:r w:rsidRPr="00AE2B1A">
          <w:rPr>
            <w:rStyle w:val="aa"/>
            <w:rFonts w:ascii="宋体" w:hAnsi="宋体" w:hint="eastAsia"/>
            <w:noProof/>
            <w:sz w:val="24"/>
          </w:rPr>
          <w:t>十一、基金的业绩</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_Toc234327920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82</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1" w:history="1">
        <w:r w:rsidRPr="00AE2B1A">
          <w:rPr>
            <w:rStyle w:val="aa"/>
            <w:rFonts w:ascii="宋体" w:hAnsi="宋体" w:hint="eastAsia"/>
            <w:noProof/>
            <w:sz w:val="24"/>
          </w:rPr>
          <w:t>十二、基金的财产</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_Toc234327921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84</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2" w:history="1">
        <w:r w:rsidRPr="00AE2B1A">
          <w:rPr>
            <w:rStyle w:val="aa"/>
            <w:rFonts w:ascii="宋体" w:hAnsi="宋体" w:hint="eastAsia"/>
            <w:noProof/>
            <w:sz w:val="24"/>
          </w:rPr>
          <w:t>十三、基金资产的估值</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_Toc234327922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85</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3" w:history="1">
        <w:r w:rsidRPr="00AE2B1A">
          <w:rPr>
            <w:rStyle w:val="aa"/>
            <w:rFonts w:ascii="宋体" w:hAnsi="宋体" w:hint="eastAsia"/>
            <w:noProof/>
            <w:sz w:val="24"/>
          </w:rPr>
          <w:t>十四、基金收益与分配</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_Toc234327923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91</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4" w:history="1">
        <w:r w:rsidRPr="00AE2B1A">
          <w:rPr>
            <w:rStyle w:val="aa"/>
            <w:rFonts w:ascii="宋体" w:hAnsi="宋体" w:hint="eastAsia"/>
            <w:noProof/>
            <w:sz w:val="24"/>
          </w:rPr>
          <w:t>十五、基金的费用与税收</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_Toc234327924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93</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5" w:history="1">
        <w:r w:rsidRPr="00AE2B1A">
          <w:rPr>
            <w:rStyle w:val="aa"/>
            <w:rFonts w:ascii="宋体" w:hAnsi="宋体" w:hint="eastAsia"/>
            <w:noProof/>
            <w:sz w:val="24"/>
          </w:rPr>
          <w:t>十六、基金的会计与审计</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_Toc234327925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95</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6" w:history="1">
        <w:r w:rsidRPr="00AE2B1A">
          <w:rPr>
            <w:rStyle w:val="aa"/>
            <w:rFonts w:ascii="宋体" w:hAnsi="宋体" w:hint="eastAsia"/>
            <w:noProof/>
            <w:sz w:val="24"/>
          </w:rPr>
          <w:t>十七、基金的信息披露</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_Toc234327926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96</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7" w:history="1">
        <w:r w:rsidRPr="00AE2B1A">
          <w:rPr>
            <w:rStyle w:val="aa"/>
            <w:rFonts w:ascii="宋体" w:hAnsi="宋体" w:hint="eastAsia"/>
            <w:noProof/>
            <w:sz w:val="24"/>
          </w:rPr>
          <w:t>十八、风险揭示</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_Toc234327927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102</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8" w:history="1">
        <w:r w:rsidRPr="00AE2B1A">
          <w:rPr>
            <w:rStyle w:val="aa"/>
            <w:rFonts w:ascii="宋体" w:hAnsi="宋体" w:hint="eastAsia"/>
            <w:noProof/>
            <w:sz w:val="24"/>
          </w:rPr>
          <w:t>十九、基金合同的变更、终止与基金财产的清算</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_Toc234327928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110</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29" w:history="1">
        <w:r w:rsidRPr="00AE2B1A">
          <w:rPr>
            <w:rStyle w:val="aa"/>
            <w:rFonts w:ascii="宋体" w:hAnsi="宋体" w:hint="eastAsia"/>
            <w:noProof/>
            <w:sz w:val="24"/>
          </w:rPr>
          <w:t>二十、基金合同内容摘要</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_Toc234327929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112</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30" w:history="1">
        <w:r w:rsidRPr="00AE2B1A">
          <w:rPr>
            <w:rStyle w:val="aa"/>
            <w:rFonts w:ascii="宋体" w:hAnsi="宋体" w:hint="eastAsia"/>
            <w:noProof/>
            <w:sz w:val="24"/>
          </w:rPr>
          <w:t>二十一、托管协议的内容摘要</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_Toc234327930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127</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31" w:history="1">
        <w:r w:rsidRPr="00AE2B1A">
          <w:rPr>
            <w:rStyle w:val="aa"/>
            <w:rFonts w:ascii="宋体" w:hAnsi="宋体" w:hint="eastAsia"/>
            <w:noProof/>
            <w:sz w:val="24"/>
          </w:rPr>
          <w:t>二十二、对基金份额持有人的服务</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_Toc234327931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140</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32" w:history="1">
        <w:r w:rsidRPr="00AE2B1A">
          <w:rPr>
            <w:rStyle w:val="aa"/>
            <w:rFonts w:ascii="宋体" w:hAnsi="宋体" w:hint="eastAsia"/>
            <w:noProof/>
            <w:sz w:val="24"/>
          </w:rPr>
          <w:t>二十三、其他应披露事项</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_Toc234327932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142</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33" w:history="1">
        <w:r w:rsidRPr="00AE2B1A">
          <w:rPr>
            <w:rStyle w:val="aa"/>
            <w:rFonts w:ascii="宋体" w:hAnsi="宋体" w:hint="eastAsia"/>
            <w:noProof/>
            <w:sz w:val="24"/>
          </w:rPr>
          <w:t>二十四、招募说明书的存放及查阅方式</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_Toc234327933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144</w:t>
        </w:r>
        <w:r w:rsidRPr="00AE2B1A">
          <w:rPr>
            <w:rFonts w:ascii="宋体" w:hAnsi="宋体"/>
            <w:noProof/>
            <w:sz w:val="24"/>
          </w:rPr>
          <w:fldChar w:fldCharType="end"/>
        </w:r>
      </w:hyperlink>
    </w:p>
    <w:p w:rsidR="00AE2B1A" w:rsidRPr="00AE2B1A" w:rsidRDefault="00AE2B1A" w:rsidP="00AE2B1A">
      <w:pPr>
        <w:pStyle w:val="10"/>
        <w:tabs>
          <w:tab w:val="right" w:leader="dot" w:pos="8550"/>
        </w:tabs>
        <w:spacing w:line="360" w:lineRule="auto"/>
        <w:rPr>
          <w:rFonts w:ascii="宋体" w:hAnsi="宋体" w:cstheme="minorBidi"/>
          <w:noProof/>
          <w:sz w:val="24"/>
        </w:rPr>
      </w:pPr>
      <w:hyperlink w:anchor="_Toc234327934" w:history="1">
        <w:r w:rsidRPr="00AE2B1A">
          <w:rPr>
            <w:rStyle w:val="aa"/>
            <w:rFonts w:ascii="宋体" w:hAnsi="宋体" w:hint="eastAsia"/>
            <w:noProof/>
            <w:sz w:val="24"/>
          </w:rPr>
          <w:t>二十五、备查文件</w:t>
        </w:r>
        <w:r w:rsidRPr="00AE2B1A">
          <w:rPr>
            <w:rFonts w:ascii="宋体" w:hAnsi="宋体"/>
            <w:noProof/>
            <w:sz w:val="24"/>
          </w:rPr>
          <w:tab/>
        </w:r>
        <w:r w:rsidRPr="00AE2B1A">
          <w:rPr>
            <w:rFonts w:ascii="宋体" w:hAnsi="宋体"/>
            <w:noProof/>
            <w:sz w:val="24"/>
          </w:rPr>
          <w:fldChar w:fldCharType="begin"/>
        </w:r>
        <w:r w:rsidRPr="00AE2B1A">
          <w:rPr>
            <w:rFonts w:ascii="宋体" w:hAnsi="宋体"/>
            <w:noProof/>
            <w:sz w:val="24"/>
          </w:rPr>
          <w:instrText xml:space="preserve"> PAGEREF _Toc234327934 \h </w:instrText>
        </w:r>
        <w:r w:rsidRPr="00AE2B1A">
          <w:rPr>
            <w:rFonts w:ascii="宋体" w:hAnsi="宋体"/>
            <w:noProof/>
            <w:sz w:val="24"/>
          </w:rPr>
        </w:r>
        <w:r w:rsidRPr="00AE2B1A">
          <w:rPr>
            <w:rFonts w:ascii="宋体" w:hAnsi="宋体"/>
            <w:noProof/>
            <w:sz w:val="24"/>
          </w:rPr>
          <w:fldChar w:fldCharType="separate"/>
        </w:r>
        <w:r w:rsidRPr="00AE2B1A">
          <w:rPr>
            <w:rFonts w:ascii="宋体" w:hAnsi="宋体"/>
            <w:noProof/>
            <w:sz w:val="24"/>
          </w:rPr>
          <w:t>145</w:t>
        </w:r>
        <w:r w:rsidRPr="00AE2B1A">
          <w:rPr>
            <w:rFonts w:ascii="宋体" w:hAnsi="宋体"/>
            <w:noProof/>
            <w:sz w:val="24"/>
          </w:rPr>
          <w:fldChar w:fldCharType="end"/>
        </w:r>
      </w:hyperlink>
    </w:p>
    <w:p w:rsidR="00F5358F" w:rsidRPr="00AE2B1A" w:rsidRDefault="00AE2B1A" w:rsidP="00AE2B1A">
      <w:pPr>
        <w:pStyle w:val="ad"/>
        <w:snapToGrid w:val="0"/>
        <w:spacing w:after="240" w:line="360" w:lineRule="auto"/>
        <w:jc w:val="center"/>
        <w:rPr>
          <w:rFonts w:ascii="宋体" w:hAnsi="宋体"/>
          <w:color w:val="000000"/>
          <w:sz w:val="24"/>
        </w:rPr>
      </w:pPr>
      <w:r w:rsidRPr="00AE2B1A">
        <w:rPr>
          <w:rFonts w:ascii="宋体" w:hAnsi="宋体"/>
          <w:color w:val="000000"/>
          <w:position w:val="-4"/>
          <w:sz w:val="24"/>
          <w:szCs w:val="30"/>
        </w:rPr>
        <w:fldChar w:fldCharType="end"/>
      </w:r>
      <w:bookmarkStart w:id="3" w:name="_GoBack"/>
      <w:bookmarkEnd w:id="3"/>
    </w:p>
    <w:p w:rsidR="00F5358F" w:rsidRDefault="00F5358F">
      <w:pPr>
        <w:autoSpaceDE w:val="0"/>
        <w:autoSpaceDN w:val="0"/>
        <w:adjustRightInd w:val="0"/>
        <w:snapToGrid w:val="0"/>
        <w:spacing w:line="360" w:lineRule="auto"/>
        <w:ind w:left="120" w:rightChars="6" w:right="13"/>
        <w:rPr>
          <w:rFonts w:ascii="宋体" w:hAnsi="宋体"/>
          <w:kern w:val="0"/>
          <w:szCs w:val="24"/>
        </w:rPr>
        <w:sectPr w:rsidR="00F5358F">
          <w:pgSz w:w="11920" w:h="16840"/>
          <w:pgMar w:top="1480" w:right="1680" w:bottom="280" w:left="1680" w:header="0" w:footer="1073" w:gutter="0"/>
          <w:cols w:space="720"/>
        </w:sectPr>
      </w:pPr>
    </w:p>
    <w:p w:rsidR="00F5358F" w:rsidRDefault="00C16E8D">
      <w:pPr>
        <w:pStyle w:val="1"/>
        <w:snapToGrid w:val="0"/>
        <w:spacing w:beforeLines="0" w:before="240" w:after="240"/>
        <w:rPr>
          <w:rFonts w:ascii="宋体" w:hAnsi="宋体"/>
          <w:szCs w:val="30"/>
        </w:rPr>
      </w:pPr>
      <w:bookmarkStart w:id="4" w:name="_Toc234327910"/>
      <w:r>
        <w:rPr>
          <w:rFonts w:ascii="Times New Roman" w:hAnsi="Times New Roman"/>
          <w:sz w:val="30"/>
        </w:rPr>
        <w:lastRenderedPageBreak/>
        <w:t>一、绪言</w:t>
      </w:r>
      <w:bookmarkEnd w:id="4"/>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股息优化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股息优化混合型证券投资基金基金合同》（以下简称“基金合同”）编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5" w:name="_Toc234327911"/>
      <w:r>
        <w:rPr>
          <w:rFonts w:ascii="Times New Roman" w:hAnsi="Times New Roman"/>
          <w:sz w:val="30"/>
        </w:rPr>
        <w:lastRenderedPageBreak/>
        <w:t>二、释义</w:t>
      </w:r>
      <w:bookmarkEnd w:id="5"/>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1、基金或本基金：指交银施罗德股息优化混合型证券投资基金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3、基金托管人或本基金托管人：指中国建设银行股份有限公司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4、基金合同或《基金合同》：指《交银施罗德股息优化混合型证券投资基金基金合同》及对基金合同的任何有效修订和补充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5、托管协议：指基金管理人与基金托管人就本基金签订之《交银施罗德股息优化混合型证券投资基金托管协议》及对该托管协议的任何有效修订和补充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6、招募说明书或《招募说明书》或本招募说明书：指《交银施罗德股息优化混合型证券投资基金招募说明书》及其更新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7、基金份额发售公告：指《交银施罗德股息优化混合型证券投资基金基金份额发售公告》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8、基金产品资料概要：指《交银施罗德股息优化混合型证券投资基金基金产品资料概要》及其更新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16、银行业监督管理机构：指中国人民银行和/或中国银行业监督管理委员会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办理认购、申购、赎回、转换、定期定额投资及转托管等业务而引起的基金份额变动及结余情况的账户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w:t>
      </w:r>
      <w:r>
        <w:rPr>
          <w:rFonts w:ascii="宋体" w:hAnsi="宋体"/>
          <w:sz w:val="24"/>
        </w:rPr>
        <w:lastRenderedPageBreak/>
        <w:t>基金份额销售机构的操作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54、指定媒介：指中国证监会指定的用以进行信息披露的全国性报刊及指定互联网网站（包括基金管理人网站、基金托管人网站、中国证监会基金电子披露网站）等媒介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55、不可抗力：指基金合同当事人不能预见、不能避免且不能克服的客观事件</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6" w:name="_Toc234327912"/>
      <w:r>
        <w:rPr>
          <w:rFonts w:ascii="Times New Roman" w:hAnsi="Times New Roman"/>
          <w:sz w:val="30"/>
        </w:rPr>
        <w:lastRenderedPageBreak/>
        <w:t>三、基金管理人</w:t>
      </w:r>
      <w:bookmarkEnd w:id="6"/>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韩威俊先生:基金经理。上海财经大学金融学硕士，21年证券投资行业从业经验。2005年至2008年担任申银万国证券研究所助理分析师，2008年至2009年担任北京鼎天资产管理有限公司董事助理，2009年至2010年担任申银万国证券研究所行业分析师，2010年至2013年担任信诚基金管理有限公司投资分析师。2013年加入交银施罗德基金管理有限公司，曾任行业分析师，现任权益部基金经理。曾任交银施罗德趋势优先混合型证券投资基金(2017年06月03日至2020年05月26日)的基金经理。现任交银施罗德策略回报灵活配置混合型证券投资基金(2016年01月20日至今)、交银施罗德股息优化混合型证券投资基金(2017年08月25日至今)、交银施罗德品质升级混合型证券投资基金(2018年02月08日至今)、交银施罗德消费新驱动股票型证券投资基金(2018年08月24日至今)、交银施罗德内需增长一年持有期混合型证券投资基金(2020年12月11日至今)、交银施罗德品质增长一年持有期混合型证券投资基金(2021年07月23日至今)的基金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2、不利用职务之便为自己、受雇人或任何第三者牟取利益；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7" w:name="_Toc234327913"/>
      <w:r>
        <w:rPr>
          <w:rFonts w:ascii="Times New Roman" w:hAnsi="Times New Roman"/>
          <w:sz w:val="30"/>
        </w:rPr>
        <w:lastRenderedPageBreak/>
        <w:t>四、基金托管人</w:t>
      </w:r>
      <w:bookmarkEnd w:id="7"/>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8" w:name="_Toc234327914"/>
      <w:r>
        <w:rPr>
          <w:rFonts w:ascii="Times New Roman" w:hAnsi="Times New Roman"/>
          <w:sz w:val="30"/>
        </w:rPr>
        <w:lastRenderedPageBreak/>
        <w:t>五、相关服务机构</w:t>
      </w:r>
      <w:bookmarkEnd w:id="8"/>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（1）名称：中国建设银行股份有限公司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（2）名称：交通银行股份有限公司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办公地址：上海市浦东新区银城中路188号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（4）名称：东莞农村商业银行股份有限公司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（5）名称：中国光大银行股份有限公司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传真：（010）63639709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（7）名称：平安银行股份有限公司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（8）名称：中国银河证券股份有限公司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住所：广东省深圳市福田区中心三路8号卓越时代广场（二期）北座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（10）名称：上海华信证券有限责任公司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注册地址：上海浦东新区世纪大道100号环球金融中心9楼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办公地址：上海浦东新区世纪大道100号环球金融中心9楼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电话：021-38784818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传真：021-38784818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客服电话：400-820-5999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公司网址：www.shhxzq.com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（11）名称：大同证券有限责任公司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（12）名称：第一创业证券股份有限公司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联系人：崔国良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（13）名称：华西证券股份有限公司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（14）名称：信达证券股份有限公司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（15）名称：中泰证券股份有限公司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（16）名称：申万宏源西部证券有限公司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（17）名称：申万宏源证券有限公司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（18）名称：平安证券股份有限公司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（19）名称：万联证券股份有限公司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 系 人：丁思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（20）名称：天风证券股份有限公司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（21）名称：中国中金财富证券有限公司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（22）名称：国联民生证券股份有限公司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（23）名称：开源证券股份有限公司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（24）名称：西部证券股份有限公司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（25）名称：东方证券股份有限公司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（26）名称：方正证券股份有限公司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联系人：张达</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（27）名称：国投证券股份有限公司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（28）名称：国元证券股份有限公司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（29）名称：中信建投证券股份有限公司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（30）名称：东方财富证券股份有限公司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办公地址：上海市徐汇区宛平南路88号东方财富大厦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（31）名称：金融街证券股份有限公司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（32）名称：兴业证券股份有限公司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（33）名称：广发证券股份有限公司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传真：（020）87553600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（34）名称：华龙证券股份有限公司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（35）名称：华宝证券股份有限公司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（36）名称：爱建证券有限责任公司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网址：www.ajzq.com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（37）名称：长江证券股份有限公司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（38）名称：招商证券股份有限公司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（39）名称：西南证券股份有限公司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（40）名称：渤海证券股份有限公司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办公地址：天津市南开区宾水西道8号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（41）名称：国金证券股份有限公司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（42）名称：南京证券股份有限公司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（43）名称：国信证券股份有限公司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传真：（0755）82133952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（44）名称：华福证券股份有限公司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（45）名称：华泰证券股份有限公司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（46）名称：中信证券（山东）有限责任公司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（47）名称：中信证券华南股份有限公司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（48）名称：国泰海通证券股份有限公司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（49）名称：民生证券股份有限公司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（50）名称：上海中欧财富基金销售有限公司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法定代表人：许欣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（51）名称：京东肯特瑞基金销售有限公司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（52）名称：珠海盈米基金销售有限公司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（53）名称：上海华夏财富投资管理有限公司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传真：010-63136184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（54）名称：嘉实财富管理有限公司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（55）名称：上海利得基金销售有限公司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（56）名称：上海挖财基金销售有限公司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客服电话：400-711-8718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（57）名称：万家财富基金销售（天津）有限公司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（58）名称：上海证达通基金销售有限公司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（59）名称：北京创金启富基金销售有限公司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（60）名称：和讯信息科技有限公司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住所：北京市朝阳区朝外大街22号泛利大厦10层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（61）名称：上海好买基金销售有限公司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（62）名称：上海长量基金销售有限公司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（63）名称：深圳众禄基金销售股份有限公司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传真：（0755）33227951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（64）名称：蚂蚁（杭州）基金销售有限公司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（65）名称：上海基煜基金销售有限公司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（66）名称：浙江同花顺基金销售有限公司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客户服务电话：952555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（67）名称：上海联泰基金销售有限公司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（68）名称：北京广源达信基金销售有限公司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（69）名称：济安财富（北京）基金销售有限公司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（70）名称：博时财富基金销售有限公司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住所：深圳市福田区莲花街道福新社区益田路5999号基金大厦19层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（71）名称：大连网金基金销售有限公司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（72）名称：阳光人寿保险股份有限公司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（73）名称：玄元保险代理有限公司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电话：（021）50701053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（74）名称：上海大智慧基金销售有限公司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（75）名称：和耕传承基金销售有限公司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（76）名称：腾安基金销售（深圳）有限公司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客户服务电话：95017（拨通后转1转8）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（77）名称：北京度小满基金销售有限公司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（78）名称：南京苏宁基金销售有限公司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（79）名称：北京汇成基金销售有限公司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（80）名称：北京虹点基金销售有限公司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住所：北京市朝阳区工人体育场北路甲2号裙房2层222单元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（81）名称：上海万得基金销售有限公司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（82）名称：格上富信投资顾问有限公司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（83）名称：深圳市金斧子基金销售有限公司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电话：（0755）66892301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（84）名称：北京雪球基金销售有限公司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（85）名称：北京新浪仓石基金销售有限公司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（86）名称：奕丰基金销售有限公司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传真：（0755）21674453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（87）名称：上海天天基金销售有限公司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（88）名称：诺亚正行基金销售有限公司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（89）名称：深圳市新兰德证券投资咨询有限公司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网址：http://8.jrj.com.cn/</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（90）名称：北京展恒基金销售股份有限公司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（91）名称：泛华普益基金销售有限公司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（92）名称：中国人寿保险股份有限公司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（93）名称：宜信普泽（北京）基金销售有限公司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（94）名称：深圳前海微众银行股份有限公司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（95）名称：中信期货有限公司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（96）名称：上海陆金所基金销售有限公司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传真：（021）22066653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联系人：蒋燕华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9" w:name="_Toc234327915"/>
      <w:r>
        <w:rPr>
          <w:rFonts w:ascii="Times New Roman" w:hAnsi="Times New Roman"/>
          <w:sz w:val="30"/>
        </w:rPr>
        <w:lastRenderedPageBreak/>
        <w:t>六、基金的募集</w:t>
      </w:r>
      <w:bookmarkEnd w:id="9"/>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本基金由基金管理人依照《基金法》、《运作办法》、《销售办法》、基金合同及其他有关规定，并经中国证监会2017年6月16日证监许可[2017]937号文准予募集注册。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本基金自2017年7月24日至2017年8月18日进行发售，本基金设立募集期共募集872,524,972.27份基金份额，有效认购户数为10,473户。</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0" w:name="_Toc234327916"/>
      <w:r>
        <w:rPr>
          <w:rFonts w:ascii="Times New Roman" w:hAnsi="Times New Roman"/>
          <w:sz w:val="30"/>
        </w:rPr>
        <w:lastRenderedPageBreak/>
        <w:t>七、基金合同的生效</w:t>
      </w:r>
      <w:bookmarkEnd w:id="10"/>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根据有关规定，本基金满足基金合同生效条件，基金合同已于2017年8月25日正式生效。自基金合同生效之日起，本基金管理人正式开始管理本基金。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1" w:name="_Toc234327917"/>
      <w:r>
        <w:rPr>
          <w:rFonts w:ascii="Times New Roman" w:hAnsi="Times New Roman"/>
          <w:sz w:val="30"/>
        </w:rPr>
        <w:lastRenderedPageBreak/>
        <w:t>八、基金份额的申购与赎回</w:t>
      </w:r>
      <w:bookmarkEnd w:id="11"/>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本基金已于2017年9月25日起开放申购、赎回业务。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2、赎回份额的限制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申购的金额和赎回的份额以及最低基金份额保留余额的数量限制。基金管理人必须在调整实施前依照《信息披露办法》的有关规定在指定媒介上刊登公告并报中国证监会备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w:t>
      </w:r>
      <w:r>
        <w:rPr>
          <w:rFonts w:ascii="宋体" w:hAnsi="宋体"/>
          <w:sz w:val="24"/>
        </w:rPr>
        <w:lastRenderedPageBreak/>
        <w:t>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F5358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w:t>
      </w:r>
      <w:r>
        <w:rPr>
          <w:rFonts w:ascii="宋体" w:hAnsi="宋体"/>
          <w:sz w:val="24"/>
        </w:rPr>
        <w:lastRenderedPageBreak/>
        <w:t>申购费率。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F5358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F5358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F5358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5358F" w:rsidRDefault="00F5358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例一：某投资者（非养老金客户）投资40,000元申购本基金，假设申购当日基</w:t>
      </w:r>
      <w:r>
        <w:rPr>
          <w:rFonts w:ascii="宋体" w:hAnsi="宋体"/>
          <w:sz w:val="24"/>
        </w:rPr>
        <w:lastRenderedPageBreak/>
        <w:t>金份额净值为1.0400元，申购费率为1.5%，则其可得到的申购份额为：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即：该投资者（非养老金客户）投资40,000元申购本基金，假设申购当日基金份额净值为1.0400元，则其可得到37,893.14份基金份额。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例二：某养老金客户投资100,000元通过基金管理人的直销柜台申购本基金，假设申购当日基金份额净值为1.0400元，申购费率为0.6%，则其可得到的申购份额为：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赎回金额的计算方法如下：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例三：某投资者赎回持有的10,000份基金份额，持有期限为30日，对应的赎回费率为0.5%，假设赎回当日基金份额净值是1.0160元，则其可得到的赎回金额为：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即：投资者赎回本基金10,000份基金份额，持有期限为30日，对应的赎回费率为0.5%，假设赎回当日基金份额净值是1.0160元，则其可得到的赎回金额为10,109.20元。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基金份额净值＝基金资产净值总额/发行在外的基金份额总数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基金份额净值的计算，保留到小数点后4位，小数点后第5位四舍五入，由此误差产生的收益或损失由基金财产承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8、当前一估值日基金资产净值50%以上的资产出现无可参考的活跃市场价格且采用估值技术仍导致公允价值存在重大不确定性时，经与基金托管人协商确认后，基金管理人应当暂停接受基金申购申请。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发生下列情形时，基金管理人可暂停接受投资人的赎回申请或延缓支付赎回款项：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w:t>
      </w:r>
      <w:r>
        <w:rPr>
          <w:rFonts w:ascii="宋体" w:hAnsi="宋体"/>
          <w:sz w:val="24"/>
        </w:rPr>
        <w:lastRenderedPageBreak/>
        <w:t>公告，并公布最近一个开放日的基金份额净值。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本基金2017年9月22日刊登公告自2017年9月25日起开通定期定额投资计划业务，具体开通销售机构名单和业务规则参见相关公告。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2" w:name="_Toc234327918"/>
      <w:r>
        <w:rPr>
          <w:rFonts w:ascii="Times New Roman" w:hAnsi="Times New Roman"/>
          <w:sz w:val="30"/>
        </w:rPr>
        <w:lastRenderedPageBreak/>
        <w:t>九、基金的转换</w:t>
      </w:r>
      <w:bookmarkEnd w:id="12"/>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3月7日刊登公告自2019年3月11日起开放日常转换业务。办理基金间转换的时间为上海证券交易所、深圳证券交易所交易日。若出现新的证券交易市场或交易所交易时间更改或其它原因，基金管理人将视情况进行相应的调整并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证券投资基金信息披露管理办法》的有关规定在中国证监会指定媒介上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3" w:name="_Toc234327919"/>
      <w:r>
        <w:rPr>
          <w:rFonts w:ascii="Times New Roman" w:hAnsi="Times New Roman"/>
          <w:sz w:val="30"/>
        </w:rPr>
        <w:lastRenderedPageBreak/>
        <w:t>十、基金的投资</w:t>
      </w:r>
      <w:bookmarkEnd w:id="13"/>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本基金主要投资于具有稳定股息收益的优质成长性上市公司，以稳健收益为目标，追求长期的资产增值。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权证、资产支持证券、股指期货以及法律法规或中国证监会允许基金投资的其他金融工具（但须符合中国证监会相关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其中投资于股息优化型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自上而下调整基金大类资产配置和股票行业配置策略，确定债券组合久期和债券类别配置；在严谨深入的股票和债券研究分析基础上，自下而上精选个券。其中，本基金在股票投资上突出对有稳定股息收益的股票的侧重，同时选取能够体现公司竞争比较优势、盈利能力、内生成长性因子和体现公司财务状况、抗周期波动和分红稳定性因子，力争投资于具有稳定股息收益的优质成长性上</w:t>
      </w:r>
      <w:r>
        <w:rPr>
          <w:rFonts w:ascii="宋体" w:hAnsi="宋体"/>
          <w:sz w:val="24"/>
        </w:rPr>
        <w:lastRenderedPageBreak/>
        <w:t>市公司。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本基金在股票选择上侧重于对“股息优化型”证券的投资，“股息优化型”证券是指有稳定股息收益且具有成长性的优质上市公司发行的证券。本基金管理人对股息优化型证券的投资具体分以下几个层次进行：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首先，基金管理人将满足以下前两项中任一项且同时满足第三项特征的股票作为符合股息率要求的公司，构建备选股票池：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1）在过去两年中，至少有一年实施现金分红且股息率（当年现金分红/股票的年均价（年均价=年成交额/年成交量））处于市场前50%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2）具有潜在股息优势（未来预期有稳定股息收益或具有较强分红意愿、且股票估值合理）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3）经营状况良好、无重大违法违规事项、股息分配与经营情况不存在重大异常。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其次，在公司备选股票池的基础上，本基金管理人将根据公司的竞争比较优势、企业盈利能力、内生成长性和成长质量等因子，优选基本面良好且具有成长动能的优质上市公司。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公司的竞争比较优势：重点考察公司的市场优势，包括市场地位和市场份额，在细分市场是否占据领先位置，是否具有品牌号召力或较高的行业知名度，在营销渠道及营销网络方面的优势和发展潜力等；资源优势，包括是否拥有独特优势的物资或非物质资源，比如市场资源、专利技术等；产品优势，包括是否拥有创新和受专利保护的具有市场竞争力的产品，对产品的定价能力等以及其他优势，例如是否受到中央或地方政府政策的扶持等因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2）企业盈利能力是企业成长潜力的体现，企业能否将自身各种优势转化为不断释放的盈利能力是其具有成长动能的主要标志。本基金拟通过定量和定性相结合</w:t>
      </w:r>
      <w:r>
        <w:rPr>
          <w:rFonts w:ascii="宋体" w:hAnsi="宋体"/>
          <w:sz w:val="24"/>
        </w:rPr>
        <w:lastRenderedPageBreak/>
        <w:t>的方法对企业盈利能力进行分析。定量分析主要是通过上市公司主营业务收入增长率和利润增长率等财务指标进行分析，定性分析主要考察上市公司盈利能力的质量和可靠性，即对上市公司的技术优势、资源优势和商业模式优势的分析，判断推动上市公司主营业务收入或上市公司利润增长的原因和可望保持的时间，进而判断上市公司盈利能力的持续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3）内生成长性和成长质量：本基金将从上市公司的发展战略、公司的创新能力、商业模式、市场竞争力、公司治理结构等多角度研判上市公司的成长性和成长质量，考察公司是否具有以下一项或多项优势：</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①公司的发展战略符合产业的发展方向和国家产业政策，有利于支持公司的持续成长；</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②公司创新能力较强，新产品、高技术含量产品的收入比例不断提高；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③公司在资源、技术、人才、资金、销售网络等方面具有难以模仿的竞争优势，有利于公司不断提高市场占有率；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④公司治理结构良好，管理层具有较强的经营管理能力。本基金在以上分析的基础上，选择那些短期内利润增长速度高于行业平均水平，并有可能在中长期保持较高增长速度的公司。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w:t>
      </w:r>
      <w:r>
        <w:rPr>
          <w:rFonts w:ascii="宋体" w:hAnsi="宋体"/>
          <w:sz w:val="24"/>
        </w:rPr>
        <w:lastRenderedPageBreak/>
        <w:t>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（1）股票资产（含存托凭证）占基金资产的50%-95%，其中投资于股息优化型证券的比例不低于非现金基金资产的80%；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（8）本基金投资于同一原始权益人的各类资产支持证券的比例，不得超过基金资产净值的10%；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（15）当本基金参与股指期货交易，则：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（16）本基金管理人管理的全部开放式基金（包括开放式基金以及处于开放期的定期开放基金）持有一家上市公司发行的可流通股票，不得超过该上市公司可流</w:t>
      </w:r>
      <w:r>
        <w:rPr>
          <w:rFonts w:ascii="宋体" w:hAnsi="宋体"/>
          <w:sz w:val="24"/>
        </w:rPr>
        <w:lastRenderedPageBreak/>
        <w:t>通股票的15%；本基金管理人管理的全部投资组合持有一家上市公司发行的可流通股票，不得超过该上市公司可流通股票的30%；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（18）本基金与私募类证券资管产品及中国证监会认定的其他主体为交易对手开展逆回购交易的，可接受质押品的资质要求应当与基金合同约定的投资范围保持一致；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17）、（18）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沪深300指数收益率×60%+中证综合债券指数收益率×40%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股票类资产投资的业绩比较基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根据本基金的投资范围和投资比例，选用上述业绩比较基准能够客观、合理地反映本基金的风险收益特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w:t>
      </w:r>
      <w:r>
        <w:rPr>
          <w:rFonts w:ascii="宋体" w:hAnsi="宋体"/>
          <w:sz w:val="24"/>
        </w:rPr>
        <w:lastRenderedPageBreak/>
        <w:t>人可与本基金托管人协商一致后，调整或变更本基金的业绩比较基准并及时公告，无需召开基金份额持有人大会。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（七）基金管理人代表基金行使股东及债权人权利的处理原则及方法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（八）基金投资组合报告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本基金托管人中国建设银行股份有限公司根据本基金合同规定，于2026年04月20日复核了本报告中的财务指标、净值表现和投资组合报告等内容，保证复核内容不存在虚假记载、误导性陈述或者重大遗漏。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185,323,965.27</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92.18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185,323,965.27</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92.18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14,188,042.90</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7.06</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1,525,787.08</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201,037,795.25</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1,944,540.00</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173,351,740.31</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86.48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24,254.66</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9,980,890.00</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4.98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10,542.64</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10,152.00</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185,323,965.27</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92.45</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12,832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18,606,400.00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9.28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燕京啤酒</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1,057,500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13,853,250.00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6.91</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605499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东鹏饮料</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59,520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12,217,670.40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6.09</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600066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宇通客车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311,800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11,181,148.00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5.58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002293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罗莱生活</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1,047,000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10,490,940.00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5.23</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000423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东阿阿胶</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181,446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10,373,267.82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5.17</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002847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盐津铺子</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174,590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10,365,408.30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5.17</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分众传媒</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1,523,800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9,980,890.00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4.98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002014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永新股份</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841,300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9,977,818.00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4.98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000596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古井贡酒</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93,000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9,565,050.00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4.77</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10、报告期末本基金投资的国债期货交易情况说明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51,559.95</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1,438,418.24</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35,808.89</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right"/>
              <w:rPr>
                <w:rFonts w:ascii="宋体" w:hAnsi="宋体"/>
                <w:color w:val="000000"/>
                <w:kern w:val="0"/>
                <w:sz w:val="25"/>
                <w:szCs w:val="24"/>
              </w:rPr>
            </w:pPr>
            <w:r>
              <w:rPr>
                <w:rFonts w:ascii="Times New Roman" w:hAnsi="Times New Roman"/>
                <w:color w:val="000000"/>
                <w:kern w:val="0"/>
                <w:sz w:val="25"/>
                <w:szCs w:val="24"/>
              </w:rPr>
              <w:t>1,525,787.08</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4" w:name="_Toc234327920"/>
      <w:r>
        <w:rPr>
          <w:rFonts w:ascii="Times New Roman" w:hAnsi="Times New Roman"/>
          <w:sz w:val="30"/>
        </w:rPr>
        <w:lastRenderedPageBreak/>
        <w:t>十一、基金的业绩</w:t>
      </w:r>
      <w:bookmarkEnd w:id="14"/>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-3.31%</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-3.58%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-14.47%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-25.88%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-16.26%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-11.24%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-7.36%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3.92%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102.73%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85.10%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51.74%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28.65%</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-18.82%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-5.89%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r>
      <w:tr w:rsidR="00F5358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10.98%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4.69%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6.29%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bl>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F5358F" w:rsidRDefault="00C16E8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交银施罗德股息优化混合型证券投资基金</w:t>
      </w:r>
    </w:p>
    <w:p w:rsidR="00F5358F" w:rsidRDefault="00C16E8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F5358F" w:rsidRDefault="00C16E8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（2017年8月25日至2026年03月31日）</w:t>
      </w:r>
    </w:p>
    <w:p w:rsidR="00F5358F" w:rsidRDefault="00AE2B1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5" w:name="_Toc234327921"/>
      <w:r>
        <w:rPr>
          <w:rFonts w:ascii="Times New Roman" w:hAnsi="Times New Roman"/>
          <w:sz w:val="30"/>
        </w:rPr>
        <w:lastRenderedPageBreak/>
        <w:t>十二、基金的财产</w:t>
      </w:r>
      <w:bookmarkEnd w:id="15"/>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6" w:name="_Toc234327922"/>
      <w:r>
        <w:rPr>
          <w:rFonts w:ascii="Times New Roman" w:hAnsi="Times New Roman"/>
          <w:sz w:val="30"/>
        </w:rPr>
        <w:lastRenderedPageBreak/>
        <w:t>十三、基金资产的估值</w:t>
      </w:r>
      <w:bookmarkEnd w:id="16"/>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本基金所持有的投资品种，按如下原则进行估值 ：</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②在交易所市场上市交易或挂牌转让的固定收益品种（另有规定的除外），选取第三方估值机构提供的相应品种当日的估值净价估值。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③对在交易所市场上市交易的可转换债券，按照每日收盘价作为估值全价。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对在交易所市场挂牌转让的资产支持证券和私募证券，估值日不存在活跃市场时采用估值技术确定其公允价值进行估值。如成本能够近似体现公允价值，应持续评估上述做法的适当性，并在情况发生改变时做出适当调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②首次公开发行未上市的股票、债券和权证，采用估值技术确定公允价值，在估值技术难以可靠计量公允价值的情况下，按成本估值。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③对在交易所市场发行未上市或未挂牌转让的债券，对存在活跃市场的情况下，应以活跃市场上未经调整的报价作为计量日的公允价值进行估值；对于活跃市</w:t>
      </w:r>
      <w:r>
        <w:rPr>
          <w:rFonts w:ascii="宋体" w:hAnsi="宋体"/>
          <w:sz w:val="24"/>
        </w:rPr>
        <w:lastRenderedPageBreak/>
        <w:t>场报价未能代表计量日公允价值的情况下，按成本应对市场报价进行调整，确认计量日的公允价值；对于不存在市场活动或市场活动很少的情况下，则采用估值技术确定公允价值。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④首次公开发行有明确锁定期的股票，同一股票在交易所上市后，按交易所上市的同一股票的估值方法估值；非公开发行有明确锁定期的股票，按监管机构或行业协会有关规定确定公允价值。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（4）存款的估值方法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持有的银行定期存款或通知存款以本金列示，按协议或合同利率逐日确认利息收入。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（5）投资证券衍生品的估值方法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将参考监管机构或行业协会有关规定,或者类似投资品种的现行市价及重大变化因素，调整最近交易市价，确定公允价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②首次发行未上市的权证，采用估值技术确定公允价值，在估值技术难以可靠计量公允价值的情况下，按成本估值。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③因持有股票而享有的配股权，以及停止交易但未行权的权证，采用估值技术确定公允价值进行估值。在估值技术难以可靠计量公允价值的情况下，按成本进行估值。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④股指期货合约，一般以估值当日结算价进行，估值当日无结算价的，且最近交易日后经济环境未发生重大变化的，采用最近交易日结算价估值。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（6）本基金可以采用第三方估值机构按照上述公允价值确定原则提供的估值</w:t>
      </w:r>
      <w:r>
        <w:rPr>
          <w:rFonts w:ascii="宋体" w:hAnsi="宋体"/>
          <w:sz w:val="24"/>
        </w:rPr>
        <w:lastRenderedPageBreak/>
        <w:t>价格数据。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资产净值的计算结果对外予以公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基金管理人于每个工作日计算基金资产净值及基金份额净值，并按规定公告。如遇特殊情况，经中国证监会同意，可以适当延迟计算或公告。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的约定和相关法律法规的规定对外公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估值错误被发现后，有关的当事人应当及时进行处理，处理的程序如下：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3、当前一估值日基金资产净值50%以上的资产出现无可参考的活跃市场价格且采用估值技术仍导致公允价值存在重大不确定性时，经与基金托管人协商一致的，基金管理人应当暂停估值；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4、中国证监会规定的和基金合同约定的其它情形。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（八）特殊情形的处理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7" w:name="_Toc234327923"/>
      <w:r>
        <w:rPr>
          <w:rFonts w:ascii="Times New Roman" w:hAnsi="Times New Roman"/>
          <w:sz w:val="30"/>
        </w:rPr>
        <w:lastRenderedPageBreak/>
        <w:t>十四、基金收益与分配</w:t>
      </w:r>
      <w:bookmarkEnd w:id="17"/>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w:t>
      </w:r>
      <w:r>
        <w:rPr>
          <w:rFonts w:ascii="宋体" w:hAnsi="宋体"/>
          <w:sz w:val="24"/>
        </w:rPr>
        <w:lastRenderedPageBreak/>
        <w:t>《业务规则》执行。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8" w:name="_Toc234327924"/>
      <w:r>
        <w:rPr>
          <w:rFonts w:ascii="Times New Roman" w:hAnsi="Times New Roman"/>
          <w:sz w:val="30"/>
        </w:rPr>
        <w:lastRenderedPageBreak/>
        <w:t>十五、基金的费用与税收</w:t>
      </w:r>
      <w:bookmarkEnd w:id="18"/>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9、按照国家有关规定和《基金合同》约定，可以在基金财产中列支的其他费用。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本基金的托管费按前一日基金资产净值的0.20%年费率计提。托管费的计算方法如下：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（3）上述“（一）基金费用的种类”中第3－9项费用，根据有关法规及相应协议规定，按费用实际支出金额列入当期费用，由基金托管人从基金财产中支付。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（四）基金税收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19" w:name="_Toc234327925"/>
      <w:r>
        <w:rPr>
          <w:rFonts w:ascii="Times New Roman" w:hAnsi="Times New Roman"/>
          <w:sz w:val="30"/>
        </w:rPr>
        <w:lastRenderedPageBreak/>
        <w:t>十六、基金的会计与审计</w:t>
      </w:r>
      <w:bookmarkEnd w:id="19"/>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20" w:name="_Toc234327926"/>
      <w:r>
        <w:rPr>
          <w:rFonts w:ascii="Times New Roman" w:hAnsi="Times New Roman"/>
          <w:sz w:val="30"/>
        </w:rPr>
        <w:lastRenderedPageBreak/>
        <w:t>十七、基金的信息披露</w:t>
      </w:r>
      <w:bookmarkEnd w:id="20"/>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w:t>
      </w:r>
      <w:r>
        <w:rPr>
          <w:rFonts w:ascii="宋体" w:hAnsi="宋体"/>
          <w:sz w:val="24"/>
        </w:rPr>
        <w:lastRenderedPageBreak/>
        <w:t>金份额累计净值。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（3）转换基金运作方式、基金合并；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w:t>
      </w:r>
      <w:r>
        <w:rPr>
          <w:rFonts w:ascii="宋体" w:hAnsi="宋体"/>
          <w:sz w:val="24"/>
        </w:rPr>
        <w:lastRenderedPageBreak/>
        <w:t>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13、基金管理人在本基金投资非公开发行股票后2个交易日内，在中国证监会指定媒介披露所投资非公开发行股票的名称、数量、总成本、账面价值，以及总成本和账面价值占基金资产净值的比例、锁定期等信息。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14、中国证监会规定的其他信息。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21" w:name="_Toc234327927"/>
      <w:r>
        <w:rPr>
          <w:rFonts w:ascii="Times New Roman" w:hAnsi="Times New Roman"/>
          <w:sz w:val="30"/>
        </w:rPr>
        <w:lastRenderedPageBreak/>
        <w:t>十八、风险揭示</w:t>
      </w:r>
      <w:bookmarkEnd w:id="21"/>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2、投资主题风险：本基金投资于股息优化型证券的比例不低于非现金基金资</w:t>
      </w:r>
      <w:r>
        <w:rPr>
          <w:rFonts w:ascii="宋体" w:hAnsi="宋体"/>
          <w:sz w:val="24"/>
        </w:rPr>
        <w:lastRenderedPageBreak/>
        <w:t>产的 80%，因此本基金的股票投资与本基金界定的“股息优化型”主题的上市公司发行证券的相关性较大，需承担相应风险。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（六）投资股指期货的特定风险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（八）投资流通受限证券的特定风险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（九）投资科创板股票的特定风险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（十）投资存托凭证的特定风险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（十二）其他风险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F5358F" w:rsidRDefault="00C16E8D">
      <w:pPr>
        <w:pStyle w:val="1"/>
        <w:snapToGrid w:val="0"/>
        <w:spacing w:beforeLines="0" w:before="240" w:after="240"/>
        <w:rPr>
          <w:rFonts w:ascii="宋体" w:hAnsi="宋体"/>
          <w:szCs w:val="30"/>
        </w:rPr>
      </w:pPr>
      <w:bookmarkStart w:id="22" w:name="_Toc234327928"/>
      <w:r>
        <w:rPr>
          <w:rFonts w:ascii="Times New Roman" w:hAnsi="Times New Roman"/>
          <w:sz w:val="30"/>
        </w:rPr>
        <w:lastRenderedPageBreak/>
        <w:t>十九、基金合同的变更、终止与基金财产的清算</w:t>
      </w:r>
      <w:bookmarkEnd w:id="22"/>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23" w:name="_Toc234327929"/>
      <w:r>
        <w:rPr>
          <w:rFonts w:ascii="Times New Roman" w:hAnsi="Times New Roman"/>
          <w:sz w:val="30"/>
        </w:rPr>
        <w:lastRenderedPageBreak/>
        <w:t>二十、基金合同内容摘要</w:t>
      </w:r>
      <w:bookmarkEnd w:id="23"/>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11）在《基金合同》约定的范围内，拒绝或暂停受理申购、赎回与转换申请；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4）根据相关市场规则，为基金开设资金账户、证券账户等投资所需账户、为基金办理证券、期货交易资金清算；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本基金份额持有人大会不设日常机构。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（1）当出现或需要决定下列事由之一的，应当召开基金份额持有人大会，法律法规、中国证监会另有规定或基金合同另有约定的除外：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1）调低除基金管理费、基金托管费之外的其他应由本基金或基金份额持有人承担的费用；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3）在法律法规规定和《基金合同》约定的范围内，且在对现有基金份额持有人利益无实质性不利影响的前提下调整本基金的申购费率、调低赎回费率、变更或增加收费方式；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5）对《基金合同》的修改对基金份额持有人利益无实质性不利影响或修改不涉及《基金合同》当事人权利义务关系发生重大变化；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7）在符合法律法规规定及基金合同约定、并且对基金份额持有人利益无实质不利影响的前提下，增加基金份额类别或调整本基金份额类别的设置；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w:t>
      </w:r>
      <w:r>
        <w:rPr>
          <w:rFonts w:ascii="宋体" w:hAnsi="宋体"/>
          <w:sz w:val="24"/>
        </w:rPr>
        <w:lastRenderedPageBreak/>
        <w:t>（含三分之一）基金份额的持有人直接出具表决意见或授权他人代表出具表决意见；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会议召集人应当制作出席会议人员的签名册。签名册载明参加会议人员姓名（或单位名称）、身份证明文件号码、持有或代表有表决权的基金份额、委托人姓名（或单位名称）和联系方式等事项。</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中国证监会另有规定或《基金合同》另有约定的除外）以特别决议通过方为有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w:t>
      </w:r>
      <w:r>
        <w:rPr>
          <w:rFonts w:ascii="宋体" w:hAnsi="宋体"/>
          <w:sz w:val="24"/>
        </w:rPr>
        <w:lastRenderedPageBreak/>
        <w:t>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1、《基金合同》的变更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6）将清算报告报中国证监会备案并公告；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争议处理期间，双方当事人应恪守基金管理人和基金托管人职责，各自继续忠实、勤勉、尽责地履行基金合同规定的义务，维护基金份额持有人的合法权益。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24" w:name="_Toc234327930"/>
      <w:r>
        <w:rPr>
          <w:rFonts w:ascii="Times New Roman" w:hAnsi="Times New Roman"/>
          <w:sz w:val="30"/>
        </w:rPr>
        <w:lastRenderedPageBreak/>
        <w:t>二十一、托管协议的内容摘要</w:t>
      </w:r>
      <w:bookmarkEnd w:id="24"/>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权证、资产支持证券、股指期货以及法律法规或中国证监会允许基金投资的其他金融工具（但须符合中国证监会相关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其中投资于股息优化型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（1）股票资产（含存托凭证）占基金资产的50%-95%，其中投资于股息优化型证券的比例不低于非现金基金资产的80%；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w:t>
      </w:r>
      <w:r>
        <w:rPr>
          <w:rFonts w:ascii="宋体" w:hAnsi="宋体"/>
          <w:sz w:val="24"/>
        </w:rPr>
        <w:lastRenderedPageBreak/>
        <w:t>于基金资产净值5％的现金或者到期日在一年以内的政府债券，其中现金不包括结算备付金、存出保证金、应收申购款等；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（4）本基金管理人管理且由本基金托管人托管的全部基金持有一家公司发行的证券，不超过该证券的10％；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（6）本基金管理人管理且由本基金托管人托管的全部基金持有的同一权证，不得超过该权证的10%；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（11）本基金管理人管理且由本基金托管人托管的全部基金投资于同一原始权益人的各类资产支持证券，不得超过其各类资产支持证券合计规模的10%；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（15）本基金的基金资产总值不得超过基金资产净值的140%；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（16）本基金持有的所有流通受限证券，其公允价值不得超过本基金资产净值的15%；本基金持有的同一流通受限证券，其公允价值不得超过本基金资产净值的10%；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（17）当本基金参与股指期货交易，则：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其中，有价证券指股票、债券（不含到期日在一年以内的政府债券）、权证、资产支持证券、买入返售金融资产（不含质押式回购）等。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本基金在开始进行股指期货投资之前，应与基金托管人、期货公司三方共同就股指期货开户、清算、估值、交收等事宜另行签署《期货投资托管操作三方备忘录》。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法律法规对上述投资组合比例限制进行变更的，以变更后的规定为准。法律法规或监管部门取消上述限制，如适用于本基金，则本基金投资不再受相关限制。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19）、（20）项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3、基金托管人根据有关法律法规的规定及《基金合同》的约定，对本托管协议第十五条第九款基金投资禁止行为通过事后监督方式进行监督。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w:t>
      </w:r>
      <w:r>
        <w:rPr>
          <w:rFonts w:ascii="宋体" w:hAnsi="宋体"/>
          <w:sz w:val="24"/>
        </w:rPr>
        <w:lastRenderedPageBreak/>
        <w:t>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本基金投资流通受限证券，不得预付任何形式的保证金。</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本基金有关投资流通受限证券比例如违反有关限制规定，在合理期限内未能进行及时调整，基金管理人应在两个工作日内编制临时报告书，予以公告。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1）本基金投资流通受限证券时的法律法规遵守情况。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2）在基金投资流通受限证券管理工作方面有关制度、流动性风险处置预案的建立与完善情况。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（6）相关法律法规对基金投资流通受限证券有新规定的，从其规定。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w:t>
      </w:r>
      <w:r>
        <w:rPr>
          <w:rFonts w:ascii="宋体" w:hAnsi="宋体"/>
          <w:sz w:val="24"/>
        </w:rPr>
        <w:lastRenderedPageBreak/>
        <w:t>益分配、相关信息披露、基金宣传推介材料中登载基金业绩表现数据等进行监督和核查。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w:t>
      </w:r>
      <w:r>
        <w:rPr>
          <w:rFonts w:ascii="宋体" w:hAnsi="宋体"/>
          <w:sz w:val="24"/>
        </w:rPr>
        <w:lastRenderedPageBreak/>
        <w:t>《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2、基金募集期间及募集资金的验资</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（1）基金托管人可以本基金的名义在其营业机构开立基金的银行账户，并根据基金管理人合法合规的指令办理资金收付。本基金的银行预留印鉴由基金托管人保管和使用。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（1）基金托管人在中国证券登记结算有限责任公司为基金开立基金托管人与本基金联名的证券账户。</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证券账户开户费由基金管理人先行垫付,待托管产品启始运营后,基金管理人可</w:t>
      </w:r>
      <w:r>
        <w:rPr>
          <w:rFonts w:ascii="宋体" w:hAnsi="宋体"/>
          <w:sz w:val="24"/>
        </w:rPr>
        <w:lastRenderedPageBreak/>
        <w:t>向基金托管人发送划款指令,将代垫开户费从本基金托管资金账户中扣还基金管理人。</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基金签订全国银行间债券市场债券回购主协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w:t>
      </w:r>
      <w:r>
        <w:rPr>
          <w:rFonts w:ascii="宋体" w:hAnsi="宋体"/>
          <w:sz w:val="24"/>
        </w:rPr>
        <w:lastRenderedPageBreak/>
        <w:t>定办理。基金托管人对由基金托管人以外机构实际有效控制或保管的资产不承担保管责任。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金额。基金份额净值是按照每个工作日闭市后，基金资产净值除以当日基金份额的余额数量计算，精确到0.0001元，小数点后第五位四舍五入。国家另有规定的，从其规定。</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基金管理人于每个工作日计算基金资产净值及基金份额净值，并按规定公告。如遇特殊情况，经中国证监会同意，可以适当延迟计算或公告。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的约定和相关法律法规的规定对外公布。月末、年中和年末估值复核与基金会计账目的核对同时进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w:t>
      </w:r>
      <w:r>
        <w:rPr>
          <w:rFonts w:ascii="宋体" w:hAnsi="宋体"/>
          <w:sz w:val="24"/>
        </w:rPr>
        <w:lastRenderedPageBreak/>
        <w:t>守保密义务。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律师费由败诉方承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（4）发生法律法规、中国证监会规定或《基金合同》约定的终止事项。</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25" w:name="_Toc234327931"/>
      <w:r>
        <w:rPr>
          <w:rFonts w:ascii="Times New Roman" w:hAnsi="Times New Roman"/>
          <w:sz w:val="30"/>
        </w:rPr>
        <w:lastRenderedPageBreak/>
        <w:t>二十二、对基金份额持有人的服务</w:t>
      </w:r>
      <w:bookmarkEnd w:id="25"/>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等业务。通过网上直销交易平台办理本基金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本基金已开通定期定额投资计划，具体实施方法请参见相关公告。</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26" w:name="_Toc234327932"/>
      <w:r>
        <w:rPr>
          <w:rFonts w:ascii="Times New Roman" w:hAnsi="Times New Roman"/>
          <w:sz w:val="30"/>
        </w:rPr>
        <w:lastRenderedPageBreak/>
        <w:t>二十三、其他应披露事项</w:t>
      </w:r>
      <w:bookmarkEnd w:id="26"/>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交银施罗德股息优化混合型证券投资基金基金产品资料概要更新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交银施罗德股息优化混合型证券投资基金招募说明书更新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交银施罗德股息优化混合型证券投资基金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交银施罗德股息优化混合型证券投资基金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交银施罗德股息优化混合型证券投资基金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交银施罗德股息优化混合型证券投资基金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交银施罗德股息优化混合型证券投资基金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交银施罗德股息优化混合型证券投资基金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F5358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5358F" w:rsidRDefault="00C16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27" w:name="_Toc234327933"/>
      <w:r>
        <w:rPr>
          <w:rFonts w:ascii="Times New Roman" w:hAnsi="Times New Roman"/>
          <w:sz w:val="30"/>
        </w:rPr>
        <w:lastRenderedPageBreak/>
        <w:t>二十四、招募说明书的存放及查阅方式</w:t>
      </w:r>
      <w:bookmarkEnd w:id="27"/>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C16E8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5358F" w:rsidRDefault="00C16E8D">
      <w:pPr>
        <w:pStyle w:val="1"/>
        <w:snapToGrid w:val="0"/>
        <w:spacing w:beforeLines="0" w:before="240" w:after="240"/>
        <w:rPr>
          <w:rFonts w:ascii="宋体" w:hAnsi="宋体"/>
          <w:szCs w:val="30"/>
        </w:rPr>
      </w:pPr>
      <w:bookmarkStart w:id="28" w:name="_Toc234327934"/>
      <w:r>
        <w:rPr>
          <w:rFonts w:ascii="Times New Roman" w:hAnsi="Times New Roman"/>
          <w:sz w:val="30"/>
        </w:rPr>
        <w:lastRenderedPageBreak/>
        <w:t>二十五、备查文件</w:t>
      </w:r>
      <w:bookmarkEnd w:id="28"/>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（一）中国证监会准予交银施罗德股息优化混合型证券投资基金募集注册的文件</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（二）《交银施罗德股息优化混合型证券投资基金基金合同》</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（三）《交银施罗德股息优化混合型证券投资基金托管协议》</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F5358F" w:rsidRDefault="00C16E8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（六）关于申请募集注册交银施罗德股息优化混合型证券投资基金的法律意见书</w:t>
      </w:r>
    </w:p>
    <w:sectPr w:rsidR="00F5358F">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88A" w:rsidRDefault="00C16E8D">
      <w:r>
        <w:separator/>
      </w:r>
    </w:p>
  </w:endnote>
  <w:endnote w:type="continuationSeparator" w:id="0">
    <w:p w:rsidR="0037488A" w:rsidRDefault="00C16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8F" w:rsidRDefault="00F5358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8F" w:rsidRDefault="00AE2B1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F5358F" w:rsidRDefault="00C16E8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E2B1A">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8F" w:rsidRDefault="00F5358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8F" w:rsidRDefault="00AE2B1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F5358F" w:rsidRDefault="00C16E8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E2B1A">
                  <w:rPr>
                    <w:rFonts w:ascii="Times New Roman" w:hAnsi="Times New Roman"/>
                    <w:noProof/>
                    <w:kern w:val="0"/>
                    <w:sz w:val="18"/>
                    <w:szCs w:val="18"/>
                  </w:rPr>
                  <w:t>145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88A" w:rsidRDefault="00C16E8D">
      <w:r>
        <w:separator/>
      </w:r>
    </w:p>
  </w:footnote>
  <w:footnote w:type="continuationSeparator" w:id="0">
    <w:p w:rsidR="0037488A" w:rsidRDefault="00C16E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8F" w:rsidRDefault="00F5358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8F" w:rsidRDefault="00C16E8D">
    <w:pPr>
      <w:pStyle w:val="a3"/>
      <w:jc w:val="right"/>
      <w:rPr>
        <w:rFonts w:ascii="宋体" w:hAnsi="宋体"/>
      </w:rPr>
    </w:pPr>
    <w:r>
      <w:rPr>
        <w:rFonts w:ascii="宋体" w:hAnsi="宋体" w:hint="eastAsia"/>
      </w:rPr>
      <w:t>交银施罗德股息优化混合型证券投资基金招募说明书更新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8F" w:rsidRDefault="00F5358F">
    <w:pPr>
      <w:pStyle w:val="10"/>
      <w:jc w:val="right"/>
    </w:pPr>
  </w:p>
  <w:p w:rsidR="00F5358F" w:rsidRDefault="00F5358F">
    <w:pPr>
      <w:pStyle w:val="10"/>
      <w:jc w:val="right"/>
    </w:pPr>
  </w:p>
  <w:p w:rsidR="00F5358F" w:rsidRDefault="00F5358F">
    <w:pPr>
      <w:pStyle w:val="a3"/>
      <w:jc w:val="right"/>
    </w:pPr>
  </w:p>
  <w:p w:rsidR="00F5358F" w:rsidRDefault="00C16E8D">
    <w:pPr>
      <w:pStyle w:val="a3"/>
      <w:jc w:val="right"/>
      <w:rPr>
        <w:rFonts w:ascii="宋体" w:hAnsi="宋体"/>
      </w:rPr>
    </w:pPr>
    <w:r>
      <w:rPr>
        <w:rFonts w:ascii="宋体" w:hAnsi="宋体" w:hint="eastAsia"/>
      </w:rPr>
      <w:t>交银施罗德股息优化混合型证券投资基金招募说明书更新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8F" w:rsidRDefault="00F5358F">
    <w:pPr>
      <w:pStyle w:val="a3"/>
      <w:jc w:val="right"/>
    </w:pPr>
  </w:p>
  <w:p w:rsidR="00F5358F" w:rsidRDefault="00F5358F">
    <w:pPr>
      <w:pStyle w:val="a3"/>
      <w:jc w:val="right"/>
    </w:pPr>
  </w:p>
  <w:p w:rsidR="00F5358F" w:rsidRDefault="00F5358F">
    <w:pPr>
      <w:pStyle w:val="a3"/>
      <w:jc w:val="right"/>
    </w:pPr>
  </w:p>
  <w:p w:rsidR="00F5358F" w:rsidRDefault="00C16E8D">
    <w:pPr>
      <w:pStyle w:val="a3"/>
      <w:jc w:val="right"/>
      <w:rPr>
        <w:rFonts w:ascii="宋体" w:hAnsi="宋体"/>
      </w:rPr>
    </w:pPr>
    <w:r>
      <w:rPr>
        <w:rFonts w:ascii="宋体" w:hAnsi="宋体" w:hint="eastAsia"/>
      </w:rPr>
      <w:t>交银施罗德股息优化混合型证券投资基金招募说明书更新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88A"/>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B1A"/>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16E8D"/>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58F"/>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4BADEDB8-A95C-491D-BD48-384BE51A4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146</Pages>
  <Words>14888</Words>
  <Characters>84868</Characters>
  <Application>Microsoft Office Word</Application>
  <DocSecurity>0</DocSecurity>
  <Lines>707</Lines>
  <Paragraphs>199</Paragraphs>
  <ScaleCrop>false</ScaleCrop>
  <Company>Microsoft</Company>
  <LinksUpToDate>false</LinksUpToDate>
  <CharactersWithSpaces>99557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2026-07-07T06:44:00Z</dcterms:created>
  <dcterms:modified xsi:type="dcterms:W3CDTF">2026-07-07T06:44:00Z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