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交银施罗德医疗健康混合型发起式证券投资基金（C类份额）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交银医疗健康混合发起C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019346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兴业银行股份有限公司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2023-10-11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徐嘉辰</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2023-10-11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2015-12-09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之日起三年后的对应日，若基金资产净值低于2亿元，基金合同自动终止，且不得通过召开基金份额持有人大会的方式延续《基金合同》期限。若届时有效的法律法规或中国证监会规定发生变化，上述终止规定被取消、更改或补充，则本基金可以参照届时有效的法律法规或中国证监会规定执行。</w:t>
            </w:r>
          </w:p>
          <w:p>
            <w:pPr>
              <w:ind w:firstLine="420"/>
              <w:jc w:val="left"/>
              <w:rPr>
                <w:rFonts w:ascii="仿宋_GB2312" w:eastAsia="仿宋_GB2312"/>
                <w:szCs w:val="21"/>
              </w:rPr>
            </w:pPr>
            <w:r>
              <w:rPr>
                <w:rFonts w:ascii="仿宋_GB2312" w:eastAsia="仿宋_GB2312"/>
                <w:szCs w:val="21"/>
              </w:rPr>
              <w:t>《基金合同》生效三年后继续存续的，基金存续期内，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本基金为偏股混合型基金。</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本基金在严格控制风险的前提下，充分发挥专业研究与管理能力，力争为投资者提供长期稳健的投资回报。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投资于医疗健康主题相关股票的比例不低于非现金基金资产的80%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中证医药卫生指数收益率×70%+恒生指数收益率×5%+中证综合债券指数收益率×25%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本基金是一只混合型基金，其预期风险和预期收益理论上高于债券型基金和货币市场基金，低于股票型基金。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详见《交银施罗德医疗健康混合型发起式证券投资基金招募说明书》“基金的投资”。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2、本基金合同于2023年10月11日生效，合同生效当年净值增长率按实际存续期计算。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2.15%</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投资主题风险：本基金投资于医疗健康主题相关股票的比例不低于非现金基金资产的80%，因此本基金的股票投资业绩与本基金界定的符合“医疗健康”主题界定的上市公司发行证券的相关性较大，需承担相应风险。</w:t>
      </w:r>
    </w:p>
    <w:p>
      <w:pPr>
        <w:ind w:firstLine="420"/>
        <w:jc w:val="left"/>
        <w:rPr>
          <w:rFonts w:ascii="仿宋_GB2312" w:eastAsia="仿宋_GB2312"/>
          <w:szCs w:val="21"/>
        </w:rPr>
      </w:pPr>
      <w:r>
        <w:rPr>
          <w:rFonts w:hint="eastAsia" w:ascii="仿宋_GB2312" w:eastAsia="仿宋_GB2312"/>
          <w:szCs w:val="21"/>
        </w:rPr>
        <w:t>（4）基金合同提前终止风险。1）本基金为发起式基金，《基金合同》生效之日起三年后的对应日，若基金资产净值低于2亿元，基金合同自动终止，且不得通过召开基金份额持有人大会的方式延续《基金合同》期限。2）《基金合同》生效三年后继续存续的，基金存续期内，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（5）本基金可投资创业板股票，创业板个股上市后的前五个交易日不设价格涨跌幅限制，第六个交易日开始涨跌幅限制比例为20%。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●《交银施罗德医疗健康混合型发起式证券投资基金基金合同》、</w:t>
      </w:r>
    </w:p>
    <w:p>
      <w:pPr>
        <w:ind w:firstLine="420"/>
        <w:jc w:val="left"/>
        <w:rPr>
          <w:rFonts w:ascii="仿宋_GB2312" w:eastAsia="仿宋_GB2312"/>
          <w:szCs w:val="21"/>
        </w:rPr>
      </w:pPr>
      <w:r>
        <w:rPr>
          <w:rFonts w:hint="eastAsia" w:ascii="仿宋_GB2312" w:eastAsia="仿宋_GB2312"/>
          <w:szCs w:val="21"/>
        </w:rPr>
        <w:t>《交银施罗德医疗健康混合型发起式证券投资基金托管协议》、</w:t>
      </w:r>
    </w:p>
    <w:p>
      <w:pPr>
        <w:ind w:firstLine="420"/>
        <w:jc w:val="left"/>
        <w:rPr>
          <w:rFonts w:ascii="仿宋_GB2312" w:eastAsia="仿宋_GB2312"/>
          <w:szCs w:val="21"/>
        </w:rPr>
      </w:pPr>
      <w:r>
        <w:rPr>
          <w:rFonts w:hint="eastAsia" w:ascii="仿宋_GB2312" w:eastAsia="仿宋_GB2312"/>
          <w:szCs w:val="21"/>
        </w:rPr>
        <w:t>《交银施罗德医疗健康混合型发起式证券投资基金招募说明书》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34E7F"/>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032763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811</Words>
  <Characters>4626</Characters>
  <Lines>38</Lines>
  <Paragraphs>10</Paragraphs>
  <TotalTime>2</TotalTime>
  <ScaleCrop>false</ScaleCrop>
  <LinksUpToDate>false</LinksUpToDate>
  <CharactersWithSpaces>5427</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2026-06-23T08:19:00Z</dcterms:created>
  <dc:creator>Cc</dc:creator>
  <cp:lastModifiedBy>haotingting</cp:lastModifiedBy>
  <dcterms:modified xsi:type="dcterms:W3CDTF">2026-06-30T08:30:46Z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98204324955146C7AE86CE2CD61C69B0</vt:lpwstr>
  </property>
</Properties>
</file>