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交银施罗德裕惠纯债债券型证券投资基金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交银裕惠纯债债券</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2020-07-28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连端清</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2020-07-28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2009-06-29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交银施罗德裕惠纯债债券型证券投资基金由交银施罗德理财60天债券型证券投资基金转型而来，上述基金转型于2020年7月28日正式实施，自基金转型实施日起，《交银施罗德理财60天债券型证券投资基金基金合同》失效且《交银施罗德裕惠纯债债券型证券投资基金基金合同》同时生效，交银施罗德理财60天债券型证券投资基金正式变更为交银施罗德裕惠纯债债券型证券投资基金。</w:t>
            </w:r>
          </w:p>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央行票据、地方政府债、政府支持债、政府支持机构债、企业债、公司债、可分离交易可转债的纯债部分、公开发行的次级债、短期融资券、超短期融资券、中期票据）、资产支持证券、债券回购、银行存款（包括定期存款、协议存款、通知存款等）、同业存单、货币市场工具，以及法律法规或中国证监会允许投资的其他金融工具（但须符合中国证监会相关规定）。本基金不投资于股票，也不投资于可转换债券（可分离交易可转债的纯债部分除外）、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本基金投资的信用债为信用评级在AA级（含）以上的信用债，包括金融债（不包含政策性金融债）、地方政府债、政府支持债、政府支持机构债、企业债、公司债、可分离交易可转债的纯债部分、公开发行的次级债、短期融资券、超短期融资券、中期票据等非国家信用的债券资产。本基金对信用评级的认定参照基金管理人选定的评级机构出具的信用评级，其中，本基金投资的金融债（不包含政策性金融债）、地方政府债、政府支持债、政府支持机构债、企业债、公司债、可分离交易可转债的纯债部分、公开发行的次级债、中期票据等信用债的信用评级依照评级机构出具的债券信用评级；本基金投资的短期融资券、超短期融资券等短期信用债的信用评级依照评级机构出具的主体信用评级。本基金投资的信用债若无债项评级的，参照主体信用评级。</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详见《交银施罗德裕惠纯债债券型证券投资基金招募说明书》“基金的投资”。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2、本基金于2020年7月28日转型，转型当年净值增长率按实际存续期计算。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47"/>
        <w:gridCol w:w="4200"/>
        <w:gridCol w:w="215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1082.07</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0.36%</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（1）本基金为债券型基金，投资于债券资产的比例不低于基金资产的80%，因投资债券资产而面临债券资产市场的系统性风险和个券风险；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（4）基金合同提前终止风险。连续五十个工作日出现基金份额持有人数量不满200人或者基金资产净值低于5000万元情形的，基金管理人提前终止基金合同，不需召开基金份额持有人大会。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●《交银施罗德裕惠纯债债券型证券投资基金基金合同》、</w:t>
      </w:r>
    </w:p>
    <w:p>
      <w:pPr>
        <w:ind w:firstLine="420"/>
        <w:jc w:val="left"/>
        <w:rPr>
          <w:rFonts w:ascii="仿宋_GB2312" w:eastAsia="仿宋_GB2312"/>
          <w:szCs w:val="21"/>
        </w:rPr>
      </w:pPr>
      <w:r>
        <w:rPr>
          <w:rFonts w:hint="eastAsia" w:ascii="仿宋_GB2312" w:eastAsia="仿宋_GB2312"/>
          <w:szCs w:val="21"/>
        </w:rPr>
        <w:t>《交银施罗德裕惠纯债债券型证券投资基金托管协议》、</w:t>
      </w:r>
    </w:p>
    <w:p>
      <w:pPr>
        <w:ind w:firstLine="420"/>
        <w:jc w:val="left"/>
        <w:rPr>
          <w:rFonts w:ascii="仿宋_GB2312" w:eastAsia="仿宋_GB2312"/>
          <w:szCs w:val="21"/>
        </w:rPr>
      </w:pPr>
      <w:r>
        <w:rPr>
          <w:rFonts w:hint="eastAsia" w:ascii="仿宋_GB2312" w:eastAsia="仿宋_GB2312"/>
          <w:szCs w:val="21"/>
        </w:rPr>
        <w:t>《交银施罗德裕惠纯债债券型证券投资基金招募说明书》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73513"/>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1DC4F79"/>
    <w:rsid w:val="2CEC4D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656</Words>
  <Characters>3741</Characters>
  <Lines>31</Lines>
  <Paragraphs>8</Paragraphs>
  <TotalTime>2</TotalTime>
  <ScaleCrop>false</ScaleCrop>
  <LinksUpToDate>false</LinksUpToDate>
  <CharactersWithSpaces>4389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2026-06-23T08:19:00Z</dcterms:created>
  <dc:creator>Cc</dc:creator>
  <cp:lastModifiedBy>haotingting</cp:lastModifiedBy>
  <dcterms:modified xsi:type="dcterms:W3CDTF">2026-06-30T08:40:55Z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74AA3D75F5F84DDAA8C272814E008B98</vt:lpwstr>
  </property>
</Properties>
</file>