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交银施罗德丰盈收益债券型证券投资基金（A类份额）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交银丰盈收益债券A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519740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2014-08-11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孙丹妮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2015-05-28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追求在有效控制风险的前提下，力争为基金资产获得稳健的投资收益和超额回报。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分离交易可转债的纯债、次级债、资产支持证券、短期融资券、中期票据、债券回购、银行存款、货币市场工具等固定收益类资产和法律法规允许投资的其他金融工具。其中，封闭期内，本基金所投企业债和公司债信用评级需在AA级(含)以上。本基金不直接在二级市场买入股票、权证等权益类资产，也不参与一级市场新股申购和新股增发。同时本基金不参与可转换债券投资(分离交易可转债的纯债部分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基金的投资组合比例为投资于债券资产的比例不低于基金资产的80%，但在封闭期结束转开放的前后三个月内，基金投资不受上述债券资产投资比例限制。</w:t>
            </w:r>
          </w:p>
          <w:p>
            <w:pPr>
              <w:ind w:firstLine="420"/>
              <w:jc w:val="left"/>
              <w:rPr>
                <w:rFonts w:ascii="仿宋_GB2312" w:eastAsia="仿宋_GB2312"/>
                <w:szCs w:val="21"/>
              </w:rPr>
            </w:pPr>
            <w:r>
              <w:rPr>
                <w:rFonts w:hint="eastAsia" w:ascii="仿宋_GB2312" w:eastAsia="仿宋_GB2312"/>
                <w:szCs w:val="21"/>
              </w:rPr>
              <w:t>本基金在开放期内，现金或到期日在一年以内的政府债券的比例合计不低于基金资产净值的5%，其中现金不包括结算备付金、存出保证金、应收申购款等。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个券。本基金采用的主要策略包括：1、久期调整策略；2、债券的类属配置策略；3、期限结构配置策略；4、杠杆放大策略；5、信用债券投资策略；6、资产支持证券（含资产收益计划）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风险与预期收益高于货币市场基金，低于混合型基金和股票型基金，属于证券投资基金中中等风险的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详见《交银施罗德丰盈收益债券型证券投资基金招募说明书》“基金的投资”。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2、本基金自2017年8月14日起转为开放式运作，本基金的业绩比较基准由“三年期银行定期存款税后收益率”变更为“中债综合全价指数”。</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50万元≤M＜200万元</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特有的流动性风险。本基金为封闭三年运作，之后转为开放式运作（按照基金合同约定提前转换基金运作方式的情形除外）。本基金在封闭期内不办理申购赎回业务，也不上市交易，从而可能无法满足投资者的短期流动性需求。</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●《交银施罗德丰盈收益债券型证券投资基金基金合同》、</w:t>
      </w:r>
    </w:p>
    <w:p>
      <w:pPr>
        <w:ind w:firstLine="420"/>
        <w:jc w:val="left"/>
        <w:rPr>
          <w:rFonts w:ascii="仿宋_GB2312" w:eastAsia="仿宋_GB2312"/>
          <w:szCs w:val="21"/>
        </w:rPr>
      </w:pPr>
      <w:r>
        <w:rPr>
          <w:rFonts w:hint="eastAsia" w:ascii="仿宋_GB2312" w:eastAsia="仿宋_GB2312"/>
          <w:szCs w:val="21"/>
        </w:rPr>
        <w:t>《交银施罗德丰盈收益债券型证券投资基金托管协议》、</w:t>
      </w:r>
    </w:p>
    <w:p>
      <w:pPr>
        <w:ind w:firstLine="420"/>
        <w:jc w:val="left"/>
        <w:rPr>
          <w:rFonts w:ascii="仿宋_GB2312" w:eastAsia="仿宋_GB2312"/>
          <w:szCs w:val="21"/>
        </w:rPr>
      </w:pPr>
      <w:r>
        <w:rPr>
          <w:rFonts w:hint="eastAsia" w:ascii="仿宋_GB2312" w:eastAsia="仿宋_GB2312"/>
          <w:szCs w:val="21"/>
        </w:rPr>
        <w:t>《交银施罗德丰盈收益债券型证券投资基金招募说明书》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033D"/>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72E2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613</Words>
  <Characters>3498</Characters>
  <Lines>29</Lines>
  <Paragraphs>8</Paragraphs>
  <TotalTime>22</TotalTime>
  <ScaleCrop>false</ScaleCrop>
  <LinksUpToDate>false</LinksUpToDate>
  <CharactersWithSpaces>4103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2026-06-23T08:17:00Z</dcterms:created>
  <dc:creator>Cc</dc:creator>
  <cp:lastModifiedBy>haotingting</cp:lastModifiedBy>
  <dcterms:modified xsi:type="dcterms:W3CDTF">2026-06-24T07:50:45Z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7AE26FDA690F4CE6B255FB27EE789CCC</vt:lpwstr>
  </property>
</Properties>
</file>