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交银施罗德阿尔法核心混合型证券投资基金（A类份额）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交银阿尔法核心混合A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519712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2012-08-03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何帅</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2015-09-16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2010-07-15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向中国证监会说明出现上述情况的原因并提出解决方案。</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519712（前端），519713（后端）</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本基金通过积极发挥团队选股优势，结合基本面多因子指标等组合管理手段选择具有显著阿尔法特征的个股，在控制风险并保持基金资产良好的流动性的前提下，追求长期持续稳定高于业绩比较基准的投资回报。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包括中小板、创业板以及其他经中国证监会核准上市的股票、存托凭证）、债券、货币市场工具、权证、资产支持证券以及法律法规或中国证监会允许基金投资的其他金融工具（但须符合中国证监会的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的60%-95%；债券、货币市场工具、现金、权证、资产支持证券以及法律法规或中国证监会允许基金投资的其他证券品种占基金资产的5%-40%，其中基金持有的权证不超过基金资产净值的3%，基金保留的现金以及投资于到期日在一年以内的政府债券的比例合计不低于基金资产净值的5%，其中现金不包括结算备付金、存出保证金和应收申购款等。在基金实际管理过程中，基金管理人将根据中国宏观经济情况和证券市场的阶段性变化，适时调整基金资产在股票、债券及货币市场工具等之间的配置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本基金充分发挥基金管理人的专业研究能力，以数量化工具辅助自上而下的资产配置，积极发挥研究团队的选股优势，结合基本面多因子指标自下而上精选个股，以谋求风险调整后的良好收益。</w:t>
            </w:r>
          </w:p>
          <w:p>
            <w:pPr>
              <w:ind w:firstLine="420"/>
              <w:jc w:val="left"/>
              <w:rPr>
                <w:rFonts w:ascii="仿宋_GB2312" w:eastAsia="仿宋_GB2312"/>
                <w:szCs w:val="21"/>
              </w:rPr>
            </w:pPr>
            <w:r>
              <w:rPr>
                <w:rFonts w:hint="eastAsia" w:ascii="仿宋_GB2312" w:eastAsia="仿宋_GB2312"/>
                <w:szCs w:val="21"/>
              </w:rPr>
              <w:t>1、资产配置；2、行业配置；3、股票投资；4、债券投资；5、权证投资；6、资产支持证券投资。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75%×沪深300指数收益率+25%×中证综合债券指数收益率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详见《交银施罗德阿尔法核心混合型证券投资基金招募说明书》“基金的投资”。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2、本基金合同于2012年8月3日生效，合同生效当年净值增长率按实际存续期计算。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3、本基金业绩比较基准自2015年10月1日起，由“75%×沪深300指数收益率+25%×中信标普全债指数收益率”变更为“75%×沪深300指数收益率+25%×中证综合债券指数收益率”。</w:t>
      </w:r>
    </w:p>
    <w:p>
      <w:pPr>
        <w:ind w:left="420" w:firstLine="420" w:firstLineChars="200"/>
        <w:jc w:val="left"/>
        <w:rPr>
          <w:rFonts w:ascii="仿宋_GB2312" w:eastAsia="仿宋_GB2312"/>
          <w:szCs w:val="21"/>
        </w:rPr>
      </w:pPr>
      <w:r>
        <w:rPr>
          <w:rFonts w:hint="eastAsia" w:ascii="仿宋_GB2312" w:eastAsia="仿宋_GB2312"/>
          <w:szCs w:val="21"/>
        </w:rPr>
        <w:t>4、基金的过往业绩不代表未来表现。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申购费（后收费）</w:t>
            </w:r>
          </w:p>
        </w:tc>
        <w:tc>
          <w:tcPr>
            <w:tcW w:w="2409" w:type="dxa"/>
          </w:tcPr>
          <w:p>
            <w:pPr>
              <w:rPr>
                <w:rFonts w:ascii="仿宋_GB2312" w:eastAsia="仿宋_GB2312"/>
                <w:szCs w:val="21"/>
              </w:rPr>
            </w:pPr>
            <w:r>
              <w:rPr>
                <w:rFonts w:hint="eastAsia" w:ascii="仿宋_GB2312" w:eastAsia="仿宋_GB2312"/>
                <w:szCs w:val="21"/>
              </w:rPr>
              <w:t>N≤1年</w:t>
            </w:r>
          </w:p>
        </w:tc>
        <w:tc>
          <w:tcPr>
            <w:tcW w:w="1843" w:type="dxa"/>
            <w:vAlign w:val="center"/>
          </w:tcPr>
          <w:p>
            <w:pPr>
              <w:rPr>
                <w:rFonts w:ascii="仿宋_GB2312" w:eastAsia="仿宋_GB2312"/>
                <w:szCs w:val="21"/>
              </w:rPr>
            </w:pPr>
            <w:r>
              <w:rPr>
                <w:rFonts w:hint="eastAsia" w:ascii="仿宋_GB2312" w:eastAsia="仿宋_GB2312"/>
                <w:szCs w:val="21"/>
              </w:rPr>
              <w:t>1.8%</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1年＜N≤3年</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3年＜N≤5年</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5年＜N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0.2%</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本基金属于混合型基金，将维持较高的股票持仓比例。如果股票市场出现整体下跌，本基金的净值表现将受到影响。</w:t>
      </w:r>
    </w:p>
    <w:p>
      <w:pPr>
        <w:ind w:firstLine="420"/>
        <w:jc w:val="left"/>
        <w:rPr>
          <w:rFonts w:ascii="仿宋_GB2312" w:eastAsia="仿宋_GB2312"/>
          <w:szCs w:val="21"/>
        </w:rPr>
      </w:pPr>
      <w:r>
        <w:rPr>
          <w:rFonts w:hint="eastAsia" w:ascii="仿宋_GB2312" w:eastAsia="仿宋_GB2312"/>
          <w:szCs w:val="21"/>
        </w:rPr>
        <w:t>本基金以数量化工具辅助自上而下的资产配置，积极发挥研究团队的选股优势自下而上选择股票。在投资策略上本基金特有的风险主要来自两个方面：一是本基金在资产配置和行业配置中所利用的量化择时工具和行业配置工具是否有效，能否为主观判断提供有力支持；二是研究团队对行业和上市公司的基本面研究是否准确、深入，对股票的优选和判断是否科学、准确。基本面研究及上市企业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7、投资存托凭证的特定风险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8、本基金法律文件风险收益特征表述与销售机构基金风险评价可能不一致的风险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●《交银施罗德阿尔法核心混合型证券投资基金基金合同》、</w:t>
      </w:r>
    </w:p>
    <w:p>
      <w:pPr>
        <w:ind w:firstLine="420"/>
        <w:jc w:val="left"/>
        <w:rPr>
          <w:rFonts w:ascii="仿宋_GB2312" w:eastAsia="仿宋_GB2312"/>
          <w:szCs w:val="21"/>
        </w:rPr>
      </w:pPr>
      <w:r>
        <w:rPr>
          <w:rFonts w:hint="eastAsia" w:ascii="仿宋_GB2312" w:eastAsia="仿宋_GB2312"/>
          <w:szCs w:val="21"/>
        </w:rPr>
        <w:t>《交银施罗德阿尔法核心混合型证券投资基金托管协议》、</w:t>
      </w:r>
    </w:p>
    <w:p>
      <w:pPr>
        <w:ind w:firstLine="420"/>
        <w:jc w:val="left"/>
        <w:rPr>
          <w:rFonts w:ascii="仿宋_GB2312" w:eastAsia="仿宋_GB2312"/>
          <w:szCs w:val="21"/>
        </w:rPr>
      </w:pPr>
      <w:r>
        <w:rPr>
          <w:rFonts w:hint="eastAsia" w:ascii="仿宋_GB2312" w:eastAsia="仿宋_GB2312"/>
          <w:szCs w:val="21"/>
        </w:rPr>
        <w:t>《交银施罗德阿尔法核心混合型证券投资基金招募说明书》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61759"/>
    <w:rsid w:val="00F75715"/>
    <w:rsid w:val="00F811C4"/>
    <w:rsid w:val="00FC2918"/>
    <w:rsid w:val="473B40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713</Words>
  <Characters>4065</Characters>
  <Lines>33</Lines>
  <Paragraphs>9</Paragraphs>
  <TotalTime>5</TotalTime>
  <ScaleCrop>false</ScaleCrop>
  <LinksUpToDate>false</LinksUpToDate>
  <CharactersWithSpaces>4769</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2026-06-23T08:17:00Z</dcterms:created>
  <dc:creator>Cc</dc:creator>
  <cp:lastModifiedBy>haotingting</cp:lastModifiedBy>
  <dcterms:modified xsi:type="dcterms:W3CDTF">2026-06-24T06:54:16Z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C5BFCEFC5BC4494688BAD26F421C2D44</vt:lpwstr>
  </property>
</Properties>
</file>