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交银施罗德中债1-3年农发行债券指数证券投资基金（A类份额）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交银中债1-3年农发债指数A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006745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中国光大银行股份有限公司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2019-01-23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张顺晨</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2023-06-09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苏建文</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2025-01-23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2019-07-01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虞汉阳</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2026-02-07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2018-07-01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向中国证监会报告并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本基金通过指数化投资，争取在扣除各项费用之前获得与标的指数相似的总回报，追求跟踪偏离度及跟踪误差的最小化。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本基金的投资范围为具有良好流动性的金融工具，包括国内依法发行上市的国债、农发债、债券回购、 银行存款等固定收益类资产以及法律法规或中国证监会允许基金投资的其他金融工具(但须符合中国证监会相关规定)。 本基金不投资股票、权证等权益类资产。</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本基金的投资组合比例为：本基金投资于债券资产的比例不低于基金资产的80%，其中标的指数成份券和备选成份券的比例不低于本基金非现金基金资产的80%；每个交易日日终，现金或到期日在一年以内的政府债券的投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 基金管理人在履行适当程序后，可以调整上述投资品种的投资比例。</w:t>
            </w:r>
          </w:p>
          <w:p>
            <w:pPr>
              <w:ind w:firstLine="420"/>
              <w:jc w:val="left"/>
              <w:rPr>
                <w:rFonts w:ascii="仿宋_GB2312" w:eastAsia="仿宋_GB2312"/>
                <w:szCs w:val="21"/>
              </w:rPr>
            </w:pPr>
            <w:r>
              <w:rPr>
                <w:rFonts w:hint="eastAsia" w:ascii="仿宋_GB2312" w:eastAsia="仿宋_GB2312"/>
                <w:szCs w:val="21"/>
              </w:rPr>
              <w:t>本基金标的指数为中债1-3年农发行债券指数。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指数基金，主要采用抽样复制和动态最优化的方法，投资于标的指数中具有代表性和流动性的成份券和备选成份券，或选择非成份券作为替代，构造与标的指数风险收益特征相似的资产组合，以实现对标的指数的有效跟踪。</w:t>
            </w:r>
          </w:p>
          <w:p>
            <w:pPr>
              <w:ind w:firstLine="420"/>
              <w:jc w:val="left"/>
              <w:rPr>
                <w:rFonts w:ascii="仿宋_GB2312" w:eastAsia="仿宋_GB2312"/>
                <w:szCs w:val="21"/>
              </w:rPr>
            </w:pPr>
            <w:r>
              <w:rPr>
                <w:rFonts w:hint="eastAsia" w:ascii="仿宋_GB2312" w:eastAsia="仿宋_GB2312"/>
                <w:szCs w:val="21"/>
              </w:rPr>
              <w:t>在正常市场情况下，本基金力争追求日均跟踪偏离度的绝对值不超过0.35%，将年化跟踪误差控制在4%以内。如因标的指数编制规则调整等其他原因，导致基金跟踪偏离度和跟踪误差超过了上述范围，基金管理人应采取合理措施，避免跟踪误差进一步扩大。具体包括：</w:t>
            </w:r>
          </w:p>
          <w:p>
            <w:pPr>
              <w:ind w:firstLine="420"/>
              <w:jc w:val="left"/>
              <w:rPr>
                <w:rFonts w:ascii="仿宋_GB2312" w:eastAsia="仿宋_GB2312"/>
                <w:szCs w:val="21"/>
              </w:rPr>
            </w:pPr>
            <w:r>
              <w:rPr>
                <w:rFonts w:hint="eastAsia" w:ascii="仿宋_GB2312" w:eastAsia="仿宋_GB2312"/>
                <w:szCs w:val="21"/>
              </w:rPr>
              <w:t>1、债券指数化投资策略；2、其他投资策略。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中债1-3年农发行债券指数收益率*95%+银行活期存款利率（税后）*5%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高于货币市场基金，低于混合型基金和股票型基金。本基金为指数型基金，主要采用抽样复制和动态最优化的方法跟踪标的指数的表现，具有与标的指数、以及标的指数所代表的债券市场相似的风险收益特征。</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详见《交银施罗德中债1-3年农发行债券指数证券投资基金招募说明书》“基金的投资”。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2、本基金合同于2019年1月23日生效，合同生效当年净值增长率按实际存续期计算。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ind w:left="420" w:firstLine="420" w:firstLineChars="200"/>
        <w:jc w:val="left"/>
        <w:rPr>
          <w:rFonts w:ascii="仿宋_GB2312" w:eastAsia="仿宋_GB2312"/>
          <w:szCs w:val="21"/>
        </w:rPr>
      </w:pP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0.05%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70000.00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0.21%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5、本基金投资策略所特有的指数化投资风险</w:t>
      </w:r>
    </w:p>
    <w:p>
      <w:pPr>
        <w:ind w:firstLine="420"/>
        <w:jc w:val="left"/>
        <w:rPr>
          <w:rFonts w:ascii="仿宋_GB2312" w:eastAsia="仿宋_GB2312"/>
          <w:szCs w:val="21"/>
        </w:rPr>
      </w:pPr>
      <w:r>
        <w:rPr>
          <w:rFonts w:hint="eastAsia" w:ascii="仿宋_GB2312" w:eastAsia="仿宋_GB2312"/>
          <w:szCs w:val="21"/>
        </w:rPr>
        <w:t>（1）标的指数的风险</w:t>
      </w:r>
    </w:p>
    <w:p>
      <w:pPr>
        <w:ind w:firstLine="420"/>
        <w:jc w:val="left"/>
        <w:rPr>
          <w:rFonts w:ascii="仿宋_GB2312" w:eastAsia="仿宋_GB2312"/>
          <w:szCs w:val="21"/>
        </w:rPr>
      </w:pPr>
      <w:r>
        <w:rPr>
          <w:rFonts w:hint="eastAsia" w:ascii="仿宋_GB2312" w:eastAsia="仿宋_GB2312"/>
          <w:szCs w:val="21"/>
        </w:rPr>
        <w:t>1）标的指数下跌的风险、2）标的指数计算出错的风险、3）标的指数变更的风险</w:t>
      </w:r>
    </w:p>
    <w:p>
      <w:pPr>
        <w:ind w:firstLine="420"/>
        <w:jc w:val="left"/>
        <w:rPr>
          <w:rFonts w:ascii="仿宋_GB2312" w:eastAsia="仿宋_GB2312"/>
          <w:szCs w:val="21"/>
        </w:rPr>
      </w:pPr>
      <w:r>
        <w:rPr>
          <w:rFonts w:hint="eastAsia" w:ascii="仿宋_GB2312" w:eastAsia="仿宋_GB2312"/>
          <w:szCs w:val="21"/>
        </w:rPr>
        <w:t>（2）基金跟踪偏离风险</w:t>
      </w:r>
    </w:p>
    <w:p>
      <w:pPr>
        <w:ind w:firstLine="420"/>
        <w:jc w:val="left"/>
        <w:rPr>
          <w:rFonts w:ascii="仿宋_GB2312" w:eastAsia="仿宋_GB2312"/>
          <w:szCs w:val="21"/>
        </w:rPr>
      </w:pPr>
      <w:r>
        <w:rPr>
          <w:rFonts w:hint="eastAsia" w:ascii="仿宋_GB2312" w:eastAsia="仿宋_GB2312"/>
          <w:szCs w:val="21"/>
        </w:rPr>
        <w:t>基金在跟踪标的指数时由于各种原因导致基金的业绩表现与标的指数表现之间可能产生差异。</w:t>
      </w:r>
    </w:p>
    <w:p>
      <w:pPr>
        <w:ind w:firstLine="420"/>
        <w:jc w:val="left"/>
        <w:rPr>
          <w:rFonts w:ascii="仿宋_GB2312" w:eastAsia="仿宋_GB2312"/>
          <w:szCs w:val="21"/>
        </w:rPr>
      </w:pPr>
      <w:r>
        <w:rPr>
          <w:rFonts w:hint="eastAsia" w:ascii="仿宋_GB2312" w:eastAsia="仿宋_GB2312"/>
          <w:szCs w:val="21"/>
        </w:rPr>
        <w:t>（3）标的指数回报与债券市场平均回报偏离的风险</w:t>
      </w:r>
    </w:p>
    <w:p>
      <w:pPr>
        <w:ind w:firstLine="420"/>
        <w:jc w:val="left"/>
        <w:rPr>
          <w:rFonts w:ascii="仿宋_GB2312" w:eastAsia="仿宋_GB2312"/>
          <w:szCs w:val="21"/>
        </w:rPr>
      </w:pPr>
      <w:r>
        <w:rPr>
          <w:rFonts w:hint="eastAsia" w:ascii="仿宋_GB2312" w:eastAsia="仿宋_GB2312"/>
          <w:szCs w:val="21"/>
        </w:rPr>
        <w:t>标的指数并不能完全代表整个债券市场。标的指数成份券的平均回报率与整个债券市场的平均回报率可能存在偏离。</w:t>
      </w:r>
    </w:p>
    <w:p>
      <w:pPr>
        <w:ind w:firstLine="420"/>
        <w:jc w:val="left"/>
        <w:rPr>
          <w:rFonts w:ascii="仿宋_GB2312" w:eastAsia="仿宋_GB2312"/>
          <w:szCs w:val="21"/>
        </w:rPr>
      </w:pPr>
      <w:r>
        <w:rPr>
          <w:rFonts w:hint="eastAsia" w:ascii="仿宋_GB2312" w:eastAsia="仿宋_GB2312"/>
          <w:szCs w:val="21"/>
        </w:rPr>
        <w:t>（4）跟踪误差控制未达约定目标的风险</w:t>
      </w:r>
    </w:p>
    <w:p>
      <w:pPr>
        <w:ind w:firstLine="420"/>
        <w:jc w:val="left"/>
        <w:rPr>
          <w:rFonts w:ascii="仿宋_GB2312" w:eastAsia="仿宋_GB2312"/>
          <w:szCs w:val="21"/>
        </w:rPr>
      </w:pPr>
      <w:r>
        <w:rPr>
          <w:rFonts w:hint="eastAsia" w:ascii="仿宋_GB2312" w:eastAsia="仿宋_GB2312"/>
          <w:szCs w:val="21"/>
        </w:rPr>
        <w:t>（5）指数编制机构停止服务的风险</w:t>
      </w:r>
    </w:p>
    <w:p>
      <w:pPr>
        <w:ind w:firstLine="420"/>
        <w:jc w:val="left"/>
        <w:rPr>
          <w:rFonts w:ascii="仿宋_GB2312" w:eastAsia="仿宋_GB2312"/>
          <w:szCs w:val="21"/>
        </w:rPr>
      </w:pPr>
      <w:r>
        <w:rPr>
          <w:rFonts w:hint="eastAsia" w:ascii="仿宋_GB2312" w:eastAsia="仿宋_GB2312"/>
          <w:szCs w:val="21"/>
        </w:rPr>
        <w:t>（6）成份券停牌或违约的风险</w:t>
      </w:r>
    </w:p>
    <w:p>
      <w:pPr>
        <w:ind w:firstLine="420"/>
        <w:jc w:val="left"/>
        <w:rPr>
          <w:rFonts w:ascii="仿宋_GB2312" w:eastAsia="仿宋_GB2312"/>
          <w:szCs w:val="21"/>
        </w:rPr>
      </w:pPr>
      <w:r>
        <w:rPr>
          <w:rFonts w:hint="eastAsia" w:ascii="仿宋_GB2312" w:eastAsia="仿宋_GB2312"/>
          <w:szCs w:val="21"/>
        </w:rPr>
        <w:t>6、本基金的特有风险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（1）本基金为债券型基金，投资于债券资产的比例不低于基金资产的80%，因投资债券资产而面临债券资产市场的系统性风险和个券风险；</w:t>
      </w:r>
    </w:p>
    <w:p>
      <w:pPr>
        <w:ind w:firstLine="420"/>
        <w:jc w:val="left"/>
        <w:rPr>
          <w:rFonts w:ascii="仿宋_GB2312" w:eastAsia="仿宋_GB2312"/>
          <w:szCs w:val="21"/>
        </w:rPr>
      </w:pPr>
      <w:r>
        <w:rPr>
          <w:rFonts w:hint="eastAsia" w:ascii="仿宋_GB2312" w:eastAsia="仿宋_GB2312"/>
          <w:szCs w:val="21"/>
        </w:rPr>
        <w:t>（2）基金合同提前终止风险。连续六十个工作日出现基金份额持有人数量不满200人或者基金资产净值低于5000万元情形的，基金管理人应向中国证监会报告并提前终止基金合同，不需召开基金份额持有人大会。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7、本基金法律文件风险收益特征表述与销售机构基金风险评价可能不一致的风险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8、其他风险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●《交银施罗德中债1-3年农发行债券指数证券投资基金基金合同》、</w:t>
      </w:r>
    </w:p>
    <w:p>
      <w:pPr>
        <w:ind w:firstLine="420"/>
        <w:jc w:val="left"/>
        <w:rPr>
          <w:rFonts w:ascii="仿宋_GB2312" w:eastAsia="仿宋_GB2312"/>
          <w:szCs w:val="21"/>
        </w:rPr>
      </w:pPr>
      <w:r>
        <w:rPr>
          <w:rFonts w:hint="eastAsia" w:ascii="仿宋_GB2312" w:eastAsia="仿宋_GB2312"/>
          <w:szCs w:val="21"/>
        </w:rPr>
        <w:t>《交银施罗德中债1-3年农发行债券指数证券投资基金托管协议》、</w:t>
      </w:r>
    </w:p>
    <w:p>
      <w:pPr>
        <w:ind w:firstLine="420"/>
        <w:jc w:val="left"/>
        <w:rPr>
          <w:rFonts w:ascii="仿宋_GB2312" w:eastAsia="仿宋_GB2312"/>
          <w:szCs w:val="21"/>
        </w:rPr>
      </w:pPr>
      <w:r>
        <w:rPr>
          <w:rFonts w:hint="eastAsia" w:ascii="仿宋_GB2312" w:eastAsia="仿宋_GB2312"/>
          <w:szCs w:val="21"/>
        </w:rPr>
        <w:t>《交银施罗德中债1-3年农发行债券指数证券投资基金招募说明书》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24320"/>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36C858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630</Words>
  <Characters>3594</Characters>
  <Lines>29</Lines>
  <Paragraphs>8</Paragraphs>
  <TotalTime>8</TotalTime>
  <ScaleCrop>false</ScaleCrop>
  <LinksUpToDate>false</LinksUpToDate>
  <CharactersWithSpaces>4216</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2026-06-23T08:16:00Z</dcterms:created>
  <dc:creator>Cc</dc:creator>
  <cp:lastModifiedBy>haotingting</cp:lastModifiedBy>
  <dcterms:modified xsi:type="dcterms:W3CDTF">2026-07-01T08:20:09Z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238DD540EF1E4E46AF4AE1E44EA455BE</vt:lpwstr>
  </property>
</Properties>
</file>