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交银施罗德中证环境治理指数型证券投资基金（LOF）（C类份额）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交银中证环境治理指数(LOF)C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013413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2016-07-19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中证环境治理指数型证券投资基金（LOF）由交银施罗德中证环境治理指数分级证券投资基金转型而来。上述转型于2016年7月19日正式实施，自基金转型实施日起，《交银施罗德中证环境治理指数分级证券投资基金基金合同》失效且《交银施罗德中证环境治理指数型证券投资基金（LOF）基金合同》同时生效，交银施罗德中证环境治理指数分级证券投资基金正式变更为交银施罗德中证环境治理指数型证券投资基金（LOF）。</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本基金采用指数化投资，紧密跟踪标的指数，追求跟踪偏离度与跟踪误差最小化。本基金力争控制本基金日均跟踪偏离度的绝对值不超过0.35%，年跟踪误差不超过4%。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于具有良好流动性的金融工具，以中证环境治理指数的成份股（含存托凭证）及其备选成份股(含中小板、创业板及其他经中国证监会核准的上市股票、存托凭证)为主要投资对象。为更好地实现投资目标，本基金也可少量投资于其他股票(非标的指数成份股（含存托凭证）及其备选成份股（含存托凭证）)、债券、中期票据、货币市场工具、债券回购、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的股票资产（含存托凭证）投资比例不低于基金资产的90%，本基金投资于中证环境治理指数的成份股（含存托凭证）及其备选成份股（含存托凭证）的比例不低于非现金基金资产的90%，投资于权证的比例不得超过基金资产净值的3%，每个交易日日终在扣除股指期货合约需缴纳的交易保证金以后，持有现金或到期日在一年以内的政府债券的比例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本基金标的指数为中证环境治理指数。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指数型基金，绝大部分资产采用完全复制标的指数的方法跟踪标的指数，即按照中证环境治理指数中的成份股组成及其权重构建股票投资组合，并根据标的指数成份股及其权重的变动进行相应调整。当预期成份股发生调整和成份股发生配股、增发、分红等行为时，或因基金的申购和赎回等对本基金跟踪标的指数的效果可能带来影响时，或因某些特殊情况导致成份股流动性不足时，或其他原因导致无法有效复制和跟踪标的指数时，基金管理人可以对投资组合管理进行适当变通和调整，从而使得投资组合紧密地跟踪标的指数。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pPr>
              <w:ind w:firstLine="420"/>
              <w:jc w:val="left"/>
              <w:rPr>
                <w:rFonts w:ascii="仿宋_GB2312" w:eastAsia="仿宋_GB2312"/>
                <w:szCs w:val="21"/>
              </w:rPr>
            </w:pPr>
            <w:r>
              <w:rPr>
                <w:rFonts w:hint="eastAsia" w:ascii="仿宋_GB2312" w:eastAsia="仿宋_GB2312"/>
                <w:szCs w:val="21"/>
              </w:rPr>
              <w:t>本基金投资股指期货将根据风险管理的原则，以套期保值为目的，主要选择流动性好、交易活跃的股指期货合约。在建仓期或者出现大量净申购或净赎回的情况时，本基金将使用股指期货来进行流动性风险管理。本基金力争利用股指期货的杠杆作用，降低股票仓位频繁调整的交易成本和跟踪误差，达到有效跟踪标的指数的目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中证环境治理指数收益率×95%＋银行活期存款利率（税后）×5%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与预期收益高于混合型基金、债券型基金和货币市场基金，属于承担较高预期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详见《交银施罗德中证环境治理指数型证券投资基金(LOF)招募说明书》“基金的投资”。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2、本基金自2021年8月27日起，开始销售C类份额，基金份额类别首次确认当年净值增长率按实际存续期计算。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●《交银施罗德中证环境治理指数型证券投资基金（LOF）基金合同》、</w:t>
      </w:r>
    </w:p>
    <w:p>
      <w:pPr>
        <w:ind w:firstLine="420"/>
        <w:jc w:val="left"/>
        <w:rPr>
          <w:rFonts w:ascii="仿宋_GB2312" w:eastAsia="仿宋_GB2312"/>
          <w:szCs w:val="21"/>
        </w:rPr>
      </w:pPr>
      <w:r>
        <w:rPr>
          <w:rFonts w:hint="eastAsia" w:ascii="仿宋_GB2312" w:eastAsia="仿宋_GB2312"/>
          <w:szCs w:val="21"/>
        </w:rPr>
        <w:t>《交银施罗德中证环境治理指数型证券投资基金（LOF）托管协议》、</w:t>
      </w:r>
    </w:p>
    <w:p>
      <w:pPr>
        <w:ind w:firstLine="420"/>
        <w:jc w:val="left"/>
        <w:rPr>
          <w:rFonts w:ascii="仿宋_GB2312" w:eastAsia="仿宋_GB2312"/>
          <w:szCs w:val="21"/>
        </w:rPr>
      </w:pPr>
      <w:r>
        <w:rPr>
          <w:rFonts w:hint="eastAsia" w:ascii="仿宋_GB2312" w:eastAsia="仿宋_GB2312"/>
          <w:szCs w:val="21"/>
        </w:rPr>
        <w:t>《交银施罗德中证环境治理指数型证券投资基金（LOF）招募说明书》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1538B"/>
    <w:rsid w:val="00D373CC"/>
    <w:rsid w:val="00DB319C"/>
    <w:rsid w:val="00E51B6D"/>
    <w:rsid w:val="00F75715"/>
    <w:rsid w:val="00F811C4"/>
    <w:rsid w:val="00FC2918"/>
    <w:rsid w:val="6EE217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792</Words>
  <Characters>4518</Characters>
  <Lines>37</Lines>
  <Paragraphs>10</Paragraphs>
  <TotalTime>0</TotalTime>
  <ScaleCrop>false</ScaleCrop>
  <LinksUpToDate>false</LinksUpToDate>
  <CharactersWithSpaces>5300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2026-06-23T08:18:00Z</dcterms:created>
  <dc:creator>Cc</dc:creator>
  <cp:lastModifiedBy>haotingting</cp:lastModifiedBy>
  <dcterms:modified xsi:type="dcterms:W3CDTF">2026-07-01T08:46:43Z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89CD26C6A2744B858D9D95A7E86C994F</vt:lpwstr>
  </property>
</Properties>
</file>