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交银施罗德中债1-3年农发行债券指数证券投资基金（D类份额）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交银中债1-3年农发债指数D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020342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2023-06-09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虞汉阳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本基金通过指数化投资，争取在扣除各项费用之前获得与标的指数相似的总回报，追求跟踪偏离度及跟踪误差的最小化。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本基金的投资范围为具有良好流动性的金融工具，包括国内依法发行上市的国债、农发债、债券回购、 银行存款等固定收益类资产以及法律法规或中国证监会允许基金投资的其他金融工具(但须符合中国证监会相关规定)。 本基金不投资股票、权证等权益类资产。</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 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本基金标的指数为中债1-3年农发行债券指数。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pPr>
              <w:ind w:firstLine="420"/>
              <w:jc w:val="left"/>
              <w:rPr>
                <w:rFonts w:ascii="仿宋_GB2312" w:eastAsia="仿宋_GB2312"/>
                <w:szCs w:val="21"/>
              </w:rPr>
            </w:pPr>
            <w:r>
              <w:rPr>
                <w:rFonts w:hint="eastAsia" w:ascii="仿宋_GB2312" w:eastAsia="仿宋_GB2312"/>
                <w:szCs w:val="21"/>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具体包括：</w:t>
            </w:r>
          </w:p>
          <w:p>
            <w:pPr>
              <w:ind w:firstLine="420"/>
              <w:jc w:val="left"/>
              <w:rPr>
                <w:rFonts w:ascii="仿宋_GB2312" w:eastAsia="仿宋_GB2312"/>
                <w:szCs w:val="21"/>
              </w:rPr>
            </w:pPr>
            <w:r>
              <w:rPr>
                <w:rFonts w:hint="eastAsia" w:ascii="仿宋_GB2312" w:eastAsia="仿宋_GB2312"/>
                <w:szCs w:val="21"/>
              </w:rPr>
              <w:t>1、债券指数化投资策略；2、其他投资策略。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中债1-3年农发行债券指数收益率*95%+银行活期存款利率（税后）*5%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详见《交银施罗德中债1-3年农发行债券指数证券投资基金招募说明书》“基金的投资”。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2、本基金自2023年12月15日起，开始销售D类份额，基金份额类别首次确认当年净值增长率按实际存续期计算。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0.9%</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70000.00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（1）标的指数的风险</w:t>
      </w:r>
    </w:p>
    <w:p>
      <w:pPr>
        <w:ind w:firstLine="420"/>
        <w:jc w:val="left"/>
        <w:rPr>
          <w:rFonts w:ascii="仿宋_GB2312" w:eastAsia="仿宋_GB2312"/>
          <w:szCs w:val="21"/>
        </w:rPr>
      </w:pPr>
      <w:r>
        <w:rPr>
          <w:rFonts w:hint="eastAsia" w:ascii="仿宋_GB2312" w:eastAsia="仿宋_GB2312"/>
          <w:szCs w:val="21"/>
        </w:rPr>
        <w:t>1）标的指数下跌的风险、2）标的指数计算出错的风险、3）标的指数变更的风险</w:t>
      </w:r>
    </w:p>
    <w:p>
      <w:pPr>
        <w:ind w:firstLine="420"/>
        <w:jc w:val="left"/>
        <w:rPr>
          <w:rFonts w:ascii="仿宋_GB2312" w:eastAsia="仿宋_GB2312"/>
          <w:szCs w:val="21"/>
        </w:rPr>
      </w:pPr>
      <w:r>
        <w:rPr>
          <w:rFonts w:hint="eastAsia" w:ascii="仿宋_GB2312" w:eastAsia="仿宋_GB2312"/>
          <w:szCs w:val="21"/>
        </w:rPr>
        <w:t>（2）基金跟踪偏离风险</w:t>
      </w:r>
    </w:p>
    <w:p>
      <w:pPr>
        <w:ind w:firstLine="420"/>
        <w:jc w:val="left"/>
        <w:rPr>
          <w:rFonts w:ascii="仿宋_GB2312" w:eastAsia="仿宋_GB2312"/>
          <w:szCs w:val="21"/>
        </w:rPr>
      </w:pPr>
      <w:r>
        <w:rPr>
          <w:rFonts w:hint="eastAsia" w:ascii="仿宋_GB2312" w:eastAsia="仿宋_GB2312"/>
          <w:szCs w:val="21"/>
        </w:rPr>
        <w:t>基金在跟踪标的指数时由于各种原因导致基金的业绩表现与标的指数表现之间可能产生差异。</w:t>
      </w:r>
    </w:p>
    <w:p>
      <w:pPr>
        <w:ind w:firstLine="420"/>
        <w:jc w:val="left"/>
        <w:rPr>
          <w:rFonts w:ascii="仿宋_GB2312" w:eastAsia="仿宋_GB2312"/>
          <w:szCs w:val="21"/>
        </w:rPr>
      </w:pPr>
      <w:r>
        <w:rPr>
          <w:rFonts w:hint="eastAsia" w:ascii="仿宋_GB2312" w:eastAsia="仿宋_GB2312"/>
          <w:szCs w:val="21"/>
        </w:rPr>
        <w:t>（3）标的指数回报与债券市场平均回报偏离的风险</w:t>
      </w:r>
    </w:p>
    <w:p>
      <w:pPr>
        <w:ind w:firstLine="420"/>
        <w:jc w:val="left"/>
        <w:rPr>
          <w:rFonts w:ascii="仿宋_GB2312" w:eastAsia="仿宋_GB2312"/>
          <w:szCs w:val="21"/>
        </w:rPr>
      </w:pPr>
      <w:r>
        <w:rPr>
          <w:rFonts w:hint="eastAsia" w:ascii="仿宋_GB2312" w:eastAsia="仿宋_GB2312"/>
          <w:szCs w:val="21"/>
        </w:rPr>
        <w:t>标的指数并不能完全代表整个债券市场。标的指数成份券的平均回报率与整个债券市场的平均回报率可能存在偏离。</w:t>
      </w:r>
    </w:p>
    <w:p>
      <w:pPr>
        <w:ind w:firstLine="420"/>
        <w:jc w:val="left"/>
        <w:rPr>
          <w:rFonts w:ascii="仿宋_GB2312" w:eastAsia="仿宋_GB2312"/>
          <w:szCs w:val="21"/>
        </w:rPr>
      </w:pPr>
      <w:r>
        <w:rPr>
          <w:rFonts w:hint="eastAsia" w:ascii="仿宋_GB2312" w:eastAsia="仿宋_GB2312"/>
          <w:szCs w:val="21"/>
        </w:rPr>
        <w:t>（4）跟踪误差控制未达约定目标的风险</w:t>
      </w:r>
    </w:p>
    <w:p>
      <w:pPr>
        <w:ind w:firstLine="420"/>
        <w:jc w:val="left"/>
        <w:rPr>
          <w:rFonts w:ascii="仿宋_GB2312" w:eastAsia="仿宋_GB2312"/>
          <w:szCs w:val="21"/>
        </w:rPr>
      </w:pPr>
      <w:r>
        <w:rPr>
          <w:rFonts w:hint="eastAsia" w:ascii="仿宋_GB2312" w:eastAsia="仿宋_GB2312"/>
          <w:szCs w:val="21"/>
        </w:rPr>
        <w:t>（5）指数编制机构停止服务的风险</w:t>
      </w:r>
    </w:p>
    <w:p>
      <w:pPr>
        <w:ind w:firstLine="420"/>
        <w:jc w:val="left"/>
        <w:rPr>
          <w:rFonts w:ascii="仿宋_GB2312" w:eastAsia="仿宋_GB2312"/>
          <w:szCs w:val="21"/>
        </w:rPr>
      </w:pPr>
      <w:r>
        <w:rPr>
          <w:rFonts w:hint="eastAsia" w:ascii="仿宋_GB2312" w:eastAsia="仿宋_GB2312"/>
          <w:szCs w:val="21"/>
        </w:rPr>
        <w:t>（6）成份券停牌或违约的风险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（2）基金合同提前终止风险。连续六十个工作日出现基金份额持有人数量不满200人或者基金资产净值低于5000万元情形的，基金管理人应向中国证监会报告并提前终止基金合同，不需召开基金份额持有人大会。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●《交银施罗德中债1-3年农发行债券指数证券投资基金基金合同》、</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《交银施罗德中债1-3年农发行债券指数证券投资基金托管协议》、</w:t>
      </w:r>
    </w:p>
    <w:p>
      <w:pPr>
        <w:ind w:firstLine="420"/>
        <w:jc w:val="left"/>
        <w:rPr>
          <w:rFonts w:ascii="仿宋_GB2312" w:eastAsia="仿宋_GB2312"/>
          <w:szCs w:val="21"/>
        </w:rPr>
      </w:pPr>
      <w:r>
        <w:rPr>
          <w:rFonts w:hint="eastAsia" w:ascii="仿宋_GB2312" w:eastAsia="仿宋_GB2312"/>
          <w:szCs w:val="21"/>
        </w:rPr>
        <w:t>《交银施罗德中债1-3年农发行债券指数证券投资基金招募说明书》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85DBB"/>
    <w:rsid w:val="00FC2918"/>
    <w:rsid w:val="063F5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629</Words>
  <Characters>3587</Characters>
  <Lines>29</Lines>
  <Paragraphs>8</Paragraphs>
  <TotalTime>5</TotalTime>
  <ScaleCrop>false</ScaleCrop>
  <LinksUpToDate>false</LinksUpToDate>
  <CharactersWithSpaces>4208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2026-06-23T08:16:00Z</dcterms:created>
  <dc:creator>Cc</dc:creator>
  <cp:lastModifiedBy>haotingting</cp:lastModifiedBy>
  <dcterms:modified xsi:type="dcterms:W3CDTF">2026-07-01T08:44:58Z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B25D145D92B24631BBC065C5E3673768</vt:lpwstr>
  </property>
</Properties>
</file>