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7057FA">
      <w:pPr>
        <w:rPr>
          <w:sz w:val="32"/>
        </w:rPr>
      </w:pPr>
    </w:p>
    <w:p w:rsidR="00C92FC0" w:rsidRPr="00EB07BC" w:rsidRDefault="007057FA">
      <w:pPr>
        <w:rPr>
          <w:sz w:val="32"/>
        </w:rPr>
      </w:pPr>
    </w:p>
    <w:p w:rsidR="00C92FC0" w:rsidRPr="00EB07BC" w:rsidRDefault="007057FA">
      <w:pPr>
        <w:rPr>
          <w:sz w:val="32"/>
        </w:rPr>
      </w:pPr>
    </w:p>
    <w:p w:rsidR="00BE66C9" w:rsidRDefault="00BE66C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E66C9" w:rsidRDefault="00BE66C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E66C9" w:rsidRDefault="00BE66C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E66C9" w:rsidRDefault="008F490F">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交银施罗德稳益短债债券型证券投资基金</w:t>
      </w:r>
    </w:p>
    <w:p w:rsidR="00BE66C9" w:rsidRDefault="008F490F">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BE66C9" w:rsidRDefault="00BE66C9">
      <w:pPr>
        <w:snapToGrid w:val="0"/>
        <w:spacing w:line="360" w:lineRule="auto"/>
        <w:jc w:val="center"/>
        <w:rPr>
          <w:rFonts w:ascii="宋体" w:hAnsi="宋体"/>
          <w:b/>
          <w:sz w:val="30"/>
          <w:szCs w:val="30"/>
        </w:rPr>
      </w:pPr>
    </w:p>
    <w:p w:rsidR="00BE66C9" w:rsidRDefault="00BE66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E66C9" w:rsidRDefault="00BE66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E66C9" w:rsidRDefault="00BE66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E66C9" w:rsidRDefault="00BE66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E66C9" w:rsidRDefault="00BE66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E66C9" w:rsidRDefault="00BE66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E66C9" w:rsidRDefault="008F490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BE66C9" w:rsidRDefault="008F490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基金托管人：中国光大银行股份有限公司</w:t>
      </w:r>
    </w:p>
    <w:p w:rsidR="00BE66C9" w:rsidRDefault="00BE66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E66C9" w:rsidRDefault="00BE66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E66C9" w:rsidRDefault="008F490F">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BE66C9" w:rsidRDefault="00BE66C9">
      <w:pPr>
        <w:autoSpaceDE w:val="0"/>
        <w:autoSpaceDN w:val="0"/>
        <w:adjustRightInd w:val="0"/>
        <w:snapToGrid w:val="0"/>
        <w:spacing w:line="360" w:lineRule="auto"/>
        <w:ind w:left="1347" w:rightChars="6" w:right="13"/>
        <w:rPr>
          <w:rFonts w:ascii="宋体" w:hAnsi="宋体"/>
          <w:kern w:val="0"/>
          <w:sz w:val="32"/>
          <w:szCs w:val="32"/>
        </w:rPr>
        <w:sectPr w:rsidR="00BE66C9">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BE66C9" w:rsidRDefault="008F490F">
      <w:pPr>
        <w:pStyle w:val="1"/>
        <w:snapToGrid w:val="0"/>
        <w:spacing w:beforeLines="0" w:before="240" w:after="240"/>
        <w:rPr>
          <w:rFonts w:ascii="宋体" w:hAnsi="宋体"/>
          <w:kern w:val="0"/>
        </w:rPr>
      </w:pPr>
      <w:bookmarkStart w:id="0" w:name="_Toc324920538"/>
      <w:bookmarkStart w:id="1" w:name="_Toc496884613"/>
      <w:bookmarkStart w:id="2" w:name="_Toc234247837"/>
      <w:r>
        <w:rPr>
          <w:rFonts w:ascii="Times New Roman" w:hAnsi="Times New Roman"/>
          <w:kern w:val="0"/>
        </w:rPr>
        <w:lastRenderedPageBreak/>
        <w:t>重要提示</w:t>
      </w:r>
      <w:bookmarkEnd w:id="0"/>
      <w:bookmarkEnd w:id="1"/>
      <w:bookmarkEnd w:id="2"/>
    </w:p>
    <w:p w:rsidR="00BE66C9" w:rsidRDefault="008F49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交银施罗德稳益短债债券型证券投资基金（以下简称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8</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2022</w:t>
      </w:r>
      <w:r>
        <w:rPr>
          <w:rFonts w:ascii="Times New Roman" w:hAnsi="Times New Roman"/>
          <w:kern w:val="0"/>
          <w:sz w:val="24"/>
        </w:rPr>
        <w:t>】</w:t>
      </w:r>
      <w:r>
        <w:rPr>
          <w:rFonts w:ascii="Times New Roman" w:hAnsi="Times New Roman"/>
          <w:kern w:val="0"/>
          <w:sz w:val="24"/>
        </w:rPr>
        <w:t>1451</w:t>
      </w:r>
      <w:r>
        <w:rPr>
          <w:rFonts w:ascii="Times New Roman" w:hAnsi="Times New Roman"/>
          <w:kern w:val="0"/>
          <w:sz w:val="24"/>
        </w:rPr>
        <w:t>号文准予募集注册。本基金基金合同于</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日正式生效。</w:t>
      </w:r>
    </w:p>
    <w:p w:rsidR="00BE66C9" w:rsidRDefault="008F49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BE66C9" w:rsidRDefault="008F49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BE66C9" w:rsidRDefault="008F49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交易对手违约风险；本基金的特有风险；投资资产支持证券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w:t>
      </w:r>
    </w:p>
    <w:p w:rsidR="00BE66C9" w:rsidRDefault="008F49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BE66C9" w:rsidRDefault="008F49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本基金是一只债券型基金，其预期风险与预期收益理论上高于货币市场基金，低于混合型基金和股票型基金。</w:t>
      </w:r>
    </w:p>
    <w:p w:rsidR="00BE66C9" w:rsidRDefault="008F49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w:t>
      </w:r>
      <w:r>
        <w:rPr>
          <w:rFonts w:ascii="Times New Roman" w:hAnsi="Times New Roman"/>
          <w:kern w:val="0"/>
          <w:sz w:val="24"/>
        </w:rPr>
        <w:lastRenderedPageBreak/>
        <w:t>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BE66C9" w:rsidRDefault="008F49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BE66C9" w:rsidRDefault="008F490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BE66C9" w:rsidRDefault="00BE66C9">
      <w:pPr>
        <w:autoSpaceDE w:val="0"/>
        <w:autoSpaceDN w:val="0"/>
        <w:adjustRightInd w:val="0"/>
        <w:snapToGrid w:val="0"/>
        <w:spacing w:before="51" w:line="360" w:lineRule="auto"/>
        <w:ind w:left="120" w:rightChars="6" w:right="13" w:firstLine="480"/>
        <w:rPr>
          <w:rFonts w:ascii="宋体" w:hAnsi="宋体"/>
          <w:kern w:val="0"/>
          <w:szCs w:val="24"/>
        </w:rPr>
        <w:sectPr w:rsidR="00BE66C9">
          <w:headerReference w:type="default" r:id="rId14"/>
          <w:pgSz w:w="11920" w:h="16840"/>
          <w:pgMar w:top="1440" w:right="1680" w:bottom="280" w:left="1680" w:header="0" w:footer="1073" w:gutter="0"/>
          <w:pgNumType w:start="1"/>
          <w:cols w:space="720"/>
        </w:sectPr>
      </w:pPr>
    </w:p>
    <w:p w:rsidR="007057FA" w:rsidRPr="007057FA" w:rsidRDefault="008F490F" w:rsidP="007057FA">
      <w:pPr>
        <w:pStyle w:val="ad"/>
        <w:snapToGrid w:val="0"/>
        <w:spacing w:after="240" w:line="360" w:lineRule="auto"/>
        <w:jc w:val="center"/>
        <w:rPr>
          <w:rFonts w:ascii="宋体" w:hAnsi="宋体"/>
          <w:noProof/>
          <w:sz w:val="24"/>
        </w:rPr>
      </w:pPr>
      <w:r w:rsidRPr="007057FA">
        <w:rPr>
          <w:rFonts w:ascii="宋体" w:hAnsi="宋体"/>
          <w:color w:val="000000"/>
          <w:position w:val="-4"/>
          <w:sz w:val="24"/>
          <w:szCs w:val="30"/>
        </w:rPr>
        <w:lastRenderedPageBreak/>
        <w:t>目</w:t>
      </w:r>
      <w:r w:rsidRPr="007057FA">
        <w:rPr>
          <w:rFonts w:ascii="宋体" w:hAnsi="宋体"/>
          <w:color w:val="000000"/>
          <w:position w:val="-4"/>
          <w:sz w:val="24"/>
          <w:szCs w:val="30"/>
        </w:rPr>
        <w:tab/>
        <w:t>录</w:t>
      </w:r>
      <w:r w:rsidR="007057FA" w:rsidRPr="007057FA">
        <w:rPr>
          <w:rFonts w:ascii="宋体" w:hAnsi="宋体"/>
          <w:color w:val="000000"/>
          <w:position w:val="-4"/>
          <w:sz w:val="24"/>
          <w:szCs w:val="30"/>
        </w:rPr>
        <w:fldChar w:fldCharType="begin"/>
      </w:r>
      <w:r w:rsidR="007057FA" w:rsidRPr="007057FA">
        <w:rPr>
          <w:rFonts w:ascii="宋体" w:hAnsi="宋体"/>
          <w:color w:val="000000"/>
          <w:position w:val="-4"/>
          <w:sz w:val="24"/>
          <w:szCs w:val="30"/>
        </w:rPr>
        <w:instrText xml:space="preserve"> TOC \o "1-3" \f - \h \t "-1" </w:instrText>
      </w:r>
      <w:r w:rsidR="007057FA" w:rsidRPr="007057FA">
        <w:rPr>
          <w:rFonts w:ascii="宋体" w:hAnsi="宋体"/>
          <w:color w:val="000000"/>
          <w:position w:val="-4"/>
          <w:sz w:val="24"/>
          <w:szCs w:val="30"/>
        </w:rPr>
        <w:fldChar w:fldCharType="separate"/>
      </w:r>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37" w:history="1">
        <w:r w:rsidRPr="007057FA">
          <w:rPr>
            <w:rStyle w:val="aa"/>
            <w:rFonts w:ascii="宋体" w:hAnsi="宋体" w:hint="eastAsia"/>
            <w:noProof/>
            <w:kern w:val="0"/>
            <w:sz w:val="24"/>
          </w:rPr>
          <w:t>重要提示</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_Toc234247837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1</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38" w:history="1">
        <w:r w:rsidRPr="007057FA">
          <w:rPr>
            <w:rStyle w:val="aa"/>
            <w:rFonts w:ascii="宋体" w:hAnsi="宋体" w:hint="eastAsia"/>
            <w:noProof/>
            <w:sz w:val="24"/>
          </w:rPr>
          <w:t>一、绪言</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_Toc234247838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4</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39" w:history="1">
        <w:r w:rsidRPr="007057FA">
          <w:rPr>
            <w:rStyle w:val="aa"/>
            <w:rFonts w:ascii="宋体" w:hAnsi="宋体" w:hint="eastAsia"/>
            <w:noProof/>
            <w:sz w:val="24"/>
          </w:rPr>
          <w:t>二、释义</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_Toc234247839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5</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40" w:history="1">
        <w:r w:rsidRPr="007057FA">
          <w:rPr>
            <w:rStyle w:val="aa"/>
            <w:rFonts w:ascii="宋体" w:hAnsi="宋体" w:hint="eastAsia"/>
            <w:noProof/>
            <w:sz w:val="24"/>
          </w:rPr>
          <w:t>三、基金管理人</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_Toc234247840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10</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41" w:history="1">
        <w:r w:rsidRPr="007057FA">
          <w:rPr>
            <w:rStyle w:val="aa"/>
            <w:rFonts w:ascii="宋体" w:hAnsi="宋体" w:hint="eastAsia"/>
            <w:noProof/>
            <w:sz w:val="24"/>
          </w:rPr>
          <w:t>四、基金托管人</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_Toc234247841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18</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42" w:history="1">
        <w:r w:rsidRPr="007057FA">
          <w:rPr>
            <w:rStyle w:val="aa"/>
            <w:rFonts w:ascii="宋体" w:hAnsi="宋体" w:hint="eastAsia"/>
            <w:noProof/>
            <w:sz w:val="24"/>
          </w:rPr>
          <w:t>五、相关服务机构</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_Toc234247842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21</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43" w:history="1">
        <w:r w:rsidRPr="007057FA">
          <w:rPr>
            <w:rStyle w:val="aa"/>
            <w:rFonts w:ascii="宋体" w:hAnsi="宋体" w:hint="eastAsia"/>
            <w:noProof/>
            <w:sz w:val="24"/>
          </w:rPr>
          <w:t>六、基金的募集</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_Toc234247843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38</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44" w:history="1">
        <w:r w:rsidRPr="007057FA">
          <w:rPr>
            <w:rStyle w:val="aa"/>
            <w:rFonts w:ascii="宋体" w:hAnsi="宋体" w:hint="eastAsia"/>
            <w:noProof/>
            <w:sz w:val="24"/>
          </w:rPr>
          <w:t>七、基金合同的生效</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_Toc234247844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39</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45" w:history="1">
        <w:r w:rsidRPr="007057FA">
          <w:rPr>
            <w:rStyle w:val="aa"/>
            <w:rFonts w:ascii="宋体" w:hAnsi="宋体" w:hint="eastAsia"/>
            <w:noProof/>
            <w:sz w:val="24"/>
          </w:rPr>
          <w:t>八、基金份额的申购与赎回</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_Toc234247845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40</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46" w:history="1">
        <w:r w:rsidRPr="007057FA">
          <w:rPr>
            <w:rStyle w:val="aa"/>
            <w:rFonts w:ascii="宋体" w:hAnsi="宋体" w:hint="eastAsia"/>
            <w:noProof/>
            <w:sz w:val="24"/>
          </w:rPr>
          <w:t>九、基金的转换</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_Toc234247846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53</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47" w:history="1">
        <w:r w:rsidRPr="007057FA">
          <w:rPr>
            <w:rStyle w:val="aa"/>
            <w:rFonts w:ascii="宋体" w:hAnsi="宋体" w:hint="eastAsia"/>
            <w:noProof/>
            <w:sz w:val="24"/>
          </w:rPr>
          <w:t>十、基金的投资</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_Toc234247847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58</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48" w:history="1">
        <w:r w:rsidRPr="007057FA">
          <w:rPr>
            <w:rStyle w:val="aa"/>
            <w:rFonts w:ascii="宋体" w:hAnsi="宋体" w:hint="eastAsia"/>
            <w:noProof/>
            <w:sz w:val="24"/>
          </w:rPr>
          <w:t>十一、基金的业绩</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_Toc234247848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68</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49" w:history="1">
        <w:r w:rsidRPr="007057FA">
          <w:rPr>
            <w:rStyle w:val="aa"/>
            <w:rFonts w:ascii="宋体" w:hAnsi="宋体" w:hint="eastAsia"/>
            <w:noProof/>
            <w:sz w:val="24"/>
          </w:rPr>
          <w:t>十二、基金的财产</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_Toc234247849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71</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50" w:history="1">
        <w:r w:rsidRPr="007057FA">
          <w:rPr>
            <w:rStyle w:val="aa"/>
            <w:rFonts w:ascii="宋体" w:hAnsi="宋体" w:hint="eastAsia"/>
            <w:noProof/>
            <w:sz w:val="24"/>
          </w:rPr>
          <w:t>十三、基金资产的估值</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_Toc234247850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72</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51" w:history="1">
        <w:r w:rsidRPr="007057FA">
          <w:rPr>
            <w:rStyle w:val="aa"/>
            <w:rFonts w:ascii="宋体" w:hAnsi="宋体" w:hint="eastAsia"/>
            <w:noProof/>
            <w:sz w:val="24"/>
          </w:rPr>
          <w:t>十四、基金收益与分配</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_Toc234247851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77</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52" w:history="1">
        <w:r w:rsidRPr="007057FA">
          <w:rPr>
            <w:rStyle w:val="aa"/>
            <w:rFonts w:ascii="宋体" w:hAnsi="宋体" w:hint="eastAsia"/>
            <w:noProof/>
            <w:sz w:val="24"/>
          </w:rPr>
          <w:t>十五、基金的费用与税收</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_Toc234247852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79</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53" w:history="1">
        <w:r w:rsidRPr="007057FA">
          <w:rPr>
            <w:rStyle w:val="aa"/>
            <w:rFonts w:ascii="宋体" w:hAnsi="宋体" w:hint="eastAsia"/>
            <w:noProof/>
            <w:sz w:val="24"/>
          </w:rPr>
          <w:t>十六、基金的会计与审计</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_Toc234247853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82</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54" w:history="1">
        <w:r w:rsidRPr="007057FA">
          <w:rPr>
            <w:rStyle w:val="aa"/>
            <w:rFonts w:ascii="宋体" w:hAnsi="宋体" w:hint="eastAsia"/>
            <w:noProof/>
            <w:sz w:val="24"/>
          </w:rPr>
          <w:t>十七、基金的信息披露</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_Toc234247854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83</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55" w:history="1">
        <w:r w:rsidRPr="007057FA">
          <w:rPr>
            <w:rStyle w:val="aa"/>
            <w:rFonts w:ascii="宋体" w:hAnsi="宋体" w:hint="eastAsia"/>
            <w:noProof/>
            <w:sz w:val="24"/>
          </w:rPr>
          <w:t>十八、侧袋机制</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_Toc234247855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90</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56" w:history="1">
        <w:r w:rsidRPr="007057FA">
          <w:rPr>
            <w:rStyle w:val="aa"/>
            <w:rFonts w:ascii="宋体" w:hAnsi="宋体" w:hint="eastAsia"/>
            <w:noProof/>
            <w:sz w:val="24"/>
          </w:rPr>
          <w:t>十九、风险揭示</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_Toc234247856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93</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57" w:history="1">
        <w:r w:rsidRPr="007057FA">
          <w:rPr>
            <w:rStyle w:val="aa"/>
            <w:rFonts w:ascii="宋体" w:hAnsi="宋体" w:hint="eastAsia"/>
            <w:noProof/>
            <w:sz w:val="24"/>
          </w:rPr>
          <w:t>二十、基金合同的变更、终止与基金财产的清算</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_Toc234247857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100</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58" w:history="1">
        <w:r w:rsidRPr="007057FA">
          <w:rPr>
            <w:rStyle w:val="aa"/>
            <w:rFonts w:ascii="宋体" w:hAnsi="宋体" w:hint="eastAsia"/>
            <w:noProof/>
            <w:sz w:val="24"/>
          </w:rPr>
          <w:t>二十一、基金合同内容摘要</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_Toc234247858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102</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59" w:history="1">
        <w:r w:rsidRPr="007057FA">
          <w:rPr>
            <w:rStyle w:val="aa"/>
            <w:rFonts w:ascii="宋体" w:hAnsi="宋体" w:hint="eastAsia"/>
            <w:noProof/>
            <w:sz w:val="24"/>
          </w:rPr>
          <w:t>二十二、托管协议的内容摘要</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_Toc234247859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119</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60" w:history="1">
        <w:r w:rsidRPr="007057FA">
          <w:rPr>
            <w:rStyle w:val="aa"/>
            <w:rFonts w:ascii="宋体" w:hAnsi="宋体" w:hint="eastAsia"/>
            <w:noProof/>
            <w:sz w:val="24"/>
          </w:rPr>
          <w:t>二十三、对基金份额持有人的服务</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_Toc234247860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130</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61" w:history="1">
        <w:r w:rsidRPr="007057FA">
          <w:rPr>
            <w:rStyle w:val="aa"/>
            <w:rFonts w:ascii="宋体" w:hAnsi="宋体" w:hint="eastAsia"/>
            <w:noProof/>
            <w:sz w:val="24"/>
          </w:rPr>
          <w:t>二十四、其他应披露事项</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_Toc234247861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132</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62" w:history="1">
        <w:r w:rsidRPr="007057FA">
          <w:rPr>
            <w:rStyle w:val="aa"/>
            <w:rFonts w:ascii="宋体" w:hAnsi="宋体" w:hint="eastAsia"/>
            <w:noProof/>
            <w:sz w:val="24"/>
          </w:rPr>
          <w:t>二十五、招募说明书的存放及查阅方式</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_Toc234247862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134</w:t>
        </w:r>
        <w:r w:rsidRPr="007057FA">
          <w:rPr>
            <w:rFonts w:ascii="宋体" w:hAnsi="宋体"/>
            <w:noProof/>
            <w:sz w:val="24"/>
          </w:rPr>
          <w:fldChar w:fldCharType="end"/>
        </w:r>
      </w:hyperlink>
    </w:p>
    <w:p w:rsidR="007057FA" w:rsidRPr="007057FA" w:rsidRDefault="007057FA" w:rsidP="007057FA">
      <w:pPr>
        <w:pStyle w:val="10"/>
        <w:tabs>
          <w:tab w:val="right" w:leader="dot" w:pos="8550"/>
        </w:tabs>
        <w:spacing w:line="360" w:lineRule="auto"/>
        <w:rPr>
          <w:rFonts w:ascii="宋体" w:hAnsi="宋体" w:cstheme="minorBidi"/>
          <w:noProof/>
          <w:sz w:val="24"/>
        </w:rPr>
      </w:pPr>
      <w:hyperlink w:anchor="_Toc234247863" w:history="1">
        <w:r w:rsidRPr="007057FA">
          <w:rPr>
            <w:rStyle w:val="aa"/>
            <w:rFonts w:ascii="宋体" w:hAnsi="宋体" w:hint="eastAsia"/>
            <w:noProof/>
            <w:sz w:val="24"/>
          </w:rPr>
          <w:t>二十六、备查文件</w:t>
        </w:r>
        <w:r w:rsidRPr="007057FA">
          <w:rPr>
            <w:rFonts w:ascii="宋体" w:hAnsi="宋体"/>
            <w:noProof/>
            <w:sz w:val="24"/>
          </w:rPr>
          <w:tab/>
        </w:r>
        <w:r w:rsidRPr="007057FA">
          <w:rPr>
            <w:rFonts w:ascii="宋体" w:hAnsi="宋体"/>
            <w:noProof/>
            <w:sz w:val="24"/>
          </w:rPr>
          <w:fldChar w:fldCharType="begin"/>
        </w:r>
        <w:r w:rsidRPr="007057FA">
          <w:rPr>
            <w:rFonts w:ascii="宋体" w:hAnsi="宋体"/>
            <w:noProof/>
            <w:sz w:val="24"/>
          </w:rPr>
          <w:instrText xml:space="preserve"> PAGEREF _Toc234247863 \h </w:instrText>
        </w:r>
        <w:r w:rsidRPr="007057FA">
          <w:rPr>
            <w:rFonts w:ascii="宋体" w:hAnsi="宋体"/>
            <w:noProof/>
            <w:sz w:val="24"/>
          </w:rPr>
        </w:r>
        <w:r w:rsidRPr="007057FA">
          <w:rPr>
            <w:rFonts w:ascii="宋体" w:hAnsi="宋体"/>
            <w:noProof/>
            <w:sz w:val="24"/>
          </w:rPr>
          <w:fldChar w:fldCharType="separate"/>
        </w:r>
        <w:r w:rsidRPr="007057FA">
          <w:rPr>
            <w:rFonts w:ascii="宋体" w:hAnsi="宋体"/>
            <w:noProof/>
            <w:sz w:val="24"/>
          </w:rPr>
          <w:t>135</w:t>
        </w:r>
        <w:r w:rsidRPr="007057FA">
          <w:rPr>
            <w:rFonts w:ascii="宋体" w:hAnsi="宋体"/>
            <w:noProof/>
            <w:sz w:val="24"/>
          </w:rPr>
          <w:fldChar w:fldCharType="end"/>
        </w:r>
      </w:hyperlink>
    </w:p>
    <w:p w:rsidR="00BE66C9" w:rsidRPr="007057FA" w:rsidRDefault="007057FA" w:rsidP="007057FA">
      <w:pPr>
        <w:pStyle w:val="ad"/>
        <w:snapToGrid w:val="0"/>
        <w:spacing w:after="240" w:line="360" w:lineRule="auto"/>
        <w:jc w:val="center"/>
        <w:rPr>
          <w:rFonts w:ascii="宋体" w:hAnsi="宋体"/>
          <w:color w:val="000000"/>
          <w:sz w:val="24"/>
        </w:rPr>
      </w:pPr>
      <w:r w:rsidRPr="007057FA">
        <w:rPr>
          <w:rFonts w:ascii="宋体" w:hAnsi="宋体"/>
          <w:color w:val="000000"/>
          <w:position w:val="-4"/>
          <w:sz w:val="24"/>
          <w:szCs w:val="30"/>
        </w:rPr>
        <w:fldChar w:fldCharType="end"/>
      </w:r>
      <w:bookmarkStart w:id="3" w:name="_GoBack"/>
      <w:bookmarkEnd w:id="3"/>
    </w:p>
    <w:p w:rsidR="00BE66C9" w:rsidRDefault="00BE66C9">
      <w:pPr>
        <w:autoSpaceDE w:val="0"/>
        <w:autoSpaceDN w:val="0"/>
        <w:adjustRightInd w:val="0"/>
        <w:snapToGrid w:val="0"/>
        <w:spacing w:line="360" w:lineRule="auto"/>
        <w:ind w:left="120" w:rightChars="6" w:right="13"/>
        <w:rPr>
          <w:rFonts w:ascii="宋体" w:hAnsi="宋体"/>
          <w:kern w:val="0"/>
          <w:szCs w:val="24"/>
        </w:rPr>
        <w:sectPr w:rsidR="00BE66C9">
          <w:pgSz w:w="11920" w:h="16840"/>
          <w:pgMar w:top="1480" w:right="1680" w:bottom="280" w:left="1680" w:header="0" w:footer="1073" w:gutter="0"/>
          <w:cols w:space="720"/>
        </w:sectPr>
      </w:pPr>
    </w:p>
    <w:p w:rsidR="00BE66C9" w:rsidRDefault="008F490F">
      <w:pPr>
        <w:pStyle w:val="1"/>
        <w:snapToGrid w:val="0"/>
        <w:spacing w:beforeLines="0" w:before="240" w:after="240"/>
        <w:rPr>
          <w:rFonts w:ascii="宋体" w:hAnsi="宋体"/>
          <w:szCs w:val="30"/>
        </w:rPr>
      </w:pPr>
      <w:bookmarkStart w:id="4" w:name="_Toc234247838"/>
      <w:r>
        <w:rPr>
          <w:rFonts w:ascii="Times New Roman" w:hAnsi="Times New Roman"/>
          <w:sz w:val="30"/>
        </w:rPr>
        <w:lastRenderedPageBreak/>
        <w:t>一、绪言</w:t>
      </w:r>
      <w:bookmarkEnd w:id="4"/>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稳益短债债券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稳益短债债券型证券投资基金基金合同》（以下简称“基金合同”）编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5" w:name="_Toc234247839"/>
      <w:r>
        <w:rPr>
          <w:rFonts w:ascii="Times New Roman" w:hAnsi="Times New Roman"/>
          <w:sz w:val="30"/>
        </w:rPr>
        <w:lastRenderedPageBreak/>
        <w:t>二、释义</w:t>
      </w:r>
      <w:bookmarkEnd w:id="5"/>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1、基金或本基金：指交银施罗德稳益短债债券型证券投资基金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3、基金托管人或本基金托管人：指中国光大银行股份有限公司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4、基金合同、《基金合同》：指《交银施罗德稳益短债债券型证券投资基金基金合同》及对基金合同的任何有效修订和补充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5、托管协议：指基金管理人与基金托管人就本基金签订之《交银施罗德稳益短债债券型证券投资基金托管协议》及对该托管协议的任何有效修订和补充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6、招募说明书、《招募说明书》或本招募说明书：指《交银施罗德稳益短债债券型证券投资基金招募说明书》及其更新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7、基金产品资料概要：指《交银施罗德稳益短债债券型证券投资基金基金产品资料概要》及其更新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8、基金份额发售公告：指《交银施罗德稳益短债债券型证券投资基金基金份额发售公告》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w:t>
      </w:r>
      <w:r>
        <w:rPr>
          <w:rFonts w:ascii="宋体" w:hAnsi="宋体"/>
          <w:sz w:val="24"/>
        </w:rPr>
        <w:lastRenderedPageBreak/>
        <w:t>基金管理人向中国证监会办理基金备案手续完毕，并获得中国证监会书面确认的日期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38、《业务规则》：指《交银施罗德基金管理有限公司开放式基金业务规则》，是规范基金管理人所管理的开放式证券投资基金登记方面的业务规则，由基金管理人和投资人共同遵守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39、认购：指在基金募集期内，投资人根据基金合同和招募说明书的规定申请购买基金份额的行为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40、申购：指基金合同生效后，投资人根据基金合同和招募说明书的规定申请购买基金份额的行为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43、转托管：指基金份额持有人在本基金的不同销售机构之间实施的变更所持基金份额销售机构的操作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46、元：指人民币元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47、基金收益：指基金投资所得债券利息、买卖证券价差、银行存款利息、已实现的其他合法收入及因运用基金财产带来的成本和费用的节约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48、基金资产总值：指基金拥有的各类有价证券、银行存款本息、基金应收款项及其他资产的价值总和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49、基金资产净值：指基金资产总值减去基金负债后的价值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50、基金份额净值：指计算日基金资产净值除以计算日基金份额总数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51、基金资产估值：指计算评估基金资产和负债的价值，以确定基金资产净值和基金份额净值的过程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52、规定媒介：指符合中国证监会规定条件的用以进行信息披露的全国性报刊及《信息披露办法》规定的互联网网站（包括基金管理人网站、基金托管人网站、中国证监会基金电子披露网站）等媒介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54、A类基金份额：指在投资人认购/申购时收取认购/申购费用、赎回时收取赎回费用且不从本类别基金资产中计提销售服务费的基金份额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55、C类基金份额：指在投资人认购/申购时不收取认购/申购费用、赎回时收取赎回费用，并从本类别基金资产中计提销售服务费的基金份额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6" w:name="_Toc234247840"/>
      <w:r>
        <w:rPr>
          <w:rFonts w:ascii="Times New Roman" w:hAnsi="Times New Roman"/>
          <w:sz w:val="30"/>
        </w:rPr>
        <w:lastRenderedPageBreak/>
        <w:t>三、基金管理人</w:t>
      </w:r>
      <w:bookmarkEnd w:id="6"/>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基金经理。香港大学工商管理硕士、北京大学经济学、管理学双学士。18年证券投资行业从业经验。2008年至2012年任中海基金管理有限公司交易员。2012年加入交银施罗德基金管理有限公司，曾任中央交易室交易员，现任固定收益部基金经理。曾任交银施罗德货币市场证券投资基金(2015年05月27日至2019年08月02日)、交银施罗德现金宝货币市场基金(2015年05月27日至2019年08月02日)、交银施罗德理财21天债券型证券投资基金(2015年05月27日至2020年07月27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至2026年03月11日)、交银施罗德丰盈收益债券型证券投资基金(2024年12月04日至2025年12月27日)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交银施罗德双轮动债券型证券投资基金(2025年12月27日至今)、交银施罗德120天滚动持有债券型证券投资基金(2026年03月11日至今)的基金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丹妮女士:基金经理。复旦大学工商管理硕士、中山大学理学学士。11年证券投资行业从业经验。2015年至2016年任五矿证券有限责任公司交易员。2016年加入交银施罗德基金管理有限公司，曾任中央交易室交易员、固定收益部研究员、基金经理助理，现任固定收益部基金经理。现任交银施罗德天益宝货币市场基金(2025年02月20日至今)、交银施罗德丰盈收益债券型证券投资基金(2025年02月20</w:t>
      </w:r>
      <w:r>
        <w:rPr>
          <w:rFonts w:ascii="宋体" w:hAnsi="宋体"/>
          <w:sz w:val="24"/>
        </w:rPr>
        <w:lastRenderedPageBreak/>
        <w:t>日至今)、交银施罗德稳益短债债券型证券投资基金(2025年02月20日至今)、交银施罗德丰享收益债券型证券投资基金(2025年02月20日至今)的基金经理。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姜承操女士(2024年01月10日至2025年05月30日)。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1、基金管理人承诺不从事违反《中华人民共和国证券法》的行为，并承诺建立健全内部控制制度，采取有效措施，防止违反《中华人民共和国证券法》行为的发生；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通过科学的内控手段和方法，建立合理的内控程序，维护内控制度的有效执行。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w:t>
      </w:r>
      <w:r>
        <w:rPr>
          <w:rFonts w:ascii="宋体" w:hAnsi="宋体"/>
          <w:sz w:val="24"/>
        </w:rPr>
        <w:lastRenderedPageBreak/>
        <w:t>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w:t>
      </w:r>
      <w:r>
        <w:rPr>
          <w:rFonts w:ascii="宋体" w:hAnsi="宋体"/>
          <w:sz w:val="24"/>
        </w:rPr>
        <w:lastRenderedPageBreak/>
        <w:t>公司建立了自下而上的风险报告程序，对风险隐患进行层层汇报，使各个层次的人员及时掌握风险状况，从而以最快速度作出决策。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7" w:name="_Toc234247841"/>
      <w:r>
        <w:rPr>
          <w:rFonts w:ascii="Times New Roman" w:hAnsi="Times New Roman"/>
          <w:sz w:val="30"/>
        </w:rPr>
        <w:lastRenderedPageBreak/>
        <w:t>四、基金托管人</w:t>
      </w:r>
      <w:bookmarkEnd w:id="7"/>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（一）基本情况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住所及办公地址：北京市西城区太平桥大街25 号、甲25 号中国光大中心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注册资本：590.85551亿元人民币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法定代表人：吴利军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基金托管业务批准文号：中国证监会证监基字【2002】75号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 63636363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 63639132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董事长吴利军先生，自2020年3月起任本行副董事长、2024年1月起任本行董事长。现任中国光大集团股份公司党委书记、董事长。曾任国内贸易部国家物资储备调节中心副主任(副局级)，中国证券监督管理委员会信息中心负责人，培训中心副主任(主持工作)，人事教育部主任、党委组织部部长，中国证券监督管理委员会党委委员、主席助理，深圳证券交易所理事会理事长、党委书记(副部长级)，中国光大集团股份公司党委副书记、副董事长、总经理。获经济学博士学位，高级经济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郝成先生，自2024年6月起任本行党委书记，2024年8月起任本行执行董事、行长。现任中国光大集团股份公司党委委员、执行董事。历任国家开发银行天津分行党委委员、副行长，国家开发银行人事局副局长、党委组织部副部长，国家开发银行吉林分行党委书记、行长，交通银行党委委员、副行长。获管理学博士学位，高级工程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资产托管部总经理贾光华先生，1994年7月在光大银行总行营业部参加工作，2005年10月调入同业机构部（后更名为金融同业部）后，先后任处长、总经理助</w:t>
      </w:r>
      <w:r>
        <w:rPr>
          <w:rFonts w:ascii="宋体" w:hAnsi="宋体"/>
          <w:sz w:val="24"/>
        </w:rPr>
        <w:lastRenderedPageBreak/>
        <w:t>理、副总经理、副总经理（主持工作），2018年5月任金融同业部总经理，2025年1月任资产托管部总经理。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（三）证券投资基金托管情况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31日，中国光大银行股份有限公司托管公开募集证券投资基金共346只，托管基金资产规模6,427.91亿元。同时，开展了证券公司资产管理计划、基金公司客户资产管理计划、职业年金、企业年金、QDII、QFII、银行理财、保险债权投资计划等资产的托管及信托公司资金信托计划、产业投资基金、股权基金等产品的保管业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（四）托管业务的内部控制制度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确保有关法律法规在基金托管业务中得到全面严格的贯彻执行；确保基金托管人有关基金托管的各项管理制度和业务操作规程在基金托管业务中得到全面严格的贯彻执行；确保基金财产安全；保证基金托管业务稳健运行；保护基金份额持有人、基金管理公司及基金托管人的合法权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（1）全面性原则。内部控制必须渗透到基金托管业务的各个操作环节，覆盖所有的岗位，不留任何死角。</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（2）预防性原则。树立“预防为主”的管理理念，从风险发生的源头加强内部控制，防患于未然，尽量避免业务操作中各种问题的产生。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（3）及时性原则。建立健全各项规章制度，采取有效措施加强内部控制。发现问题，及时处理，堵塞漏洞。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（4）独立性原则。基金托管业务内部控制机构独立于基金托管业务执行机构，业务操作人员和内控人员分开，以保证内控机构的工作不受干扰。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设有风险管理与内控合规委员会，负责全行风险管理与内部控制工作。资产托管部建立了严密的内控监督体系，设立了投资监督与内控合规处，配备了专职内控合规人员，负责证券投资基金托管业务的内控管理工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4、内部控制制度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中国光大银行股份有限公司资产托管部自成立以来严格遵照《基金法》、《中华</w:t>
      </w:r>
      <w:r>
        <w:rPr>
          <w:rFonts w:ascii="宋体" w:hAnsi="宋体"/>
          <w:sz w:val="24"/>
        </w:rPr>
        <w:lastRenderedPageBreak/>
        <w:t>人民共和国商业银行法》、《信息披露管理办法》、《运作办法》、《销售办法》等法律、法规的要求，并根据相关法律法规制订、完善了《中国光大银行资产托管业务内部控制管理办法》、《中国光大银行资产托管业务保密办法》等十余项规章制度和实施细则，将风险控制落实到每一个工作环节。中国光大银行资产托管部以控制和防范基金托管业务风险为主线，在重要岗位（基金清算、基金核算、投资监督）还建立了安全保密区，安装了录像监视系统和录音监听系统，以保障基金信息的安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和基金合同等的要求，基金托管人主要通过定性和定量相结合、事前事中和事后监督相结合、技术与人工监督相结合等方式方法，对基金投资范围、投资组合比例等每日进行监督；同时，对基金管理人就基金资产净值的计算、基金管理人和基金托管人报酬的计提和支付、基金收益分配、基金费用支付等行为的合法性、合规性进行监督和核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法律、法规和基金合同等规定的行为，及时以邮件、电话或书面等形式通知基金管理人限期纠正，基金管理人收到通知后应及时核对确认并以邮件或书面形式对基金托管人发出回函。在限期内，基金托管人有权随时对通知事项进行复查。基金管理人对基金托管人通知的违规事项未能在限期内纠正的，基金托管人应报告中国证监会。</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8" w:name="_Toc234247842"/>
      <w:r>
        <w:rPr>
          <w:rFonts w:ascii="Times New Roman" w:hAnsi="Times New Roman"/>
          <w:sz w:val="30"/>
        </w:rPr>
        <w:lastRenderedPageBreak/>
        <w:t>五、相关服务机构</w:t>
      </w:r>
      <w:bookmarkEnd w:id="8"/>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（1）名称：中信银行股份有限公司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（2）名称：宁波银行股份有限公司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住所：宁波市江东区中山东路294号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（4）名称：平安银行股份有限公司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（5）名称：兴业银行股份有限公司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联系电话：021-52629999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（6）名称：上海浦东发展银行股份有限公司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（7）名称：中国邮政储蓄银行股份有限公司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（8）名称：江苏银行股份有限公司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（9）名称：交通银行股份有限公司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住所：上海市浦东新区银城中路188号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（10）名称：国金证券股份有限公司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（11）名称：国信证券股份有限公司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（12）名称：东方财富证券股份有限公司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电话：（021）021-23586603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（13）名称：中国中金财富证券有限公司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（14）名称：山西证券股份有限公司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（15）名称：开源证券股份有限公司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（16）名称：平安证券股份有限公司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（17）名称：申万宏源证券有限公司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（18）名称：申万宏源西部证券有限公司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（19）名称：中信建投证券股份有限公司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电话：（010）56135784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（20）名称：国联民生证券股份有限公司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（21）名称：华西证券股份有限公司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（22）名称：华宝证券股份有限公司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（23）名称：华泰证券股份有限公司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（24）名称：中信证券（山东）有限责任公司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（26）名称：中信证券华南股份有限公司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传真：020-88836984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（27）名称：东方证券股份有限公司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（28）名称：北京汇成基金销售有限公司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（29）名称：蚂蚁（杭州）基金销售有限公司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（30）名称：上海基煜基金销售有限公司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（31）名称：上海利得基金销售有限公司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（32）名称：珠海盈米基金销售有限公司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（33）名称：上海天天基金销售有限公司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办公地址：上海市徐汇区宛平南路88号金座东方财富大厦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（34）名称：京东肯特瑞基金销售有限公司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（35）名称：博时财富基金销售有限公司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（36）名称：诺亚正行基金销售有限公司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电话：（021）80358523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（37）名称：泛华普益基金销售有限公司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（38）名称：和耕传承基金销售有限公司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（39）名称：深圳众禄基金销售股份有限公司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联系人：汤素娅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（40）名称：北京雪球基金销售有限公司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（41）名称：上海好买基金销售有限公司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（42）名称：嘉实财富管理有限公司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（43）名称：济安财富（北京）基金销售有限公司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住所：北京市朝阳区太阳宫中路16号院1号楼10层1005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（44）名称：腾安基金销售（深圳）有限公司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（45）名称：玄元保险代理有限公司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（46）名称：上海华夏财富投资管理有限公司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传真：010-63136184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（47）名称：上海攀赢基金销售有限公司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（48）名称：上海万得基金销售有限公司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（49）名称：上海长量基金销售有限公司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（50）名称：中信期货有限公司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法定代表人：张皓</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（51）名称：上海联泰基金销售有限公司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电话：（021）31358666</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9" w:name="_Toc234247843"/>
      <w:r>
        <w:rPr>
          <w:rFonts w:ascii="Times New Roman" w:hAnsi="Times New Roman"/>
          <w:sz w:val="30"/>
        </w:rPr>
        <w:lastRenderedPageBreak/>
        <w:t>六、基金的募集</w:t>
      </w:r>
      <w:bookmarkEnd w:id="9"/>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本基金由基金管理人依照《基金法》、《运作办法》、《销售办法》、基金合同及其他有关规定，并经中国证监会2022年7月8日证监许可【2022】1451号文准予募集注册。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本基金于2022年9月13日至2022年9月20日进行发售，本基金设立募集期共募集7,990,105,882.84份基金份额，有效认购户数为291户。</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10" w:name="_Toc234247844"/>
      <w:r>
        <w:rPr>
          <w:rFonts w:ascii="Times New Roman" w:hAnsi="Times New Roman"/>
          <w:sz w:val="30"/>
        </w:rPr>
        <w:lastRenderedPageBreak/>
        <w:t>七、基金合同的生效</w:t>
      </w:r>
      <w:bookmarkEnd w:id="10"/>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根据有关规定，本基金满足基金合同生效条件，基金合同已于2022年9月21日正式生效。自基金合同生效之日起，本基金管理人正式开始管理本基金。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11" w:name="_Toc234247845"/>
      <w:r>
        <w:rPr>
          <w:rFonts w:ascii="Times New Roman" w:hAnsi="Times New Roman"/>
          <w:sz w:val="30"/>
        </w:rPr>
        <w:lastRenderedPageBreak/>
        <w:t>八、基金份额的申购与赎回</w:t>
      </w:r>
      <w:bookmarkEnd w:id="11"/>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个人投资者可以通过基金管理人网上直销交易平台办理开户、本基金的申购、赎回、转换、定期定额投资等业务，具体交易细则请参阅基金管理人网站。网上直销交易平台网址：www.fund001.com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本基金已于2022年10月10日起开放申购、赎回业务。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每个工作日投资人在单个交易账户的本基金份额余额少于1份时，若当日该账户同时有基金份额减少类业务（如赎回、转换出等）被确认，则基金管理人有权将投资人在该账户的本基金份额一次性全部赎回。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届时发布的相关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5、基金管理人可在法律法规允许的情况下，调整申购金额和赎回份额的数量限制。基金管理人必须在调整实施前依照《信息披露办法》的有关规定在规定媒介上公告。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w:t>
      </w:r>
      <w:r>
        <w:rPr>
          <w:rFonts w:ascii="宋体" w:hAnsi="宋体"/>
          <w:sz w:val="24"/>
        </w:rPr>
        <w:lastRenderedPageBreak/>
        <w:t>的支付办法参照基金合同有关条款处理。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w:t>
      </w:r>
      <w:r>
        <w:rPr>
          <w:rFonts w:ascii="宋体" w:hAnsi="宋体"/>
          <w:sz w:val="24"/>
        </w:rPr>
        <w:lastRenderedPageBreak/>
        <w:t>有时间递减。本基金A类基金份额和C类基金份额的赎回费用由该类基金份额的基金份额持有人承担，对于持续持有期间少于7日的投资人收取的赎回费全额计入基金财产。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E66C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w:t>
            </w: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BE66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E66C9" w:rsidRDefault="00BE66C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E66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E66C9" w:rsidRDefault="00BE66C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5、当本基金发生大额申购或赎回情形时，基金管理人可以采用摆动定价机制，以确保基金估值的公平性。具体处理原则与操作规范遵循相关法律法规以及监管部门、自律规则的规定。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（注：对于适用固定金额申购费用的申购，净申购金额＝申购总金额－固定申购费用金额）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例四：某投资者（非养老金客户）投资100,000元申购本基金的A类基金份额，假设申购当日A类基金份额净值为1.0400元，申购费率为0.3%，则其可得到的申购份额为：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净申购金额=100,000/（1+0.3%）=99,700.90元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申购费用=100,000-99,700.90=299.10元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申购份额=（100,000-299.10）/1.0400=95,866.25份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即：某投资者（非养老金客户）投资100,000元申购本基金的A类基金份额，假设申购当日A类基金份额净值为1.0400元，则其可得到95,866.25份A类基金份额。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例五：某养老金客户投资100,000元通过基金管理人的直销柜台申购本基金的A类基金份额，假设申购当日A类基金份额净值为1.0400元，申购费率为0.12%，则其可得到的申购份额为：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净申购金额=100,000/（1+0.12%）=99,880.14元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申购费用=100,000-99,880.14=119.86元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申购份额=（100,000-119.86）/1.0400=96,038.60份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即：该养老金客户投资100,000元通过基金管理人的直销柜台申购本基金的A类基金份额，假设申购当日A类基金份额净值为1.0400元，则其可得到96,038.60份A类基金份额。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申购份额＝100,000/1.0400＝96,153.85份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或C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例七：某投资者赎回100,000份A类基金份额，持有5日，对应的赎回费率为1.5%，假设赎回当日A类基金份额净值是1.0160元，则其可得到的赎回金额为：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赎回费用=100,000×1.0160×1.5%＝1,524.00元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赎回金额=100,000×1.0160-1,524.00＝100,076.00元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即：投资者赎回100,000份A类基金份额，持有5日，对应的赎回费率为1.5%，假设赎回当日A类基金份额净值是1.0160元，则其可得到的赎回金额为100,076.00元。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例八：某投资者赎回100,000份C类基金份额，持有50日，对应的赎回费率为0，假设赎回当日C类基金份额净值是1.0160元，则其可得到的赎回金额为：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赎回金额=100,000×1.0160-0.00＝101,600.00元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即：投资者赎回100,000份C类基金份额，持有50日，对应的赎回费率为0，假设赎回当日C类基金份额净值是1.0160元，则其可得到的赎回金额为101,600.00元。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4、基金份额净值的计算公式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份额净值的计算，保留到小数点后4位，小数点后第5位四舍五入，由此产生的收益或损失由基金财产承担。T日的基金份额净值在当天收市后计算，并在T+1日（包括该日）内公告。遇特殊情况，经履行适当程序，可以适当延迟计算或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w:t>
      </w:r>
      <w:r>
        <w:rPr>
          <w:rFonts w:ascii="宋体" w:hAnsi="宋体"/>
          <w:sz w:val="24"/>
        </w:rPr>
        <w:lastRenderedPageBreak/>
        <w:t>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w:t>
      </w:r>
      <w:r>
        <w:rPr>
          <w:rFonts w:ascii="宋体" w:hAnsi="宋体"/>
          <w:sz w:val="24"/>
        </w:rPr>
        <w:lastRenderedPageBreak/>
        <w:t>赎回申请一并办理。但是，如基金份额持有人在当日选择取消赎回，则其当日未获受理的部分赎回申请将被撤销。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w:t>
      </w:r>
      <w:r>
        <w:rPr>
          <w:rFonts w:ascii="宋体" w:hAnsi="宋体"/>
          <w:sz w:val="24"/>
        </w:rPr>
        <w:lastRenderedPageBreak/>
        <w:t>售机构可以按照规定的标准收取转托管费。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本基金2022年9月29日刊登公告自2022年10月10日起开通定期定额投资计划业务，具体开通销售机构名单和业务规则参见相关公告。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12" w:name="_Toc234247846"/>
      <w:r>
        <w:rPr>
          <w:rFonts w:ascii="Times New Roman" w:hAnsi="Times New Roman"/>
          <w:sz w:val="30"/>
        </w:rPr>
        <w:lastRenderedPageBreak/>
        <w:t>九、基金的转换</w:t>
      </w:r>
      <w:bookmarkEnd w:id="12"/>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本基金2022年9月29日刊登公告自2022年10月10日起开放日常转换业务。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w:t>
      </w:r>
      <w:r>
        <w:rPr>
          <w:rFonts w:ascii="宋体" w:hAnsi="宋体"/>
          <w:sz w:val="24"/>
        </w:rPr>
        <w:lastRenderedPageBreak/>
        <w:t>阅本基金管理人网站。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5、本基金管理人可以根据法律法规及基金合同的规定对上述转换费用收费方式和费率进行调整，并应于调整后的收费方式和费率实施前依照《信息披露办法》的有关规定在中国证监会规定媒介上公告。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转出基金申购费用=转入确认金额×转出基金申购费率/（1+转出基金申购费率）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转入基金申购费用=转入确认金额×转入基金申购费率/（1+转入基金申购费率）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转出与转入基金的申购补差费=MAX（0，转入基金申购费用-转出基金申购费用）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稳利A类基金份额100,000份，持有期半年，转换申请当日交银稳利的A类基金份额净值为1.0100元，交银现金宝A类基金份额的基金份额净值为1.00元。若该投资者将100,000份交银稳利A类基金份额转换为交银现金宝A类基金份额，则转入交银现金宝确认的A类基金份额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转入确认金额=101,000-0=101,000元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转出基金申购费用=101,000×0.30%/（1+0.30%）=302.09元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转入基金确认份额=（101,000-0）/1.00=101,000份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现金宝A类基金份额100,000份，该100,000份基金份额未结转的待支付收益为61.52元，转换申请当日交银现金宝的A类基金份额净值为1.00元，交银稳利的A类基金份额净值为1.0100元。若该投资者将100,000份交银现金宝A类基金份额转换为交银稳利A类基金份额，则转入交银稳利确认的A类基金份额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转入基金申购费用=100,000×0.30%/（1+0.30%）=299.10元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转出与转入基金的申购补差费=299.10-0=299.10元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转入基金确认份额=（100,000-299.10+61.52）/1.0100=98,774.67份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w:t>
      </w:r>
      <w:r>
        <w:rPr>
          <w:rFonts w:ascii="宋体" w:hAnsi="宋体"/>
          <w:sz w:val="24"/>
        </w:rPr>
        <w:lastRenderedPageBreak/>
        <w:t>将自转入基金份额被确认日起重新开始计算。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13" w:name="_Toc234247847"/>
      <w:r>
        <w:rPr>
          <w:rFonts w:ascii="Times New Roman" w:hAnsi="Times New Roman"/>
          <w:sz w:val="30"/>
        </w:rPr>
        <w:lastRenderedPageBreak/>
        <w:t>十、基金的投资</w:t>
      </w:r>
      <w:bookmarkEnd w:id="13"/>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在严格控制风险和保持较高流动性的前提下，力求获得高于业绩比较基准的投资收益。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基金投资的其他金融工具（但须符合中国证监会相关规定）。本基金不投资于股票等权益类资产，也不投资于可转换债券（可分离交易可转债的纯债部分除外）、可交换债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短期债券是指剩余期限不超过397天(含397天)的债券资产，包括国债、金融债、央行票据、地方政府债、政府支持债、政府支持机构债、企业债、公司债、可分离交易可转债的纯债部分、公开发行的次级债、短期融资券、超短期融资券、中期票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w:t>
      </w:r>
      <w:r>
        <w:rPr>
          <w:rFonts w:ascii="宋体" w:hAnsi="宋体"/>
          <w:sz w:val="24"/>
        </w:rPr>
        <w:lastRenderedPageBreak/>
        <w:t>性、供求关系和收益率水平等，自下而上精选投资标的。本基金采用的主要策略包括：</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（5）信用债券（含资产支持证券，下同）投资策略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②信用债券筛选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动投资的信用债（含资产支持证券）为信用评级在AA+级（含）以上的信用债（含资产支持证券），对信用评级的认定参照基金管理人选定的评级机构出具的信用评级，其中，信用债的信用评级依照评级机构出具的债项信用评级，若无债项信用评级的或债项信用评级为A-1的，依照其主体信用评级。本基金投资于评级AA+的信用债比例不高于信用债资产的50%，投资于评级AAA的信用债比例不低于信用债资产的50%。因信用评级下降、证券市场波动、基金规模变动等基金管理人之外的因素致使基金投资比例不符合上述规定的，基金管理人应当在评级报告发布之日或不符合上述规定之日起3个月内进行调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未来，随着投资工具的发展和丰富，基金管理人可以在不改变投资目标的前提下，相应调整和更新相关投资策略，并在招募说明书中更新，而无需召开基金份额持有人大会。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（1）本基金投资于债券资产的比例不低于基金资产的80%，其中投资于短期债券的比例不低于非现金资产的80%；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（2）本基金持有的现金或到期日在一年以内的政府债券的比例合计不低于基金资产净值的5%，其中现金不包括结算备付金、存出保证金、应收申购款等；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w:t>
      </w:r>
      <w:r>
        <w:rPr>
          <w:rFonts w:ascii="宋体" w:hAnsi="宋体"/>
          <w:sz w:val="24"/>
        </w:rPr>
        <w:lastRenderedPageBreak/>
        <w:t>金资产净值的10％；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（13）本基金资产总值不超过基金资产净值的140%；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11）、（12）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w:t>
      </w:r>
      <w:r>
        <w:rPr>
          <w:rFonts w:ascii="宋体" w:hAnsi="宋体"/>
          <w:sz w:val="24"/>
        </w:rPr>
        <w:lastRenderedPageBreak/>
        <w:t>本基金投资不再受相关限制。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中债综合财富（1年以下）指数收益率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财富（1年以下）指数是中央国债登记结算有限责任公司编制的综合反映银行间债券市场和沪深交易所债券市场的跨市场短期债券指数，对短期债券价格变动趋势有较强的代表性。该指数合理、透明、公开，具有较好的市场接受度，作为衡量本基金比较基准较为合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本基金是一只债券型基金，其预期风险与预期收益理论上高于货币市场基金，低于混合型基金和股票型基金。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（七）基金管理人代表基金行使债权人权利的处理原则及方法</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本基金托管人中国光大银行股份有限公司根据本基金合同规定，于2026年04月20日复核了本报告中的财务指标、净值表现和投资组合报告等内容，保证复核内容不存在虚假记载、误导性陈述或者重大遗漏。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5,019,745,871.54</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99.53</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5,009,740,956.47</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99.33</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10,004,915.07</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22,254,939.45</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1,451,025.10</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5,043,451,836.09</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1,131,128,226.54</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23.65</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312,200,106.53</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6.53</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459,014,593.99</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9.60</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1,721,255,053.18</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35.99</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1,698,343,082.76</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35.51</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5,009,740,956.47</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104.75</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292480011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加拿大银行债</w:t>
            </w:r>
            <w:r>
              <w:rPr>
                <w:rFonts w:ascii="Times New Roman" w:hAnsi="Times New Roman"/>
                <w:color w:val="000000"/>
                <w:kern w:val="0"/>
                <w:sz w:val="25"/>
                <w:szCs w:val="24"/>
              </w:rPr>
              <w:t>02BC</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1,700,000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172,692,427.40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3.61</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292480030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中银香港债</w:t>
            </w:r>
            <w:r>
              <w:rPr>
                <w:rFonts w:ascii="Times New Roman" w:hAnsi="Times New Roman"/>
                <w:color w:val="000000"/>
                <w:kern w:val="0"/>
                <w:sz w:val="25"/>
                <w:szCs w:val="24"/>
              </w:rPr>
              <w:t>01BC</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1,200,000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121,178,794.52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2.53</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2220029</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温州银行二级</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102,951,134.25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2.15</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250361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进出</w:t>
            </w: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80,068,876.40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1.67</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102483251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永川高新</w:t>
            </w:r>
            <w:r>
              <w:rPr>
                <w:rFonts w:ascii="Times New Roman" w:hAnsi="Times New Roman"/>
                <w:color w:val="000000"/>
                <w:kern w:val="0"/>
                <w:sz w:val="25"/>
                <w:szCs w:val="24"/>
              </w:rPr>
              <w:t>MTN003</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71,471,656.99</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1.49</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数量（份）</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268003</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平</w:t>
            </w:r>
            <w:r>
              <w:rPr>
                <w:rFonts w:ascii="Times New Roman" w:hAnsi="Times New Roman"/>
                <w:color w:val="000000"/>
                <w:kern w:val="0"/>
                <w:sz w:val="25"/>
                <w:szCs w:val="24"/>
              </w:rPr>
              <w:t>8A1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10,004,915.07</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2026年03月05日,国家外汇管理局北京市分局公示京汇罚[2026]14号行政处罚决定书,给予中国进出口银行罚没共计221.24万元人民币的行政处罚。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2025年09月15日,国家金融监督管理总局温州监管分局公示行政处罚决定书,给予温州银行股份有限公司100万元人民币的行政处罚。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2025年09月12日,国家金融监督管理总局公示行政处罚决定书,给予中国进出口银行130万元人民币的行政处罚。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2025年07月14日,国家金融监督管理总局温州监管分局公示行政处罚决定书,给予温州银行股份有限公司35万元人民币的行政处罚。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2025年06月27日,国家金融监督管理总局公示行政处罚决定书,给予中国进出口银行1810万元人民币的行政处罚。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2025年04月25日,央行温州市分行公示温银罚决字[2025]2号行政处罚决定书,给予温州银行股份有限公司225万元人民币的行政处罚。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25,165.43</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1,425,859.67</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right"/>
              <w:rPr>
                <w:rFonts w:ascii="宋体" w:hAnsi="宋体"/>
                <w:color w:val="000000"/>
                <w:kern w:val="0"/>
                <w:sz w:val="25"/>
                <w:szCs w:val="24"/>
              </w:rPr>
            </w:pPr>
            <w:r>
              <w:rPr>
                <w:rFonts w:ascii="Times New Roman" w:hAnsi="Times New Roman"/>
                <w:color w:val="000000"/>
                <w:kern w:val="0"/>
                <w:sz w:val="25"/>
                <w:szCs w:val="24"/>
              </w:rPr>
              <w:t>1,451,025.10</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由于四舍五入的原因，分项之和与合计项之间可能存在尾差。</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14" w:name="_Toc234247848"/>
      <w:r>
        <w:rPr>
          <w:rFonts w:ascii="Times New Roman" w:hAnsi="Times New Roman"/>
          <w:sz w:val="30"/>
        </w:rPr>
        <w:lastRenderedPageBreak/>
        <w:t>十一、基金的业绩</w:t>
      </w:r>
      <w:bookmarkEnd w:id="14"/>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（1）交银稳益短债债券A：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2.78%</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3.77%</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（2）交银稳益短债债券C：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2.55%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3.55%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E66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bl>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注：本基金的业绩比较基准为中债综合财富（1年以下）指数收益率。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BE66C9" w:rsidRDefault="008F490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交银施罗德稳益短债债券型证券投资基金</w:t>
      </w:r>
    </w:p>
    <w:p w:rsidR="00BE66C9" w:rsidRDefault="008F490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BE66C9" w:rsidRDefault="008F490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（2022年09月21日至2026年03月31日）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1．交银稳益短债债券A</w:t>
      </w:r>
    </w:p>
    <w:p w:rsidR="00BE66C9" w:rsidRDefault="007057F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2．交银稳益短债债券C</w:t>
      </w:r>
    </w:p>
    <w:p w:rsidR="00BE66C9" w:rsidRDefault="007057F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15" w:name="_Toc234247849"/>
      <w:r>
        <w:rPr>
          <w:rFonts w:ascii="Times New Roman" w:hAnsi="Times New Roman"/>
          <w:sz w:val="30"/>
        </w:rPr>
        <w:lastRenderedPageBreak/>
        <w:t>十二、基金的财产</w:t>
      </w:r>
      <w:bookmarkEnd w:id="15"/>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基金资产总值是指基金拥有的各类有价证券、银行存款本息、基金应收款项及其他资产的价值总和。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16" w:name="_Toc234247850"/>
      <w:r>
        <w:rPr>
          <w:rFonts w:ascii="Times New Roman" w:hAnsi="Times New Roman"/>
          <w:sz w:val="30"/>
        </w:rPr>
        <w:lastRenderedPageBreak/>
        <w:t>十三、基金资产的估值</w:t>
      </w:r>
      <w:bookmarkEnd w:id="16"/>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基金所拥有的债券、资产支持证券和其他投资等持续以公允价值计量的金融资产及负债。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市场上市交易或挂牌转让的固定收益品种（另有规定的除外），选取第三方估值机构提供的相应品种当日的估值净价进行估值；交易所上市实行全价交易的债券（可转债除外），选取第三方估值机构提供的估值全价减去估值全价中所含的债券应收利息得到的净价进行估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（2）交易所上市交易的可转换债券以每日收盘价作为估值全价；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（3）交易所上市不存在活跃市场的有价证券，采用估值技术确定公允价值。交易所市场挂牌转让的资产支持证券，采用估值技术确定公允价值。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采用估值技术确定公允价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7、对于因税收规定调整或其他原因导致产品实际交纳税金与估算的应交税金有差异的，产品将在相关税金调整日或实际支付日进行相应的会计处理。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w:t>
      </w:r>
      <w:r>
        <w:rPr>
          <w:rFonts w:ascii="宋体" w:hAnsi="宋体"/>
          <w:sz w:val="24"/>
        </w:rPr>
        <w:lastRenderedPageBreak/>
        <w:t>题，如经相关各方在平等基础上充分讨论后，仍无法达成一致的意见，按照基金管理人对基金净值信息的计算结果对外予以公布。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2、估值错误处理原则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w:t>
      </w:r>
      <w:r>
        <w:rPr>
          <w:rFonts w:ascii="宋体" w:hAnsi="宋体"/>
          <w:sz w:val="24"/>
        </w:rPr>
        <w:lastRenderedPageBreak/>
        <w:t>金托管人，并采取合理的措施防止损失进一步扩大。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17" w:name="_Toc234247851"/>
      <w:r>
        <w:rPr>
          <w:rFonts w:ascii="Times New Roman" w:hAnsi="Times New Roman"/>
          <w:sz w:val="30"/>
        </w:rPr>
        <w:lastRenderedPageBreak/>
        <w:t>十四、基金收益与分配</w:t>
      </w:r>
      <w:bookmarkEnd w:id="17"/>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18" w:name="_Toc234247852"/>
      <w:r>
        <w:rPr>
          <w:rFonts w:ascii="Times New Roman" w:hAnsi="Times New Roman"/>
          <w:sz w:val="30"/>
        </w:rPr>
        <w:lastRenderedPageBreak/>
        <w:t>十五、基金的费用与税收</w:t>
      </w:r>
      <w:bookmarkEnd w:id="18"/>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经基金管理人授权后，由基金托管人根据与基金管理人核对一致的财务数据，自动在月初5个工作日内、按照指定的账户路径进行资金支付，基金管理人无需再出具资金划拨指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本基金的托管费按前一日基金资产净值的0.1%年费率计提。托管费的计算方法如下：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H＝E×0.1%÷当年天数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经基金管理人授权后，由基金托管人根据与基金管理人核对一致的财务数据，自动在月初5个工作日内、按照指定的账户路径进行资金支付，基金管理人无需再出具资金划拨指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本基金A类基金份额不收取销售服务费，C类基金份额的销售服务费按前一日C类基金资产净值的0.2%年费率计提。计算方法如下：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每日计提，按月支付，经基金管理人授权后，由基金托管人根据与基金管理人核对一致的财务数据，自动在月初5个工作日内、按照指定的账户路径进行资金支付，基金管理人无需再出具资金划拨指令。若遇法定节假日、休息日或不可抗力致使无法按时支付的，顺延至最近可支付日支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（三）不列入基金费用的项目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19" w:name="_Toc234247853"/>
      <w:r>
        <w:rPr>
          <w:rFonts w:ascii="Times New Roman" w:hAnsi="Times New Roman"/>
          <w:sz w:val="30"/>
        </w:rPr>
        <w:lastRenderedPageBreak/>
        <w:t>十六、基金的会计与审计</w:t>
      </w:r>
      <w:bookmarkEnd w:id="19"/>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20" w:name="_Toc234247854"/>
      <w:r>
        <w:rPr>
          <w:rFonts w:ascii="Times New Roman" w:hAnsi="Times New Roman"/>
          <w:sz w:val="30"/>
        </w:rPr>
        <w:lastRenderedPageBreak/>
        <w:t>十七、基金的信息披露</w:t>
      </w:r>
      <w:bookmarkEnd w:id="20"/>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w:t>
      </w:r>
      <w:r>
        <w:rPr>
          <w:rFonts w:ascii="宋体" w:hAnsi="宋体"/>
          <w:sz w:val="24"/>
        </w:rPr>
        <w:lastRenderedPageBreak/>
        <w:t>站上，并将清算报告提示性公告登载在规定报刊上。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12、实施侧袋机制期间的信息披露</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w:t>
      </w:r>
      <w:r>
        <w:rPr>
          <w:rFonts w:ascii="宋体" w:hAnsi="宋体"/>
          <w:sz w:val="24"/>
        </w:rPr>
        <w:lastRenderedPageBreak/>
        <w:t>常投资操作的前提下，自主提升信息披露服务的质量。具体要求应当符合中国证监会及自律规则的相关规定。前述自主披露如产生信息披露费用，该费用不得从基金财产中列支。</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21" w:name="_Toc234247855"/>
      <w:r>
        <w:rPr>
          <w:rFonts w:ascii="Times New Roman" w:hAnsi="Times New Roman"/>
          <w:sz w:val="30"/>
        </w:rPr>
        <w:lastRenderedPageBreak/>
        <w:t>十八、侧袋机制</w:t>
      </w:r>
      <w:bookmarkEnd w:id="21"/>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E66C9" w:rsidRDefault="008F490F">
      <w:pPr>
        <w:pStyle w:val="1"/>
        <w:snapToGrid w:val="0"/>
        <w:spacing w:beforeLines="0" w:before="240" w:after="240"/>
        <w:rPr>
          <w:rFonts w:ascii="宋体" w:hAnsi="宋体"/>
          <w:szCs w:val="30"/>
        </w:rPr>
      </w:pPr>
      <w:bookmarkStart w:id="22" w:name="_Toc234247856"/>
      <w:r>
        <w:rPr>
          <w:rFonts w:ascii="Times New Roman" w:hAnsi="Times New Roman"/>
          <w:sz w:val="30"/>
        </w:rPr>
        <w:lastRenderedPageBreak/>
        <w:t>十九、风险揭示</w:t>
      </w:r>
      <w:bookmarkEnd w:id="22"/>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10%时，投资人将可能无法及时赎回持有的全部基金份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w:t>
      </w:r>
      <w:r>
        <w:rPr>
          <w:rFonts w:ascii="宋体" w:hAnsi="宋体"/>
          <w:sz w:val="24"/>
        </w:rPr>
        <w:lastRenderedPageBreak/>
        <w:t>自行负担。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化。虽然基金可以通过投资多样化来分散这种非系统风险，但不能完全规避。</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w:t>
      </w:r>
      <w:r>
        <w:rPr>
          <w:rFonts w:ascii="宋体" w:hAnsi="宋体"/>
          <w:sz w:val="24"/>
        </w:rPr>
        <w:lastRenderedPageBreak/>
        <w:t>范型交易场所，主要投资对象为具有良好流动性的金融工具（包括国内依法发行上市的债券和货币市场工具等），同时本基金基于分散投资的原则在个券方面未有高集中度的特征，综合评估在正常市场环境下本基金的流动性风险适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w:t>
      </w:r>
      <w:r>
        <w:rPr>
          <w:rFonts w:ascii="宋体" w:hAnsi="宋体"/>
          <w:sz w:val="24"/>
        </w:rPr>
        <w:lastRenderedPageBreak/>
        <w:t>赎回金额，以此类推，直到全部赎回为止。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3、基金合同提前终止风险。连续50个工作日出现基金份额持有人数量不满200人或者基金资产净值低于5000万元情形的，基金合同终止，不需召开基金份额持有人大会。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（六）投资资产支持证券的特定风险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（七）本基金法律文件风险收益特征表述与销售机构基金风险评价可能不一致的风险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（八）其他风险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2、因基金业务快速发展，在制度建设、人员配备、内控制度建立等方面的不完善产生的风险；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23" w:name="_Toc234247857"/>
      <w:r>
        <w:rPr>
          <w:rFonts w:ascii="Times New Roman" w:hAnsi="Times New Roman"/>
          <w:sz w:val="30"/>
        </w:rPr>
        <w:lastRenderedPageBreak/>
        <w:t>二十、基金合同的变更、终止与基金财产的清算</w:t>
      </w:r>
      <w:bookmarkEnd w:id="23"/>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24" w:name="_Toc234247858"/>
      <w:r>
        <w:rPr>
          <w:rFonts w:ascii="Times New Roman" w:hAnsi="Times New Roman"/>
          <w:sz w:val="30"/>
        </w:rPr>
        <w:lastRenderedPageBreak/>
        <w:t>二十一、基金合同内容摘要</w:t>
      </w:r>
      <w:bookmarkEnd w:id="24"/>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（二）基金份额持有人大会召集、议事及表决的程序和规则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（1）当出现或需要决定下列事由之一的，应当召开基金份额持有人大会，法律法规、中国证监会或基金合同另有规定的除外：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w:t>
      </w:r>
      <w:r>
        <w:rPr>
          <w:rFonts w:ascii="宋体" w:hAnsi="宋体"/>
          <w:sz w:val="24"/>
        </w:rPr>
        <w:lastRenderedPageBreak/>
        <w:t>回费率、在对现有基金份额持有人利益无实质性不利影响的前提下变更收费方式；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w:t>
      </w:r>
      <w:r>
        <w:rPr>
          <w:rFonts w:ascii="宋体" w:hAnsi="宋体"/>
          <w:sz w:val="24"/>
        </w:rPr>
        <w:lastRenderedPageBreak/>
        <w:t>提议之日起10日内决定是否召集，并书面告知提出提议的基金份额持有人代表和基金管理人；基金托管人决定召集的，应当自出具书面决定之日起60日内召开，并告知基金管理人，基金管理人应当配合；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4、基金份额持有人出席会议的方式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w:t>
      </w:r>
      <w:r>
        <w:rPr>
          <w:rFonts w:ascii="宋体" w:hAnsi="宋体"/>
          <w:sz w:val="24"/>
        </w:rPr>
        <w:lastRenderedPageBreak/>
        <w:t>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w:t>
      </w:r>
      <w:r>
        <w:rPr>
          <w:rFonts w:ascii="宋体" w:hAnsi="宋体"/>
          <w:sz w:val="24"/>
        </w:rPr>
        <w:lastRenderedPageBreak/>
        <w:t>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9、实施侧袋机制期间基金份额持有人大会的特殊约定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1、《基金合同》的变更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由败诉方承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《基金合同》受中国法律（不含港澳台地区法律）管辖。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25" w:name="_Toc234247859"/>
      <w:r>
        <w:rPr>
          <w:rFonts w:ascii="Times New Roman" w:hAnsi="Times New Roman"/>
          <w:sz w:val="30"/>
        </w:rPr>
        <w:lastRenderedPageBreak/>
        <w:t>二十二、托管协议的内容摘要</w:t>
      </w:r>
      <w:bookmarkEnd w:id="25"/>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名称：中国光大银行股份有限公司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成立日期：1992年6月18日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批准设立机关和批准设立文号：国务院、国函[1992]7号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注册资本：466.79095亿元人民币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基金托管资格批文及文号：证监基金字[2002]75号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1、基金托管人根据有关法律法规的规定及基金合同的约定，对基金投资范围、投资比例进行监督。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w:t>
      </w:r>
      <w:r>
        <w:rPr>
          <w:rFonts w:ascii="宋体" w:hAnsi="宋体"/>
          <w:sz w:val="24"/>
        </w:rPr>
        <w:lastRenderedPageBreak/>
        <w:t>分离交易可转债的纯债部分、公开发行的次级债、短期融资券、超短期融资券、中期票据）、资产支持证券、债券回购、银行存款（包括定期存款、协议存款、通知存款等）、同业存单、货币市场工具以及法律法规或中国证监会允许基金投资的其他金融工具（但须符合中国证监会相关规定）。本基金不投资于股票等权益类资产，也不投资于可转换债券（可分离交易可转债的纯债部分除外）、可交换债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短期债券是指剩余期限不超过397天(含397天)的债券资产，包括国债、金融债、央行票据、地方政府债、政府支持债、政府支持机构债、企业债、公司债、可分离交易可转债的纯债部分、公开发行的次级债、短期融资券、超短期融资券、中期票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（1）本基金投资于债券资产的比例不低于基金资产的80%，其中投资于短期债券的比例不低于非现金资产的80%；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（2）本基金持有的现金或到期日在一年以内的政府债券的比例合计不低于基金资产净值的5%，其中现金不包括结算备付金、存出保证金、应收申购款等；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w:t>
      </w:r>
      <w:r>
        <w:rPr>
          <w:rFonts w:ascii="宋体" w:hAnsi="宋体"/>
          <w:sz w:val="24"/>
        </w:rPr>
        <w:lastRenderedPageBreak/>
        <w:t>20％；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（13）本基金资产总值不超过基金资产净值的140%；</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11）、（12）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w:t>
      </w:r>
      <w:r>
        <w:rPr>
          <w:rFonts w:ascii="宋体" w:hAnsi="宋体"/>
          <w:sz w:val="24"/>
        </w:rPr>
        <w:lastRenderedPageBreak/>
        <w:t>十五条第（十二）款基金投资禁止行为进行监督。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事后监督基金管理人是否按事前提供的银行间债券市场交易对手名单进行交易。基金管理人可以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与基金托管人协商解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相应损失和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投资银行定期存款应符合相关法律法规约定。基金管理人在投资银行定期存款的过程中，必须符合基金合同就投资品种、投资比例、存款期限等方面的限制。基金管理人应基于审慎原则评估存款银行信用风险并据此选择存款银行。因基金管理人违反上述原则给基金造成的损失，基金托管人不承担相应责任。开立定期存款账户时，定期存款账户的户名应与托管账户户名一致。对于跨行定期</w:t>
      </w:r>
      <w:r>
        <w:rPr>
          <w:rFonts w:ascii="宋体" w:hAnsi="宋体"/>
          <w:sz w:val="24"/>
        </w:rPr>
        <w:lastRenderedPageBreak/>
        <w:t>存款投资，基金管理人必须和存款机构签订定期存款协议，约定双方的权利和义务，该协议作为划款指令附件。该协议中必须体现如下条款：“存款证实书不得被质押或以任何方式被抵押，并不得用于转让和背书；本息到期归还或提前支取的所有款项必须划至托管专户（明确户名、开户行、账号等），不得划入其他任何账户”，并依照本协议交接原则对存单交接流程予以明确。对于跨行存款，基金管理人需提前与基金托管人就定期存款协议及存单交接流程进行沟通。在取得存款证实书后，基金托管人保管证实书正本。基金托管人不对跨行存款的利率政策风险、存款行的选择及存款协议承担责任，基金管理人指定专人在核实存款行授权人员身份信息后，负责印鉴卡与存款证实书等凭证的监交或交接，以确保与基金托管人所交接凭证的真实性、准确性和完整性。基金托管人对投资后处于基金托管人实际控制之外的资产不承担保管责任。跨行定期存款账户的预留印鉴为基金托管人托管业务专用章与托管业务授权人名章。</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如果基金管理人未经基金托管人的审核擅自将不实的业绩表现数据印制在宣传推介材料上，则基金托管人对此不承担相应责任，并将在发现后立即报告中国证监会。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基金管理人收到书面通知后应在下一工作日及时核对并以书面形式给基金托管人发出回函，就基金托管人合理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基金托管人发出的书面提示，基金管理人应在规定时间内答复并改正，或就基金托管人合理的疑义进行解释或举证；对基金托管人按照法律法规、基金合同和本托管协议的要求需向中国证监会报送基金监督报告的事项，基金管理人应积极配合提供相关数据资料和制度等。</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基金管理人无正当理由，拒绝、阻挠对方根据本托管协议规定行使监督权，或采取拖延、欺诈等手段妨碍对方进行有效监督，情节严重或经基金托管人提出警告仍不改正的，基金托管人应报告中国证监会。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11、侧袋机制的实施和投资运作安排</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侧袋机制实施期间，本部分约定的投资组合比例、组合限制等约定仅适用于主袋账户。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以及投资所需的其他专用账户、复核基金管理人计算的各类基金份额的基金资产净值和基金份额净值、根据基金管理人指令办理清算交收、相关信息披露和监督基金投资运作等行为。</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基金托管人收到通知后应及时核对并以书面形式给基金管理人发出回函，说明</w:t>
      </w:r>
      <w:r>
        <w:rPr>
          <w:rFonts w:ascii="宋体" w:hAnsi="宋体"/>
          <w:sz w:val="24"/>
        </w:rPr>
        <w:lastRenderedPageBreak/>
        <w:t>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基金托管人无正当理由，拒绝、阻挠对方根据本协议规定行使监督权，或采取拖延、欺诈等手段妨碍对方进行有效监督，情节严重或经基金管理人提出警告仍不改正的，基金管理人应报告中国证监会。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（3）基金托管人按照规定开设基金财产的资金账户、证券账户以及投资所需的其他专用账户；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财产的损失，基金托管人对基金管理人的追偿行为应予以必要的协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（1）基金募集期间募集的资金应存于基金管理人开立的“基金募集专户”。该账户由基金管理人开立并管理。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w:t>
      </w:r>
      <w:r>
        <w:rPr>
          <w:rFonts w:ascii="宋体" w:hAnsi="宋体"/>
          <w:sz w:val="24"/>
        </w:rPr>
        <w:lastRenderedPageBreak/>
        <w:t>额、基金份额持有人人数符合《基金法》、《运作办法》等有关规定后，基金管理人应将属于基金财产的全部资金划入基金托管人为本基金开立的基金托管专户，同时在规定时间内，聘请符合《中华人民共和国证券法》规定的会计师事务所进行验资，出具验资报告。出具的验资报告由参加验资的2名或2名以上中国注册会计师签字方为有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（3）若基金募集期限届满或基金停止募集时，未能达到基金合同生效的条件，由基金管理人按规定办理退款等事宜，基金托管人应提供充分协助。</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的名义在其营业机构开设基金托管专户，保管基金的银行存款。本基金的一切货币收支活动，包括但不限于投资、支付赎回金额、支付基金收益、收取申购款，均需通过基金托管专户进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（2）基金托管专户的开立和使用，限于满足开展本基金业务的需要。基金托管人和基金管理人不得假借本基金的名义开立任何其他银行账户；亦不得使用基金的任何账户进行本基金业务以外的活动。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（3）基金托管专户的开立和管理应符合有关法律法规以及银行业监督管理机构的其他有关规定。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交收价差资金等的收取按照中国证券登记结算有限责任公司的规定执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w:t>
      </w:r>
      <w:r>
        <w:rPr>
          <w:rFonts w:ascii="宋体" w:hAnsi="宋体"/>
          <w:sz w:val="24"/>
        </w:rPr>
        <w:lastRenderedPageBreak/>
        <w:t>管人比照上述关于账户开立、使用的规定执行。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5、银行间债券托管专户的开设和管理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负责根据中国人民银行、银行间市场登记结算机构的有关规定，以本基金的名义在中央国债登记结算有限责任公司和银行间市场清算所股份有限公司开设银行间债券市场债券托管账户，并代表基金进行银行间市场债券的结算。基金管理人和基金托管人共同代表基金签订全国银行间债券市场债券回购主协议，基金托管人保管协议正本，基金管理人保存协议副本。</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签订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法律法规等有关规定对相关账户的开立和管理另有规定的，从其规定办理。</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存款开户证实书等有价凭证的购买和转让，由基金管理人和基金托管人共同办理。基金托管人对由基金托管人及基金托管人委托保管的机构以外机构实际有效控制的证券不承担保管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通过传真、电子邮件或双方认可的其</w:t>
      </w:r>
      <w:r>
        <w:rPr>
          <w:rFonts w:ascii="宋体" w:hAnsi="宋体"/>
          <w:sz w:val="24"/>
        </w:rPr>
        <w:lastRenderedPageBreak/>
        <w:t>他书面形式给基金托管人，并在30个工作日内将正本送达基金托管人处。重大合同的保管期限不低于法律法规规定的最低期限。</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对于无法取得二份以上正本的，基金管理人应向基金托管人提供与合同原件核对一致的加盖公章的合同传真件或复印件，未经双方协商一致或未在合同约定范围内，合同原件不得转移。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费用的不同，本基金各类基金份额将分别计算基金份额净值。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基金管理人应每个工作日计算各类基金份额的基金资产净值及基金份额净值，并按规定公告。如遇特殊情况，经履行适当程序，可以适当延迟计算或公告。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净值信息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基金托管人对该结果不承认相应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或基金管理人委托的登记机构应定期向基金托管人提供基金份额持有人名册，基金托管人得到基金管理人提供的持有人名册后与基金管理人分别进行保管。保管方式</w:t>
      </w:r>
      <w:r>
        <w:rPr>
          <w:rFonts w:ascii="宋体" w:hAnsi="宋体"/>
          <w:sz w:val="24"/>
        </w:rPr>
        <w:lastRenderedPageBreak/>
        <w:t>可以采用电子或文档的形式，保存期限不低于法律法规规定的最低期限。如不能妥善保管，则按相关法规承担责任。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因编制基金定期报告等合理原因要求基金管理人提供相关资料时，基金管理人应将有关资料送交基金托管人，不得无故拒绝或延误提供，并保证其真实性、准确性和完整性。基金托管人不得将所保管的基金份额持有人名册用于基金托管业务以外的其他用途，并应遵守保密义务，法律法规另有规定或有权机关另有要求的除外。</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基金合同及本协议而产生的或与基金合同或本协议有关的一切争议，如经友好协商未能解决的，任何一方均有权将争议提交上海国际经济贸易仲裁委员会，按照该会届时有效的仲裁规则进行仲裁。仲裁地点为上海市。仲裁裁决是终局的，对双方当事人均有约束力，仲裁费用由败诉方承担，除非仲裁裁决另有规定。</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本协议受中国（为本协议之目的，不包括香港特别行政区、澳门特别行政区和台湾地区）法律管辖并从其解释。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26" w:name="_Toc234247860"/>
      <w:r>
        <w:rPr>
          <w:rFonts w:ascii="Times New Roman" w:hAnsi="Times New Roman"/>
          <w:sz w:val="30"/>
        </w:rPr>
        <w:lastRenderedPageBreak/>
        <w:t>二十三、对基金份额持有人的服务</w:t>
      </w:r>
      <w:bookmarkEnd w:id="26"/>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开放期内基金份额的申购、赎回、定期定额投资、转换等业务。通过网上直销交易平台办理本基金基金份额申购业务的个人投资者将享受申购费率的优惠，其他费率标准不变。具体优惠费率请参见公司网站列示的网上直销交易平台申购费率表或相关公告。基金网上直销交易平台已开通的银行卡及各银行卡交易金额限额请参阅本基金管理人网站。</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本基金已开通定期定额投资计划，具体实施方法请参见相关公告。</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27" w:name="_Toc234247861"/>
      <w:r>
        <w:rPr>
          <w:rFonts w:ascii="Times New Roman" w:hAnsi="Times New Roman"/>
          <w:sz w:val="30"/>
        </w:rPr>
        <w:lastRenderedPageBreak/>
        <w:t>二十四、其他应披露事项</w:t>
      </w:r>
      <w:bookmarkEnd w:id="27"/>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交银施罗德稳益短债债券型证券投资基金招募说明书更新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交银施罗德稳益短债债券型证券投资基金（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交银施罗德稳益短债债券型证券投资基金（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交银施罗德稳益短债债券型证券投资基金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交银施罗德稳益短债债券型证券投资基金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交银施罗德基金管理有限公司关于增加上海联泰基金销售有限公司为旗下基金的销售机构的公告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2025-09-02</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交银施罗德稳益短债债券型证券投资基金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交银施罗德基金管理有限公司关于交银施罗德稳益短债债券型证券投资基金于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元旦</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2025-12-27</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交银施罗德稳益短债债券型证券投资基金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交银施罗德基金管理有限公司关于交银施罗德稳益短债债券型证券投资基金于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春节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2026-02-10</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交银施罗德稳益短债债券型证券投资基金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交银施罗德稳益短债债券型证券投资基金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交银施罗德基金管理有限公司关于交银施罗德稳益短债债券型证券投资基金于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劳动节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2026-04-28</w:t>
            </w:r>
          </w:p>
        </w:tc>
      </w:tr>
      <w:tr w:rsidR="00BE66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E66C9" w:rsidRDefault="008F490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28" w:name="_Toc234247862"/>
      <w:r>
        <w:rPr>
          <w:rFonts w:ascii="Times New Roman" w:hAnsi="Times New Roman"/>
          <w:sz w:val="30"/>
        </w:rPr>
        <w:lastRenderedPageBreak/>
        <w:t>二十五、招募说明书的存放及查阅方式</w:t>
      </w:r>
      <w:bookmarkEnd w:id="28"/>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8F490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E66C9" w:rsidRDefault="008F490F">
      <w:pPr>
        <w:pStyle w:val="1"/>
        <w:snapToGrid w:val="0"/>
        <w:spacing w:beforeLines="0" w:before="240" w:after="240"/>
        <w:rPr>
          <w:rFonts w:ascii="宋体" w:hAnsi="宋体"/>
          <w:szCs w:val="30"/>
        </w:rPr>
      </w:pPr>
      <w:bookmarkStart w:id="29" w:name="_Toc234247863"/>
      <w:r>
        <w:rPr>
          <w:rFonts w:ascii="Times New Roman" w:hAnsi="Times New Roman"/>
          <w:sz w:val="30"/>
        </w:rPr>
        <w:lastRenderedPageBreak/>
        <w:t>二十六、备查文件</w:t>
      </w:r>
      <w:bookmarkEnd w:id="29"/>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（一）中国证监会准予交银施罗德稳益短债债券型证券投资基金募集注册的文件</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（二）《交银施罗德稳益短债债券型证券投资基金基金合同》</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（三）《交银施罗德稳益短债债券型证券投资基金托管协议》</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BE66C9" w:rsidRDefault="008F490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（六）关于申请募集注册交银施罗德稳益短债债券型证券投资基金的法律意见书</w:t>
      </w:r>
    </w:p>
    <w:sectPr w:rsidR="00BE66C9">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118" w:rsidRDefault="008F490F">
      <w:r>
        <w:separator/>
      </w:r>
    </w:p>
  </w:endnote>
  <w:endnote w:type="continuationSeparator" w:id="0">
    <w:p w:rsidR="00F20118" w:rsidRDefault="008F4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C9" w:rsidRDefault="00BE66C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C9" w:rsidRDefault="007057F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BE66C9" w:rsidRDefault="008F490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057FA">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C9" w:rsidRDefault="00BE66C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C9" w:rsidRDefault="007057F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BE66C9" w:rsidRDefault="008F490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057FA">
                  <w:rPr>
                    <w:rFonts w:ascii="Times New Roman" w:hAnsi="Times New Roman"/>
                    <w:noProof/>
                    <w:kern w:val="0"/>
                    <w:sz w:val="18"/>
                    <w:szCs w:val="18"/>
                  </w:rPr>
                  <w:t>135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118" w:rsidRDefault="008F490F">
      <w:r>
        <w:separator/>
      </w:r>
    </w:p>
  </w:footnote>
  <w:footnote w:type="continuationSeparator" w:id="0">
    <w:p w:rsidR="00F20118" w:rsidRDefault="008F4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C9" w:rsidRDefault="00BE66C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C9" w:rsidRDefault="008F490F">
    <w:pPr>
      <w:pStyle w:val="a3"/>
      <w:jc w:val="right"/>
      <w:rPr>
        <w:rFonts w:ascii="宋体" w:hAnsi="宋体"/>
      </w:rPr>
    </w:pPr>
    <w:r>
      <w:rPr>
        <w:rFonts w:ascii="宋体" w:hAnsi="宋体" w:hint="eastAsia"/>
      </w:rPr>
      <w:t>交银施罗德稳益短债债券型证券投资基金招募说明书更新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C9" w:rsidRDefault="00BE66C9">
    <w:pPr>
      <w:pStyle w:val="10"/>
      <w:jc w:val="right"/>
    </w:pPr>
  </w:p>
  <w:p w:rsidR="00BE66C9" w:rsidRDefault="00BE66C9">
    <w:pPr>
      <w:pStyle w:val="10"/>
      <w:jc w:val="right"/>
    </w:pPr>
  </w:p>
  <w:p w:rsidR="00BE66C9" w:rsidRDefault="00BE66C9">
    <w:pPr>
      <w:pStyle w:val="a3"/>
      <w:jc w:val="right"/>
    </w:pPr>
  </w:p>
  <w:p w:rsidR="00BE66C9" w:rsidRDefault="008F490F">
    <w:pPr>
      <w:pStyle w:val="a3"/>
      <w:jc w:val="right"/>
      <w:rPr>
        <w:rFonts w:ascii="宋体" w:hAnsi="宋体"/>
      </w:rPr>
    </w:pPr>
    <w:r>
      <w:rPr>
        <w:rFonts w:ascii="宋体" w:hAnsi="宋体" w:hint="eastAsia"/>
      </w:rPr>
      <w:t>交银施罗德稳益短债债券型证券投资基金招募说明书更新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6C9" w:rsidRDefault="00BE66C9">
    <w:pPr>
      <w:pStyle w:val="a3"/>
      <w:jc w:val="right"/>
    </w:pPr>
  </w:p>
  <w:p w:rsidR="00BE66C9" w:rsidRDefault="00BE66C9">
    <w:pPr>
      <w:pStyle w:val="a3"/>
      <w:jc w:val="right"/>
    </w:pPr>
  </w:p>
  <w:p w:rsidR="00BE66C9" w:rsidRDefault="00BE66C9">
    <w:pPr>
      <w:pStyle w:val="a3"/>
      <w:jc w:val="right"/>
    </w:pPr>
  </w:p>
  <w:p w:rsidR="00BE66C9" w:rsidRDefault="008F490F">
    <w:pPr>
      <w:pStyle w:val="a3"/>
      <w:jc w:val="right"/>
      <w:rPr>
        <w:rFonts w:ascii="宋体" w:hAnsi="宋体"/>
      </w:rPr>
    </w:pPr>
    <w:r>
      <w:rPr>
        <w:rFonts w:ascii="宋体" w:hAnsi="宋体" w:hint="eastAsia"/>
      </w:rPr>
      <w:t>交银施罗德稳益短债债券型证券投资基金招募说明书更新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7FA"/>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490F"/>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E66C9"/>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118"/>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215769E8-D10F-4C1A-829D-97BB28D93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136</Pages>
  <Words>13877</Words>
  <Characters>79104</Characters>
  <Application>Microsoft Office Word</Application>
  <DocSecurity>0</DocSecurity>
  <Lines>659</Lines>
  <Paragraphs>185</Paragraphs>
  <ScaleCrop>false</ScaleCrop>
  <Company>Microsoft</Company>
  <LinksUpToDate>false</LinksUpToDate>
  <CharactersWithSpaces>92796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2026-07-06T08:30:00Z</dcterms:created>
  <dcterms:modified xsi:type="dcterms:W3CDTF">2026-07-06T08:30:00Z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