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bookmarkStart w:id="28" w:name="_GoBack"/>
      <w:bookmarkEnd w:id="28"/>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交银施罗德120天滚动持有债券型证券投资基金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r>
        <w:rPr>
          <w:rFonts w:hint="eastAsia" w:ascii="宋体" w:hAnsi="宋体"/>
          <w:b/>
          <w:sz w:val="30"/>
          <w:szCs w:val="30"/>
        </w:rPr>
        <w:t>【本基金暂不向金融机构自营账户销售（基金管理人自</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r>
        <w:rPr>
          <w:rFonts w:hint="eastAsia" w:ascii="宋体" w:hAnsi="宋体"/>
          <w:b/>
          <w:sz w:val="30"/>
          <w:szCs w:val="30"/>
        </w:rPr>
        <w:t>有资金除外）】</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基金托管人：兴业银行股份有限公司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233879590"/>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120天滚动持有债券型证券投资基金（以下简称“本基金”）经2025年4月29日中国证券监督管理委员会（以下简称“中国证监会”）证监许可【2025】968号文准予募集注册。本基金基金合同于2025年9月2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投资资产支持证券的特定风险；信用衍生品投资风险；本基金法律文件风险收益特征表述与销售机构基金风险评价可能不一致的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对每份基金份额设置120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次一日起自动进入下一个运作期；在下一个运作期到期日前，基金份额持有人不能赎回该基金份额。因此基金份额持有人面临在滚动运作期内不能赎回基金份额的风险。请投资者合理安排资金进行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本基金可投资国债期货，国债期货的投资可能面临市场风险、基差风险、流动性风险。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为对冲信用风险，本基金可能投资信用衍生品，信用衍生品的投资可能面临流动性风险、偿付风险和价格波动风险。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本招募说明书所载内容截止日为2026年06月17日，有关财务和业绩表现数据截止日为2026年03月31日，财务和业绩表现数据未经审计。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"_Toc233879590"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_Toc233879590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"_Toc233879591"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_Toc233879591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"_Toc233879592"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_Toc233879592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"_Toc233879593"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_Toc233879593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"_Toc233879594"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_Toc233879594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"_Toc233879595"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_Toc233879595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"_Toc233879596"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_Toc233879596 \h </w:instrText>
      </w:r>
      <w:r>
        <w:rPr>
          <w:rFonts w:ascii="宋体" w:hAnsi="宋体"/>
          <w:sz w:val="24"/>
        </w:rPr>
        <w:fldChar w:fldCharType="separate"/>
      </w:r>
      <w:r>
        <w:rPr>
          <w:rFonts w:ascii="宋体" w:hAnsi="宋体"/>
          <w:sz w:val="24"/>
        </w:rPr>
        <w:t>27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"_Toc233879597"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_Toc233879597 \h </w:instrText>
      </w:r>
      <w:r>
        <w:rPr>
          <w:rFonts w:ascii="宋体" w:hAnsi="宋体"/>
          <w:sz w:val="24"/>
        </w:rPr>
        <w:fldChar w:fldCharType="separate"/>
      </w:r>
      <w:r>
        <w:rPr>
          <w:rFonts w:ascii="宋体" w:hAnsi="宋体"/>
          <w:sz w:val="24"/>
        </w:rPr>
        <w:t>28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"_Toc233879598"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_Toc233879598 \h </w:instrText>
      </w:r>
      <w:r>
        <w:rPr>
          <w:rFonts w:ascii="宋体" w:hAnsi="宋体"/>
          <w:sz w:val="24"/>
        </w:rPr>
        <w:fldChar w:fldCharType="separate"/>
      </w:r>
      <w:r>
        <w:rPr>
          <w:rFonts w:ascii="宋体" w:hAnsi="宋体"/>
          <w:sz w:val="24"/>
        </w:rPr>
        <w:t>29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"_Toc233879599"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_Toc233879599 \h </w:instrText>
      </w:r>
      <w:r>
        <w:rPr>
          <w:rFonts w:ascii="宋体" w:hAnsi="宋体"/>
          <w:sz w:val="24"/>
        </w:rPr>
        <w:fldChar w:fldCharType="separate"/>
      </w:r>
      <w:r>
        <w:rPr>
          <w:rFonts w:ascii="宋体" w:hAnsi="宋体"/>
          <w:sz w:val="24"/>
        </w:rPr>
        <w:t>42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"_Toc233879600"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_Toc233879600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"_Toc233879601" </w:instrText>
      </w:r>
      <w:r>
        <w:fldChar w:fldCharType="separate"/>
      </w:r>
      <w:r>
        <w:rPr>
          <w:rStyle w:val="18"/>
          <w:rFonts w:hint="eastAsia" w:ascii="宋体" w:hAnsi="宋体"/>
          <w:sz w:val="24"/>
        </w:rPr>
        <w:t>十一、基金的财产</w:t>
      </w:r>
      <w:r>
        <w:rPr>
          <w:rFonts w:ascii="宋体" w:hAnsi="宋体"/>
          <w:sz w:val="24"/>
        </w:rPr>
        <w:tab/>
      </w:r>
      <w:r>
        <w:rPr>
          <w:rFonts w:ascii="宋体" w:hAnsi="宋体"/>
          <w:sz w:val="24"/>
        </w:rPr>
        <w:fldChar w:fldCharType="begin"/>
      </w:r>
      <w:r>
        <w:rPr>
          <w:rFonts w:ascii="宋体" w:hAnsi="宋体"/>
          <w:sz w:val="24"/>
        </w:rPr>
        <w:instrText xml:space="preserve"> PAGEREF _Toc233879601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"_Toc233879602" </w:instrText>
      </w:r>
      <w:r>
        <w:fldChar w:fldCharType="separate"/>
      </w:r>
      <w:r>
        <w:rPr>
          <w:rStyle w:val="18"/>
          <w:rFonts w:hint="eastAsia" w:ascii="宋体" w:hAnsi="宋体"/>
          <w:sz w:val="24"/>
        </w:rPr>
        <w:t>十二、基金资产的估值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_Toc233879602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"_Toc233879603" </w:instrText>
      </w:r>
      <w:r>
        <w:fldChar w:fldCharType="separate"/>
      </w:r>
      <w:r>
        <w:rPr>
          <w:rStyle w:val="18"/>
          <w:rFonts w:hint="eastAsia" w:ascii="宋体" w:hAnsi="宋体"/>
          <w:sz w:val="24"/>
        </w:rPr>
        <w:t>十三、基金收益与分配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_Toc233879603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"_Toc233879604" </w:instrText>
      </w:r>
      <w:r>
        <w:fldChar w:fldCharType="separate"/>
      </w:r>
      <w:r>
        <w:rPr>
          <w:rStyle w:val="18"/>
          <w:rFonts w:hint="eastAsia" w:ascii="宋体" w:hAnsi="宋体"/>
          <w:sz w:val="24"/>
        </w:rPr>
        <w:t>十四、基金的费用与税收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_Toc233879604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"_Toc233879605"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_Toc233879605 \h </w:instrText>
      </w:r>
      <w:r>
        <w:rPr>
          <w:rFonts w:ascii="宋体" w:hAnsi="宋体"/>
          <w:sz w:val="24"/>
        </w:rPr>
        <w:fldChar w:fldCharType="separate"/>
      </w:r>
      <w:r>
        <w:rPr>
          <w:rFonts w:ascii="宋体" w:hAnsi="宋体"/>
          <w:sz w:val="24"/>
        </w:rPr>
        <w:t>67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"_Toc233879606"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_Toc233879606 \h </w:instrText>
      </w:r>
      <w:r>
        <w:rPr>
          <w:rFonts w:ascii="宋体" w:hAnsi="宋体"/>
          <w:sz w:val="24"/>
        </w:rPr>
        <w:fldChar w:fldCharType="separate"/>
      </w:r>
      <w:r>
        <w:rPr>
          <w:rFonts w:ascii="宋体" w:hAnsi="宋体"/>
          <w:sz w:val="24"/>
        </w:rPr>
        <w:t>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"_Toc233879607"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_Toc233879607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"_Toc233879608"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_Toc233879608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"_Toc233879609"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_Toc233879609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"_Toc233879610"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_Toc233879610 \h </w:instrText>
      </w:r>
      <w:r>
        <w:rPr>
          <w:rFonts w:ascii="宋体" w:hAnsi="宋体"/>
          <w:sz w:val="24"/>
        </w:rPr>
        <w:fldChar w:fldCharType="separate"/>
      </w:r>
      <w:r>
        <w:rPr>
          <w:rFonts w:ascii="宋体" w:hAnsi="宋体"/>
          <w:sz w:val="24"/>
        </w:rPr>
        <w:t>88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"_Toc233879611"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_Toc233879611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"_Toc233879612"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_Toc233879612 \h </w:instrText>
      </w:r>
      <w:r>
        <w:rPr>
          <w:rFonts w:ascii="宋体" w:hAnsi="宋体"/>
          <w:sz w:val="24"/>
        </w:rPr>
        <w:fldChar w:fldCharType="separate"/>
      </w:r>
      <w:r>
        <w:rPr>
          <w:rFonts w:ascii="宋体" w:hAnsi="宋体"/>
          <w:sz w:val="24"/>
        </w:rPr>
        <w:t>118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"_Toc233879613"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_Toc233879613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"_Toc233879614"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_Toc233879614 \h </w:instrText>
      </w:r>
      <w:r>
        <w:rPr>
          <w:rFonts w:ascii="宋体" w:hAnsi="宋体"/>
          <w:sz w:val="24"/>
        </w:rPr>
        <w:fldChar w:fldCharType="separate"/>
      </w:r>
      <w:r>
        <w:rPr>
          <w:rFonts w:ascii="宋体" w:hAnsi="宋体"/>
          <w:sz w:val="24"/>
        </w:rPr>
        <w:t>122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"_Toc233879615"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_Toc233879615 \h </w:instrText>
      </w:r>
      <w:r>
        <w:rPr>
          <w:rFonts w:ascii="宋体" w:hAnsi="宋体"/>
          <w:sz w:val="24"/>
        </w:rPr>
        <w:fldChar w:fldCharType="separate"/>
      </w:r>
      <w:r>
        <w:rPr>
          <w:rFonts w:ascii="宋体" w:hAnsi="宋体"/>
          <w:sz w:val="24"/>
        </w:rPr>
        <w:t>123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3879591"/>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120天滚动持有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120天滚动持有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3879592"/>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1、基金或本基金：指交银施罗德120天滚动持有债券型证券投资基金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4、基金合同、《基金合同》：指《交银施罗德120天滚动持有债券型证券投资基金基金合同》及对基金合同的任何有效修订和补充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5、托管协议：指基金管理人与基金托管人就本基金签订之《交银施罗德120天滚动持有债券型证券投资基金托管协议》及对该托管协议的任何有效修订和补充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6、招募说明书、《招募说明书》或本招募说明书：指《交银施罗德120天滚动持有债券型证券投资基金招募说明书》及其更新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7、基金产品资料概要：指《交银施罗德120天滚动持有债券型证券投资基金基金产品资料概要》及其更新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8、基金份额发售公告：指《交银施罗德120天滚动持有债券型证券投资基金基金份额发售公告》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运作期起始日：对于每份认购份额，第一个运作期起始日指基金合同生效日；对于每份申购份额，第一个运作期起始日指该基金份额申购确认日；对于上一运作期到期日未赎回的每份基金份额，下一运作期起始日指该基金份额上一运作期到期日的次一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运作期到期日：对于每份基金份额，第一个运作期到期日指基金合同生效日（对认购份额而言，下同）或基金份额申购申请日（对申购份额而言，下同）后的第120天（如该日为非工作日，则顺延至下一工作日）。第二个运作期到期日指基金合同生效日或基金份额申购申请日后的第240天（如该日为非工作日，则顺延至下一工作日），以此类推35、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49、基金收益：指基金投资所得债券利息、买卖证券价差、银行存款利息、已实现的其他合法收入及因运用基金财产带来的成本和费用的节约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50、基金资产总值：指基金拥有的各类有价证券、国债期货合约、银行存款本息、基金应收款项及其他资产的价值总和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58、信用衍生品：指符合证券交易所或银行间市场相关业务规则，专门用于管理信用风险的信用衍生工具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59、信用保护买方：亦称信用保护购买方，指接受信用风险保护的一方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60、信用保护卖方：亦称信用保护提供方，指提供信用风险保护的一方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61、名义本金：亦称交易名义本金，指为信用衍生品交易提供信用风险保护的金额，各项支付和结算以此金额为计算基准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3879593"/>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理财21天债券型证券投资基金(2015年05月27日至2020年07月27日)、交银施罗德现金宝货币市场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姬静女士:基金经理。北京大学经济学硕士、对外经济贸易大学经济学学士。13年证券投资相关工作经验。2013年至2015年任中国工商银行总行资产管理部投资经理 ，2015年至2016年任法国巴黎银行（中国）有限公司全球市场部信用分析师。2016年加入交银施罗德基金管理有限公司，曾任固定收益部高级研究员、基金经理助理，现任固定收益部基金经理。曾任交银施罗德裕盈纯债债券型证券投资基金(2022年11月12日至2025年01月15日)的基金经理。现任交银施罗德境尚收益债券型证券投资基金(2022年08月20日至今)、交银施罗德稳鑫短债债券型证券投资基金(2022年08月20日至今)、交银施罗德稳安60天滚动持有债券型证券投资基金(2023年01月09日至今)、交银施罗德稳安90天持有期债券型证券投资基金(2023年04月25日至今)、交银施罗德120天滚动持有债券型证券投资基金(2025年09月02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3879594"/>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办公地址：上海市银城路167号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成立日期：1988年8月22日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批准设立机关和批准设立文号：中国人民银行总行，银复[1988]347号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基金托管业务批准文号：中国证监会证监基金字[2005]74号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注册资本：207.74亿元人民币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2、发展概况及财务状况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兴业银行成立于1988年8月，是经国务院、中国人民银行批准成立的首批股份制商业银行之一，总行设在福建省福州市，2007年2月5日正式在上海证券交易所挂牌上市（股票代码：601166），注册资本207.74亿元。截至2025年12月31日，兴业银行资产总额达到11.09万亿元，较上年末增长5.58%。开业三十多年来，兴业银行始终坚持“真诚服务，相伴成长”的经营理念，致力于为客户提供全面、优质、高效的金融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（二）托管业务部部门设置及员工情况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兴业银行股份有限公司总行设资产托管部，下设综合管理处、证券基金处、信托保险处、理财私募处、需求支持处、稽核监察处、投资监督处、运行管理处，共有员工100余人，业务岗位人员均具有基金从业资格。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兴业银行股份有限公司于2005年4月26日取得基金托管资格。基金托管业务批准文号：证监基金字[2005]74号。截至2026年3月31日，兴业银行共托管证券投资基金883只，托管基金的基金资产净值合计29120.24亿元，基金份额合计25214.35亿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（1）全面性原则：内部控制贯穿资产托管业务的全过程，覆盖各项业务和产品，以及从事资产托管业务的各机构和从业人员；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（2）重要性原则：内部控制应当在全面控制的基础上，关注重要业务事项和高风险领域；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（3）独立性原则：开展托管业务的部门和岗位的设置应权责分明、相对独立、相互制衡；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（4）审慎性原则：内控与风险管理必须以防范风险，保证托管资产的安全与完整为出发点，“内控优先”，“制度优先”，审慎发展资产托管业务；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（5）制衡性原则：内部控制应当在治理结构、机构设置及权责分配、业务流程等方面形成相互制约、相互监督，同时兼顾运营效率；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（7）成本效益原则：内部控制应当权衡实施成本与预期效益，以适当的成本实现有效控制。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（1）制度建设：建立了明确的岗位职责、科学的业务流程、详细的操作手册、严格的人员行为规范等一系列规章制度。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（2）建立健全的组织管理结构：前后台分离，不同部门、岗位相互牵制。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（3）风险识别与评估：稽核监察处指导业务处室进行风险识别、评估，制定并实施风险控制措施。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（4）相对独立的业务操作空间：业务操作区相对独立，实施门禁管理和音像监控。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（5）人员管理：进行定期的业务与职业道德培训，使员工树立风险防范与控制理念，并签订承诺书。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（6）应急预案：制定完备的《应急预案》，并组织员工定期演练；建立异地灾备中心，保证业务不中断。</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基金托管人发现基金管理人的指令违反法律、行政法规和其他有关规定，或者违反基金合同约定的，应当拒绝执行，立即通知基金管理人，并及时向中国证监会报告。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3879595"/>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w:t>
      </w:r>
      <w:r>
        <w:rPr>
          <w:rFonts w:hint="eastAsia" w:ascii="宋体" w:hAnsi="宋体"/>
          <w:sz w:val="24"/>
          <w:lang w:val="en-US" w:eastAsia="zh-CN"/>
        </w:rPr>
        <w:t>赎回、</w:t>
      </w:r>
      <w:r>
        <w:rPr>
          <w:rFonts w:ascii="宋体" w:hAnsi="宋体"/>
          <w:sz w:val="24"/>
        </w:rPr>
        <w:t>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经办律师：丁媛、李晓露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3879596"/>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本基金由基金管理人依照《基金法》、《运作办法》、《销售办法》、基金合同及其他有关规定，并经中国证监会2025年4月29日证监许可【2025】968号文准予募集注册。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本基金2025年8月25日至2025年8月29日进行发售，本基金设立募集期共募集239,792,849.97份基金份额，有效认购户数为494户。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3879597"/>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根据有关规定，本基金满足基金合同生效条件，基金合同已于2025年9月2日正式生效。自基金合同生效之日起，本基金管理人正式开始管理本基金。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3879598"/>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管理人仅在该基金份额的每个运作期到期日办理该基金份额的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本基金已于2025年12月1日起开放申购业务。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本基金已于2025年12月30日起开放赎回业务。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运作期到期日业务办理时间结束后或在运作期到期日之外的日期和时间提出赎回申请的，视为无效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一投资者单日申购金额不超过1000万元（个人投资者、公募资产管理产品、职业年金计划、企业年金计划和基金管理人自有资金除外）。基金管理人可以调整单一投资者单日申购金额上限，具体规定请参见更新的招募说明书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投资人可以多次申购本基金，A类基金份额的申购费用按A类基金份额每笔申购申请单独计算。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本基金对于每份基金份额设置120天的滚动运作期。每个运作期到期日，基金份额持有人可提出赎回申请。基金份额持有人在每个运作期到期日申请赎回A类基金份额或C类基金份额不收取赎回费。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本基金采用金额申购的方式。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例四：某投资者（非养老金客户）投资100,000.00元申购本基金的A类基金份额，假设申购当日A类基金份额净值为1.0400元，申购费率为0.2%，则其可得到的申购份额为：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净申购金额=100,000.00/（1+0.2%）=99,800.40元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申购费用=100,000.00-99,800.40=199.60元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申购份额=99,800.40/1.0400=95,961.92份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即：某投资者（非养老金客户）投资100,000.00元申购本基金的A类基金份额，假设申购当日A类基金份额净值为1.0400元，则其可得到95,961.92份A类基金份额。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例五：某养老金客户投资1,000,000.00元通过基金管理人的直销柜台申购本基金的A类基金份额，假设申购当日A类基金份额净值为1.0400元，申购费率为0.08%，则其可得到的申购份额为：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净申购金额=1,000,000.00/（1+0.08%）=999,200.64元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申购费用=1,000,000.00-999,200.64=799.36元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申购份额=999,200.64/1.0400=960,769.85份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即：该养老金客户投资1,000,000.00元通过基金管理人的直销柜台申购本基金的A类基金份额，假设申购当日A类基金份额净值为1.0400元，则其可得到960,769.85份A类基金份额。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本基金采用份额赎回的方式。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例七：某投资者通过认购持有10,000.00份A类基金份额，在基金合同生效日后第一个运作期到期日申请赎回该10,000.00份A类基金份额，假设赎回当日A类基金份额净值是1.0025元，则其可得到的赎回金额为：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赎回费用=10,000.00×1.0025×0=0.00元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赎回金额=10,000.00×1.0025＝10,025.00元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即：该投资者通过认购持有10,000.00份A类基金份额，在基金合同生效日后第一个运作期到期日申请赎回该10,000.00份A类基金份额，假设赎回当日A类基金份额净值是1.0025元，则其可得到的赎回金额为10,025.00元。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C类基金份额的基金份额净值的计算，均保留到小数点后4位，小数点后第5位四舍五入，由此产生的收益或损失由基金财产承担。T日的基金份额净值在当天收市后计算，并在T+1日（包括该日）内公告。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本基金2025年11月27日刊登公告自2025年12月1日起开通定期定额投资计划业务，具体开通销售机构名单和业务规则参见相关公告。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（十九）其他业务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3879599"/>
      <w:r>
        <w:rPr>
          <w:rFonts w:ascii="Times New Roman" w:hAnsi="Times New Roman"/>
          <w:sz w:val="30"/>
        </w:rPr>
        <w:t>九、基金的投资</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在严格控制风险和保持较高流动性的前提下，力求获得高于业绩比较基准的投资收益。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本基金不投资于股票等权益类资产，也不投资于可转换债券、可交换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（5）信用债券（含资产支持证券，下同）投资策略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基金管理人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含资产支持证券，下同）为信用评级在AA+级（含）以上的信用债，对信用评级的认定参照基金管理人选定的评级机构出具的信用评级，其中，信用债的信用评级依照评级机构出具的债项信用评级，若无债项信用评级的，依照其主体信用评级，其中本基金投资的短期融资券、超短期融资券、短期公司债券等短期信用债的信用评级依照评级机构出具的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本基金构建和管理信用债券投资组合时主要考虑以下因素：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2、国债期货投资策略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3、信用衍生品投资策略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风险管理原则，以风险对冲为目的参与信用衍生品交易。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未来，随着投资工具的发展和丰富，基金管理人可以在不改变投资目标的前提下，在履行适当程序之后，相应调整和更新相关投资策略，并在招募说明书中更新，而无需召开基金份额持有人大会。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中债综合全价指数收益率×90%+人民币活期存款利率(税后)×10%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部分业绩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基金管理人可与本基金基金托管人协商一致后，在按照监管部门要求履行适当程序后调整或变更本基金的业绩比较基准并及时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基金托管人兴业银行股份有限公司根据本基金合同规定，于2026年04月20日复核了本报告中的财务指标、净值表现和投资组合报告等内容，保证复核内容不存在虚假记载、误导性陈述或者重大遗漏。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173,706,590.83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95.68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173,706,590.83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95.68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7,832,170.65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7,519.67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181,546,281.15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63,782,542.07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32,167,743.56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38,617,273.42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20,260,420.28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51,046,355.06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173,706,590.83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114.73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25国开20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20,059,128.77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25国开11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12,108,614.79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524436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25广发07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11,139,771.12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102382410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23达州高科MTN001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10,365,178.08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2120113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21吉林银行二级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10,303,465.75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持仓量（买/卖）</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风险指标说明</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gridSpan w:val="5"/>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gridSpan w:val="5"/>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国债期货投资本期收益（元）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4,252.66</w:t>
            </w:r>
          </w:p>
        </w:tc>
      </w:tr>
      <w:tr>
        <w:tblPrEx>
          <w:tblCellMar>
            <w:top w:w="0" w:type="dxa"/>
            <w:left w:w="0" w:type="dxa"/>
            <w:bottom w:w="0" w:type="dxa"/>
            <w:right w:w="0" w:type="dxa"/>
          </w:tblCellMar>
        </w:tblPrEx>
        <w:trPr>
          <w:cantSplit/>
          <w:trHeight w:val="375" w:hRule="atLeast"/>
        </w:trPr>
        <w:tc>
          <w:tcPr>
            <w:tcW w:w="250" w:type="pct"/>
            <w:gridSpan w:val="5"/>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国债期货投资本期公允价值变动（元）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相关交易对基金总体风险的影响可控，执行既定的投资政策和投资目标。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2026年04月03日,央行吉林省分行公示吉银罚决字[2026]7号行政处罚决定书,给予吉林银行股份有限公司204.5万元人民币的行政处罚。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2025年09月30日,央行公示银罚决字[2025]66号行政处罚决定书,给予国家开发银行123万元人民币的行政处罚。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2025年07月25日,国家外汇管理局北京市分局公示京汇罚[2025]30号行政处罚决定书,给予国家开发银行罚没共计1394.42万元人民币的行政处罚。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广东证监局给予广发证券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7,519.67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7,519.67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3879600"/>
      <w:r>
        <w:rPr>
          <w:rFonts w:ascii="Times New Roman" w:hAnsi="Times New Roman"/>
          <w:sz w:val="30"/>
        </w:rPr>
        <w:t>十、基金的业绩</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交银120天滚动持有债券A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(2)交银120天滚动持有债券C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（2025年9月02日至2026年03月31日）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交银120天滚动持有债券A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交银120天滚动持有债券C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基金合同生效日为2025年9月2日，基金合同生效日至报告期期末，本基金运作时间未满一年。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3879601"/>
      <w:r>
        <w:rPr>
          <w:rFonts w:ascii="Times New Roman" w:hAnsi="Times New Roman"/>
          <w:sz w:val="30"/>
        </w:rPr>
        <w:t>十一、基金的财产</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3879602"/>
      <w:r>
        <w:rPr>
          <w:rFonts w:ascii="Times New Roman" w:hAnsi="Times New Roman"/>
          <w:sz w:val="30"/>
        </w:rPr>
        <w:t>十二、基金资产的估值</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基金所拥有的债券、国债期货合约、资产支持证券、信用衍生品和其他投资等持续以公允价值计量的金融资产及负债。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建议按照长待偿期所对应的价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3879603"/>
      <w:r>
        <w:rPr>
          <w:rFonts w:ascii="Times New Roman" w:hAnsi="Times New Roman"/>
          <w:sz w:val="30"/>
        </w:rPr>
        <w:t>十三、基金收益与分配</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6、对于收益分配方式为红利再投资的基金份额，每份基金份额（原份额）所获得的红利再投资份额的运作期到期日，与该原份额的运作期到期日一致；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3879604"/>
      <w:r>
        <w:rPr>
          <w:rFonts w:ascii="Times New Roman" w:hAnsi="Times New Roman"/>
          <w:sz w:val="30"/>
        </w:rPr>
        <w:t>十四、基金的费用与税收</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6、基金的证券、期货交易/结算费用；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本基金的管理费按前一日基金资产净值的0.20%年费率计提。管理费的计算方法如下：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本基金的托管费按前一日基金资产净值的0.05%年费率计提。托管费的计算方法如下：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H＝E×0.05%÷当年天数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划款指令，由基金托管人复核后于次月首日起第3个工作日从基金财产中一次性支取。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本基金A类基金份额不收取销售服务费，C类基金份额的销售服务费按前一日C类基金资产净值的0.20%年费率计提。计算方法如下：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3879605"/>
      <w:r>
        <w:rPr>
          <w:rFonts w:ascii="Times New Roman" w:hAnsi="Times New Roman"/>
          <w:sz w:val="30"/>
        </w:rPr>
        <w:t>十五、基金的会计与审计</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3879606"/>
      <w:r>
        <w:rPr>
          <w:rFonts w:ascii="Times New Roman" w:hAnsi="Times New Roman"/>
          <w:sz w:val="30"/>
        </w:rPr>
        <w:t>十六、基金的信息披露</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12、基金投资国债期货的情况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交易政策、持仓情况、损益情况、风险指标等，并充分揭示国债期货交易对基金总体风险的影响以及是否符合既定的投资政策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13、基金投资信用衍生品的情况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基金管理人应在定期报告及招募说明书（更新）等文件中详细披露信用衍生品的投资情况，包括投资策略、持仓情况等，并充分揭示投资信用衍生品对基金总体风险的影响以及是否符合既定的投资目标及策略。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3879607"/>
      <w:r>
        <w:rPr>
          <w:rFonts w:ascii="Times New Roman" w:hAnsi="Times New Roman"/>
          <w:sz w:val="30"/>
        </w:rPr>
        <w:t>十七、侧袋机制</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3879608"/>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10%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对每份基金份额设置120天的滚动运作期。对于每份基金份额，基金管理人仅在该基金份额的每个运作期到期日为基金份额持有人办理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管理人仅在该基金份额的每个运作期到期日办理该基金份额的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基金管理人自基金合同生效之日后的第120天（如遇非工作日，则顺延至下一工作日）起开始办理赎回，具体业务办理时间在开放赎回业务的公告中规定。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期货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对每份基金份额设置120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次一日起自动进入下一个运作期；在下一个运作期到期日前，基金份额持有人不能赎回该基金份额。因此基金份额持有人面临在滚动运作期内不能赎回基金份额的风险。请投资者合理安排资金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（六）投资国债期货的特定风险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（八）信用衍生品投资风险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3879609"/>
      <w:r>
        <w:rPr>
          <w:rFonts w:ascii="Times New Roman" w:hAnsi="Times New Roman"/>
          <w:sz w:val="30"/>
        </w:rPr>
        <w:t>十九、基金合同的变更、终止与基金财产的清算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3879610"/>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15）选择、更换律师事务所、会计师事务所、证券/期货经纪商或其他为基金提供服务的外部机构；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（1）当出现或需要决定下列事由之一的，应当召开基金份额持有人大会，法律法规、中国证监会或基金合同另有规定的除外：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6）在法律法规允许的情况下，且在对现有基金份额持有人利益无实质性不利影响的前提下，基金管理人在履行适当程序后，基金推出新业务或服务；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7）在符合法律法规及本基金合同规定、并且对基金份额持有人利益无实质性不利影响的前提下，增加或调整本基金份额类别的设置、对基金份额分类办法及规则进行调整；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各方当事人同意，因《基金合同》而产生的或与《基金合同》有关的一切争议，如经友好协商未能解决的，任何一方均有权将争议提交上海国际经济贸易仲裁委员会，根据上海国际经济贸易仲裁委员会届时有效的仲裁规则进行仲裁，仲裁地点为上海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3879611"/>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hint="default" w:ascii="宋体" w:hAnsi="宋体" w:eastAsia="宋体"/>
          <w:szCs w:val="24"/>
          <w:lang w:val="en-US" w:eastAsia="zh-CN"/>
        </w:rPr>
      </w:pPr>
      <w:r>
        <w:rPr>
          <w:rFonts w:ascii="宋体" w:hAnsi="宋体"/>
          <w:sz w:val="24"/>
        </w:rPr>
        <w:t>法定代表人：</w:t>
      </w:r>
      <w:r>
        <w:rPr>
          <w:rFonts w:hint="eastAsia" w:ascii="宋体" w:hAnsi="宋体"/>
          <w:sz w:val="24"/>
          <w:lang w:val="en-US" w:eastAsia="zh-CN"/>
        </w:rPr>
        <w:t>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成立时间：1988年8月22日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基金托管业务批准文号：证监基金字[2005]74号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注册资本：207.74亿元人民币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批准设立机关及批准设立文号:中国人民银行总行,银复[1988]347号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保险监督管理委员会批准的其他业务；保险兼业代理业务；黄金及其制品进出口；公募证券投资基金销售；证券投资基金托管。（依法须经批准的项目，经相关部门批准后方可开展经营活动，经营项目以相关部门批准文件或许可证件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 021-62152155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本基金不投资于股票等权益类资产，也不投资于可转换债券、可交换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投资的监督和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5、基金托管人对基金投资银行存款进行监督。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与存款银行建立定期对账机制，确保基金银行存款业务账目及核算的真实、准确。基金管理人应当按照有关法规规定，与存款机构签订相关书面协议。基金托管人应根据相关法规及协议对基金银行存款业务进行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6、基金托管人依据有关法律法规的规定、基金合同和本托管协议的约定对于基金关联交易进行监督。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实际控制人或者与其有重大利害关系的公司名单及有关关联方发行的证券名单，书面提交，并确保所提供的关联交易名单的真实性、完整性、全面性。基金管理人及基金托管人有责任保管真实、完整、全面的关联交易名单，并负责及时更新该名单。名单变更后基金管理人及基金托管人应及时发送另一方，另一方于2个工作日内进行回函确认已知名单的变更。一方收到另一方书面确认后，新的关联交易名单开始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资产净值计算、各类基金份额净值、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基金托管人发出的书面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10、若基金托管人发现基金管理人依据交易程序已经生效的指令违反法律、行政法规和其他有关规定，或者违反基金合同约定的，应当立即以书面或以双方认可的其他方式通知基金管理人。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期货账户等投资所需账户、及时、准确复核基金管理人计算的基金资产净值、各类基金份额净值，根据基金管理人指令办理清算交收且如遇到问题应及时反馈、相关信息披露和监督基金投资运作是否对非公开信息保密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定期和不定期地对基金托管人保管的基金资产进行核查。基金托管人应积极配合基金管理人的核查行为，包括但不限于：提交相关资料以供基金管理人核查基金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电话提醒或书面提示等方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 督促基金托管人改正。基金托管人应积极配合基金管理人的核查行为，包括但不限于：提交相关资料以供基金管理人核查基金财产的完整性和真实性，在规定时间内答复基金管理人并改正等。基金管理人有权要求基金托管人赔偿基金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和银行业监督管理机构，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（2）基金托管人应安全保管基金财产。未经基金管理人的正当指令，不得自行运用、处分、分配基金的任何财产。如果基金财产在基金托管人保管期间损坏、灭失的，应由该基金托管人承担赔偿责任。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（3）基金托管人按照规定开设基金财产的资金账户、证券账户、债券托管账户和期货结算账户等投资所需账户。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（5）基金托管人根据基金管理人的指令，按照法律法规的规定、基金合同和本协议的约定保管基金财产。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和基金认购、申购过程中产生的应收资产，如基金托管人无法从公开信息或基金管理人提供的书面资料中获取到账日期信息的，应由基金管理人负责与有关当事人确定到账日期并通知基金托管人，到账日基金财产没有到达基金银行账户的，基金托管人应及时通知并配合基金管理人采取措施进行催收。由此给基金财产造成损失的，基金管理人应负责向有关当事人追偿基金的损失，基金托管人对此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（1）基金募集期间募集的资金应存于基金管理人开立的“基金募集专户”。该账户由基金管理人或基金管理人委托的登记机构开立并管理。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基金合同等有关规定后，基金管理人应将属于基金财产的全部资金划入基金托管人为本基金开立的基金银行账户，基金托管人在收到资金当日出具相关证明文件，基金管理人在规定时间内，聘请符合《中华人民共和国证券法》规定的会计师事务所进行验资，出具验资报告，验资报告中需对基金募集的资金进行确认。出具的验资报告由参加验资的2名或2名以上中国注册会计师签章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（1）基金托管人应负责本基金的银行账户的开设和管理。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可以本基金的名义在其营业机构开设本基金的银行账户，并根据基金管理人合法合规的指令办理资金收付。账户的名称应当包含本基金名称，具体名称以实际开立为准。本基金的一切货币收支活动，包括但不限于投资、支付赎回金额、支付基金收益、收取申购款，均需通过本基金的银行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（4）基金银行账户的开立和管理应符合相关法律法规的有关规定。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4、基金证券账户及结算备付金账户的开立和管理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（1）基金托管人在中国证券登记结算有限责任公司上海分公司、深圳分公司为基金开立基金托管人与本基金联名的证券账户，账户名称以实际开立为准。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以本基金的名义在基金托管人托管系统中开立二级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5、定期存款账户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定期存款在存款机构开立的银行账户，包括实体或虚拟账户，其预留印鉴经各方商议后预留。对于任何的定期存款投资，基金管理人都必须和存款机构签订定期存款协议，约定双方的权利和义务，该协议作为划款指令附件。该协议中必须体现如下明确条款：“存款证实书仅可用于存款、提款，不可用于出借、质押或转让等任何其他行为。除合同另有规定外，本息到期归还或提前支取的所有款项必须划至托管专户（明确户名、开户行、账号等），不得划入其他任何账户”。如定期存款协议中未体现前述条款，基金托管人有权拒绝定期存款投资的划款指令。在取得存款证实书后，基金托管人保管证实书正本或者复印件。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6、债券托管账户的开设和管理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管理人代表基金向中国人民银行申请备案，再由基金托管人根据中国人民银行、中央国债登记结算有限责任公司的有关规定，在中央国债登记结算有限责任公司、银行间市场清算所股份有限公司开立债券托管与结算账户，并代表基金进行银行间市场债券的结算。基金管理人代表基金签订中国银行间市场债券回购交易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7、期货账户的开设和管理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基金管理人应依据有关法律法规的规定和《基金合同》的约定，开设和管理期货账户。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证实书等有价凭证由基金托管人负责妥善保管，保管凭证由基金托管人持有，其中实物证券由基金托管人存放于托管银行的保管库，应与非本基金的其他实物证券分开保管；也可存入登记结算机构的代保管库。实物证券的购买和转让，由基金托管人根据基金管理人的指令办理。属于基金托管人实际有效控制下的实物证券等有价证券在基金托管人保管期间的损坏、灭失，由此产生的责任应由基金托管人承担。基金托管人对基金托管人以外机构实际有效控制的证券及其他基金财产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不低于法律法规规定的最低期限。对于无法取得二份以上的正本的，基金管理人应向基金托管人提供加盖授权业务章的合同传真件，未经双方协商或未在合同约定范围内，合同原件不得转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解决，协商不能解决的，任何一方均有权将争议提交上海国际经济贸易仲裁委员会，根据上海国际经济贸易仲裁委员会届时有效的仲裁规则进行仲裁，仲裁地点为上海市。仲裁裁决是终局的，对双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本协议适用中华人民共和国法律（为本协议之目的，不包括香港特别行政区、澳门特别行政区和台湾地区法律）管辖并从其解释。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3879612"/>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w:t>
      </w:r>
      <w:r>
        <w:rPr>
          <w:rFonts w:hint="eastAsia" w:ascii="宋体" w:hAnsi="宋体"/>
          <w:sz w:val="24"/>
          <w:lang w:val="en-US" w:eastAsia="zh-CN"/>
        </w:rPr>
        <w:t>赎回、</w:t>
      </w:r>
      <w:r>
        <w:rPr>
          <w:rFonts w:ascii="宋体" w:hAnsi="宋体"/>
          <w:sz w:val="24"/>
        </w:rPr>
        <w:t>定期定额投资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待技术条件成熟时，基金管理人可通过销售机构为投资人提供转换的服务，具体实施方法另行公告。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3879613"/>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交银施罗德120天滚动持有债券型证券投资基金基金份额发售公告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交银施罗德120天滚动持有债券型证券投资基金基金合同及招募说明书提示性公告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交银施罗德120天滚动持有债券型证券投资基金基金合同摘要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交银施罗德120天滚动持有债券型证券投资基金招募说明书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交银施罗德120天滚动持有债券型证券投资基金（A类份额）基金产品资料概要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交银施罗德120天滚动持有债券型证券投资基金（C类份额）基金产品资料概要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交银施罗德基金管理有限公司关于增加交银施罗德120天滚动持有债券型证券投资基金销售机构的公告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交银施罗德基金管理有限公司关于交银施罗德120天滚动持有债券型证券投资基金提前结束募集的公告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交银施罗德基金管理有限公司关于交银施罗德120天滚动持有债券型证券投资基金基金合同生效公告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交银施罗德基金管理有限公司关于交银施罗德120天滚动持有债券型证券投资基金开放日常申购、定期定额投资业务的公告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交银施罗德基金管理有限公司关于交银施罗德120天滚动持有债券型证券投资基金开放日常赎回业务的公告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交银施罗德基金管理有限公司关于交银施罗德120天滚动持有债券型证券投资基金基金经理变更公告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交银施罗德120天滚动持有债券型证券投资基金2026年第1季度报告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3879614"/>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3879615"/>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（一）中国证监会准予交银施罗德120天滚动持有债券型证券投资基金募集注册的文件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（二）《交银施罗德120天滚动持有债券型证券投资基金基金合同》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（三）《交银施罗德120天滚动持有债券型证券投资基金托管协议》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（六）关于申请募集注册交银施罗德120天滚动持有债券型证券投资基金的法律意见书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123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交银施罗德120天滚动持有债券型证券投资基金招募说明书更新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交银施罗德120天滚动持有债券型证券投资基金招募说明书更新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交银施罗德120天滚动持有债券型证券投资基金招募说明书更新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B7B74"/>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42C2"/>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272D"/>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B2C"/>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2646CE6"/>
    <w:rsid w:val="1A113708"/>
    <w:rsid w:val="341D3A17"/>
    <w:rsid w:val="4D8212ED"/>
    <w:rsid w:val="56FD4849"/>
    <w:rsid w:val="5859443B"/>
    <w:rsid w:val="6C1366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124</Pages>
  <Words>13170</Words>
  <Characters>75070</Characters>
  <Lines>625</Lines>
  <Paragraphs>176</Paragraphs>
  <TotalTime>10</TotalTime>
  <ScaleCrop>false</ScaleCrop>
  <LinksUpToDate>false</LinksUpToDate>
  <CharactersWithSpaces>88064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2026-07-02T02:12:00Z</dcterms:created>
  <dc:creator>系统用户</dc:creator>
  <cp:lastModifiedBy>haotingting</cp:lastModifiedBy>
  <cp:lastPrinted>2013-02-18T03:10:00Z</cp:lastPrinted>
  <dcterms:modified xsi:type="dcterms:W3CDTF">2026-07-06T05:56:41Z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D6A666C126A446AEB160878452458E66</vt:lpwstr>
  </property>
</Properties>
</file>