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交银施罗德稳鑫短债债券型证券投资基金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34408702"/>
      <w:bookmarkStart w:id="1" w:name="_Toc4968846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稳鑫短债债券型证券投资基金（以下简称“本基金”）经2018年11月30日中国证券监督管理委员会（以下简称“中国证监会”）证监许可【2018】1995号文准予募集注册。本基金基金合同于2019年1月24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中小企业私募债的特有风险；投资资产支持证券的特有风险；连续六十个工作日出现基金份额持有人数量不满200人或基金资产净值低于5000万元情形时基金管理人可依基金合同约定提前终止基金合同的风险；投资本基金特有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本招募说明书所载内容截止日为2026年06月17日，有关财务和业绩表现数据截止日为2026年03月31日，财务和业绩表现数据未经审计。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"_Toc234408702"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_Toc234408702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"_Toc234408703"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_Toc234408703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"_Toc234408704"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_Toc234408704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"_Toc234408705"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_Toc234408705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"_Toc234408706"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_Toc234408706 \h </w:instrText>
      </w:r>
      <w:r>
        <w:rPr>
          <w:rFonts w:ascii="宋体" w:hAnsi="宋体"/>
          <w:sz w:val="24"/>
        </w:rPr>
        <w:fldChar w:fldCharType="separate"/>
      </w:r>
      <w:r>
        <w:rPr>
          <w:rFonts w:ascii="宋体" w:hAnsi="宋体"/>
          <w:sz w:val="24"/>
        </w:rPr>
        <w:t>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"_Toc234408707"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_Toc234408707 \h </w:instrText>
      </w:r>
      <w:r>
        <w:rPr>
          <w:rFonts w:ascii="宋体" w:hAnsi="宋体"/>
          <w:sz w:val="24"/>
        </w:rPr>
        <w:fldChar w:fldCharType="separate"/>
      </w:r>
      <w:r>
        <w:rPr>
          <w:rFonts w:ascii="宋体" w:hAnsi="宋体"/>
          <w:sz w:val="24"/>
        </w:rPr>
        <w:t>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"_Toc234408708"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_Toc234408708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"_Toc234408709"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_Toc234408709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"_Toc234408710"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_Toc234408710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"_Toc234408711"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_Toc234408711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"_Toc234408712"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_Toc234408712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"_Toc234408713"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_Toc234408713 \h </w:instrText>
      </w:r>
      <w:r>
        <w:rPr>
          <w:rFonts w:ascii="宋体" w:hAnsi="宋体"/>
          <w:sz w:val="24"/>
        </w:rPr>
        <w:fldChar w:fldCharType="separate"/>
      </w:r>
      <w:r>
        <w:rPr>
          <w:rFonts w:ascii="宋体" w:hAnsi="宋体"/>
          <w:sz w:val="24"/>
        </w:rPr>
        <w:t>88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"_Toc234408714"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_Toc234408714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"_Toc234408715"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_Toc234408715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"_Toc234408716"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_Toc234408716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"_Toc234408717"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_Toc234408717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"_Toc234408718"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_Toc234408718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"_Toc234408719"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_Toc234408719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"_Toc234408720"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_Toc234408720 \h </w:instrText>
      </w:r>
      <w:r>
        <w:rPr>
          <w:rFonts w:ascii="宋体" w:hAnsi="宋体"/>
          <w:sz w:val="24"/>
        </w:rPr>
        <w:fldChar w:fldCharType="separate"/>
      </w:r>
      <w:r>
        <w:rPr>
          <w:rFonts w:ascii="宋体" w:hAnsi="宋体"/>
          <w:sz w:val="24"/>
        </w:rPr>
        <w:t>112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"_Toc234408721"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_Toc234408721 \h </w:instrText>
      </w:r>
      <w:r>
        <w:rPr>
          <w:rFonts w:ascii="宋体" w:hAnsi="宋体"/>
          <w:sz w:val="24"/>
        </w:rPr>
        <w:fldChar w:fldCharType="separate"/>
      </w:r>
      <w:r>
        <w:rPr>
          <w:rFonts w:ascii="宋体" w:hAnsi="宋体"/>
          <w:sz w:val="24"/>
        </w:rPr>
        <w:t>115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"_Toc234408722"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_Toc234408722 \h </w:instrText>
      </w:r>
      <w:r>
        <w:rPr>
          <w:rFonts w:ascii="宋体" w:hAnsi="宋体"/>
          <w:sz w:val="24"/>
        </w:rPr>
        <w:fldChar w:fldCharType="separate"/>
      </w:r>
      <w:r>
        <w:rPr>
          <w:rFonts w:ascii="宋体" w:hAnsi="宋体"/>
          <w:sz w:val="24"/>
        </w:rPr>
        <w:t>122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"_Toc234408723"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_Toc234408723 \h </w:instrText>
      </w:r>
      <w:r>
        <w:rPr>
          <w:rFonts w:ascii="宋体" w:hAnsi="宋体"/>
          <w:sz w:val="24"/>
        </w:rPr>
        <w:fldChar w:fldCharType="separate"/>
      </w:r>
      <w:r>
        <w:rPr>
          <w:rFonts w:ascii="宋体" w:hAnsi="宋体"/>
          <w:sz w:val="24"/>
        </w:rPr>
        <w:t>124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"_Toc234408724"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_Toc234408724 \h </w:instrText>
      </w:r>
      <w:r>
        <w:rPr>
          <w:rFonts w:ascii="宋体" w:hAnsi="宋体"/>
          <w:sz w:val="24"/>
        </w:rPr>
        <w:fldChar w:fldCharType="separate"/>
      </w:r>
      <w:r>
        <w:rPr>
          <w:rFonts w:ascii="宋体" w:hAnsi="宋体"/>
          <w:sz w:val="24"/>
        </w:rPr>
        <w:t>141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"_Toc234408725"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_Toc234408725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"_Toc234408726"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_Toc234408726 \h </w:instrText>
      </w:r>
      <w:r>
        <w:rPr>
          <w:rFonts w:ascii="宋体" w:hAnsi="宋体"/>
          <w:sz w:val="24"/>
        </w:rPr>
        <w:fldChar w:fldCharType="separate"/>
      </w:r>
      <w:r>
        <w:rPr>
          <w:rFonts w:ascii="宋体" w:hAnsi="宋体"/>
          <w:sz w:val="24"/>
        </w:rPr>
        <w:t>159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"_Toc234408727"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_Toc234408727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"_Toc234408728"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_Toc234408728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408703"/>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稳鑫短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稳鑫短债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408704"/>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1、基金或本基金：指交银施罗德稳鑫短债债券型证券投资基金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4、基金合同或《基金合同》：指《交银施罗德稳鑫短债债券型证券投资基金基金合同》及对基金合同的任何有效修订和补充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5、托管协议：指基金管理人与基金托管人就本基金签订之《交银施罗德稳鑫短债债券型证券投资基金托管协议》及对该托管协议的任何有效修订和补充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6、招募说明书、本招募说明书或《招募说明书》：指《交银施罗德稳鑫短债债券型证券投资基金招募说明书》及其更新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7、基金份额发售公告：指《交银施罗德稳鑫短债债券型证券投资基金基金份额发售公告》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8、基金产品资料概要：指《交银施罗德稳鑫短债债券型证券投资基金基金产品资料概要》及其更新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15、流动性受限资产：指由于法律法规、监管、合同或操作障碍等原因无法以合理价格予以变现的资产，包括但不限于到期日在 10 个交易日以上的逆回购与银行定期存款（含协议约定有条件提前支取的银行存款）、资产支持证券、因发行人债务违约无法进行转让或交易的债券等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45、销售服务费：指从基金资产中计提的，用于本基金市场推广、销售以及基金份额持有人服务的费用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基金份额类别：指本基金根据认购/申购费用、赎回费、销售服务费收取标准和方式的不同，将基金份额分为不同的类别。在投资人认购/申购时收取认购/申购费用、赎回时收取赎回费的，称为A类基金份额；在投资人认购/申购时不收取认购/申购费用、赎回时收取赎回费的，同时从本类别基金资产中计提销售服务费的，称为C类基金份额；在投资人申购时收取申购费用、赎回时收取赎回费的，称为D类基金份额；在投资人申购时不收取申购费用、赎回时收取赎回费的，同时从本类别基金资产中计提销售服务费的，称为E类基金份额；A类基金份额与D类基金份额设置不同的申购费、赎回费收取标准；C类基金份额与E类基金份额设置不同的销售服务费、赎回费收取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52、基金收益：指基金投资所得债券利息、买卖证券价差、银行存款利息、已实现的其他合法收入及因运用基金财产带来的成本和费用的节约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408705"/>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姬静女士:基金经理。北京大学经济学硕士、对外经济贸易大学经济学学士。13年证券投资相关工作经验。2013年至2015年任中国工商银行总行资产管理部投资经理 ，2015年至2016年任法国巴黎银行（中国）有限公司全球市场部信用分析师。2016年加入交银施罗德基金管理有限公司，曾任固定收益部高级研究员、基金经理助理，现任固定收益部基金经理。曾任交银施罗德裕盈纯债债券型证券投资基金(2022年11月12日至2025年01月15日)的基金经理。现任交银施罗德境尚收益债券型证券投资基金(2022年08月20日至今)、交银施罗德稳鑫短债债券型证券投资基金(2022年08月20日至今)、交银施罗德稳安60天滚动持有债券型证券投资基金(2023年01月09日至今)、交银施罗德稳安90天持有期债券型证券投资基金(2023年04月25日至今)、交银施罗德120天滚动持有债券型证券投资基金(2025年09月02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黄莹洁女士(2019年01月24日至2024年11月09日)。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408706"/>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名称：招商银行股份有限公司（以下简称“招商银行”）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设立日期：1987年3月31日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行长：王小青（拟任）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资产托管部信息披露负责人：张姗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截至2026年3月31日，招商银行股份有限公司累计托管1813只证券投资基金。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招商银行资产托管业务建立三级内部控制及风险防范体系：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内部控制原则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（1）全面性原则。内部控制覆盖各项业务过程和操作环节、覆盖所有团队和岗位，并由全部人员参与。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（7）重要性原则。内部控制在实现全面控制的基础上，关注重要托管业务重要事项和高风险环节。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408707"/>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（9）名称：江苏银行股份有限公司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（30）名称：天风证券股份有限公司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注册地址：湖北省武汉市东湖新技术开发区关东园路2号高科大厦4楼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办公地址：武汉市武昌区中南路99号保利广场A座37楼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法定代表人：余磊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联系电话：027-87107535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传真：027-87618863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联系人：王雅薇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客户服务电话：95391 / 400-800-5000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网址：www.tfzq.com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（83）名称：上海攀赢基金销售有限公司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客户服务电话：021-68889082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网址：www.weonefunds.com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bookmarkStart w:id="29" w:name="_GoBack"/>
      <w:bookmarkEnd w:id="29"/>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408708"/>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本基金由基金管理人依照《基金法》、《运作办法》、《销售办法》、基金合同及其他有关规定，并经中国证监会2018年11月30日证监许可【2018】1995号文准予募集注册。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本基金为契约型债券型证券投资基金。基金存续期间为不定期。本基金募集期间基金份额净值为人民币1.00元，按初始面值发售。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本基金自2019年1月7日起至2019年1月18日止进行发售。本基金设立募集期共募集1,623,201,201.21份基金份额，有效认购户数为5,948户。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408709"/>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根据有关规定，本基金满足基金合同生效条件，基金合同已于2019年1月24日正式生效。自基金合同生效之日起，本基金管理人正式开始管理本基金。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408710"/>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C类基金份额、D类基金份额和E类基金份额的申购、赎回、转换、定期定额投资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本基金A类基金份额和C类基金份额已于2019年2月26日起开放申购、赎回业务。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本基金D类基金份额已于2022年7月19日起开放申购、赎回业务。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本基金E类基金份额已于2024年3月21日起开放申购、赎回业务。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本基金各类基金份额单笔申购最低金额可由基金管理人酌情调整。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赎回份额和最低基金份额保留余额的数量限制。基金管理人必须在调整实施前依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C类基金份额、D类基金份额和E类基金份额，投资人申购A类基金份额或D类基金份额在申购时支付申购费用，申购C类基金份额或E类基金份额不支付申购费用，而是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A类基金份额和D类基金份额的申购费用由该类基金份额申购人承担，不列入基金财产，主要用于本基金的市场推广、销售、登记结算等各项费用。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D类基金份额申购费率</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本基金对通过基金管理人直销柜台申购A类基金份额或D类基金份额的养老金客户实施特定申购费率。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本基金管理人可根据业务情况调整上述交易费用和限额要求，并依据相关法规的要求提前进行公告。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C类基金份额、D类基金份额或E类基金份额收取赎回费用，该费用随基金份额的持有时间递减。本基金A类基金份额、C类基金份额、D类基金份额和E类基金份额的赎回费用由该类基金份额赎回人承担，对于持续持有期间少于7日的投资人收取的赎回费全额计入基金财产，对于持续持有期间大于等于7日的投资人收取的赎回费总额的25%应归基金财产，其余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本基金E类基金份额的赎回费率如下：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在对存量基金份额持有人无实质性不利影响的前提下，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C类基金份额、D类基金份额或E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C类基金份额、D类基金份额或E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例一：某投资者（非养老金客户）投资100,000元申购本基金的A类基金份额，假设申购当日A类基金份额净值为1.0400元，申购费率为0.3%，则其可得到的申购份额为：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净申购金额=100,000/（1+0.3%）=99,700.90元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申购费用=100,000-99,700.90=299.10元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申购份额=（100,000-299.10）/1.0400=95,866.25份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即：某投资者（非养老金客户）投资100,000元申购本基金，假设申购当日A类基金份额净值为1.0400元，如果其选择申购A类基金份额，则其可得到95,866.25份A类基金份额。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例二：某养老金客户投资100,000元通过基金管理人的直销柜台申购本基金的A类基金份额，假设申购当日A类基金份额净值为1.0400元，申购费率为0.12%，则其可得到的申购份额为：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净申购金额=100,000/（1+0.12%）=99,880.14元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申购费用=100,000-99,880.14=119.86元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申购份额=（100,000-119.86）/1.0400=96,038.60份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即：该养老金客户投资100,000元通过基金管理人的直销柜台申购本基金的A类基金份额，假设申购当日A类基金份额净值为1.0400元，则其可得到96,038.60份A类基金份额。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如果投资者选择申购D类基金份额，则申购份额的计算方法如下：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T日D类基金份额净值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例四：某投资者（非养老金客户）投资100,000元申购本基金的D类基金份额，假设申购当日D类基金份额净值为1.0400元，申购费率为0.4%，则其可得到的申购份额为：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净申购金额=100,000/（1+0.4%）=99,601.59元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申购费用=100,000-99,601.59=398.41元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申购份额=（100,000-398.41）/1.0400=95,770.76份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即：某投资者（非养老金客户）投资100,000元申购本基金，假设申购当日D类基金份额净值为1.0400元，如果其选择申购D类基金份额，则其可得到95,770.76份D类基金份额。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例五：某养老金客户投资100,000元通过基金管理人的直销柜台申购本基金的D类基金份额，假设申购当日D类基金份额净值为1.0400元，申购费率为0.16%，则其可得到的申购份额为：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净申购金额=100,000/（1+0.16%）=99,840.26元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申购费用=100,000-99,840.26=159.74元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申购份额=（100,000-159.74）/1.0400=96,000.25份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即：该养老金客户投资100,000元通过基金管理人的直销柜台申购本基金的D类基金份额，假设申购当日D类基金份额净值为1.0400元，则其可得到96,000.25份D类基金份额。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（4）E类基金份额的申购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如果投资者选择申购E类基金份额，则申购份额的计算方法如下：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申购份额=申购总金额/T日E类基金份额净值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例六：某投资者投资100,000.00元申购本基金的E类基金份额，假设申购当日E类基金份额净值为1.0400元，则其可得到的申购份额为：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即：投资者投资100,000.00元申购本基金的E类基金份额，假设申购当日E类基金份额净值为1.0400元，则其可得到96,153.85份E类基金份额。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C类基金份额、D类基金份额或E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例七：某投资者赎回100,000份A类基金份额，持有期限为20日，对应的赎回费率为0.1%，假设赎回当日A类基金份额净值是1.0160元，则其可得到的赎回金额为：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即：投资者赎回100,000份A类基金份额，持有期限为20日，对应的赎回费率为0.1%，假设赎回当日A类基金份额净值是1.0160元，则其可得到的赎回金额为101,498.40元。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例八：某投资者赎回100,000份C类基金份额，持有期限为30日，对应的赎回费率为0，假设赎回当日C类基金份额净值是1.0160元，则其可得到的赎回金额为：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赎回金额=100,000×1.0160-0.00＝101,600.00元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即：投资者赎回100,000份C类基金份额，持有期限为30日，对应的赎回费率为0，假设赎回当日C类基金份额净值是1.0160元，则其可得到的赎回金额为101,600.00元。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投资者赎回D类基金份额，赎回金额的计算方法如下：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赎回费用=赎回份额×T日D类基金份额净值×赎回费率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赎回金额=赎回份额×T日D类基金份额净值-赎回费用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例九：某投资者赎回100,000份D类基金份额，持有期限为10日，对应的赎回费率为0，假设赎回当日D类基金份额净值是1.0160元，则其可得到的赎回金额为：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赎回金额=100,000×1.0160-0.00＝101,600.00元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（4）E类基金份额的赎回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投资者赎回E类基金份额，赎回金额的计算方法如下：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赎回费用=赎回份额×T日E类基金份额净值×赎回费率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赎回金额=赎回份额×T日E类基金份额净值—赎回费用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例十：某投资者赎回100,000.00份E类基金份额，持有期限为6日，对应的赎回费率为1.5%，假设赎回当日E类基金份额净值是1.0160元，则其可得到的赎回金额为：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赎回费用=100,000.00×1.0160×1.5%＝1,524.00元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赎回金额=100,000.00×1.0160-1,524.00＝100,076.00元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即：投资者赎回100,000.00份E类基金份额，持有期限为6日，对应的赎回费率为1.5%，假设赎回当日E类基金份额净值是1.0160元，则其可得到的赎回金额为100,076.00元。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D类基金份额净值＝D类基金份额的基金资产净值总额/发行在外的D类基金份额总数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E类基金份额净值＝E类基金份额的基金资产净值总额/发行在外的E类基金份额总数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C类基金份额、D类基金份额和E类基金份额的基金份额净值的计算，均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5、发生继续接受赎回申请将损害现有基金份额持有人利益的情形时，可暂停接受投资人的赎回申请。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对于基金份额持有人未超过上述比例的部分，基金管理人可以根据前段“（1）全额赎回”或“（2）部分延期赎回”的约定方式与其他基金份额持有人的赎回申请一并办理。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2019年2月21日刊登公告自2019年2月26日起开通A类基金份额和C类基金份额的定期定额投资计划业务，本基金2022年7月14日刊登公告自2022年7月19日起增设D类基金份额并开通D类基金份额的定期定额投资计划业务，本基金2024年3月19日刊登公告自2024年3月21日起增设E类基金份额并开通E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基金份额的冻结手续、冻结方式按照登记机构的相关规定办理。基金份额被冻结的，被冻结部分产生的权益按照我国法律法规、监管规章及国家有权机关的要求以及登记机构业务规定来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408711"/>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本基金2019年2月21日刊登公告自2019年2月26日起开放A类基金份额和C类基金份额的日常转换业务，本基金2022年7月14日刊登公告自2022年7月19日起增设D类基金份额并开通D类基金份额的日常转换业务, 本基金2024年3月19日刊登公告自2024年3月21日起增设E类基金份额并开通E类基金份额的日常转换业务。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A类基金份额净值为2.2700元。若该投资者将100,000份交银趋势前端A类基金份额转换为交银成长前端A类基金份额，则转入交银成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408712"/>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在严格控制风险和保持较高流动性的前提下,力求获得高于业绩比较基准的投资收益。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（7）中小企业私募债券投资策略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（6）本基金主动投资于流动性受限资产的市值合计不得超过基金资产净值的 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（14）本基金持有单只中小企业私募债券，其市值不得超过基金资产净值的10%；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6）、（7）、（12）项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中债综合财富（1年以下）指数收益率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财富（1年以下）指数是中央国债登记结算有限责任公司编制的综合反映银行间债券市场和沪深交易所债券市场的跨市场短期债券指数，对短期债券价格变动趋势有较强的代表性。该指数合理、透明、公开，具有较好的市场接受度，作为衡量本基金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基金托管人招商银行股份有限公司根据本基金合同规定，于2026年04月20日复核了本报告中的财务指标、净值表现和投资组合报告等内容，保证复核内容不存在虚假记载、误导性陈述或者重大遗漏。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99.90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99.90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1,075,046.98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1,320,929.60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2,323,144,291.23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20,274,328.77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621,492,515.06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131,415,153.42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66,168,064.93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1,144,349,672.86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468,463,733.03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108.06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042580578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25永川高新CP002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100,787,835.62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012582551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25广州工投SCP003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100,724,602.74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042580538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25国网租赁CP009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90,729,823.56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212480072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24厦门国际银行债02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81,205,852.05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25农发21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80,963,879.45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2026年01月05日,国家金融监督管理总局珠海监管分局公示行政处罚决定书,给予广东华润银行股份有限公司--万元人民币的行政处罚。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2025年08月01日,国家金融监督管理总局公示行政处罚决定书,给予中国农业发展银行1020万元人民币的行政处罚。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2025年08月08日,央行广东省分行公示广东银罚决字[2025]24号行政处罚决定书,给予广东华润银行股份有限公司334.75万元人民币的行政处罚。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3,160.02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1,317,769.58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1,320,929.60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408713"/>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2019年度（自基金合同生效日起至2019年12月31日）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2019年度（自基金合同生效日起至2019年12月31日）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交银稳鑫短债债券D：</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2022年度（自基金份额类别首次确认起至2022年12月31日）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交银稳鑫短债债券E：</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2024年度（自基金份额类别首次确认起至2024年12月31日）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注：1、本基金的业绩比较基准为中债综合财富（1年以下）指数。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2、交银稳鑫短债债券D、交银稳鑫短债债券E上述“自基金合同生效起至今”实际为“自基金份额类别首次确认起至今”，下同。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交银施罗德稳鑫短债债券型证券投资基金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（2019年1月24日至2026年03月31日）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交银稳鑫短债债券E：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2、本基金自2022年7月19日起，开始销售D类份额，投资者提交的申购申请于2022年7月20日被确认并将有效份额登记在册。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3、本基金自2024年3月21日起，开始销售E类份额，投资者提交的申购申请于2024年3月22日被确认并将有效份额登记在册。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408714"/>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408715"/>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基金所拥有的债券和其它投资等持续以公允价值计量的金融资产及负债。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（1）交易所上市交易或挂牌转让的固定收益品种（本合同另有规定的除外），选取估值日第三方估值机构提供的相应品种对应的估值净价估值，具体估值机构由基金管理人与托管人另行协商约定；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3、全国银行间债券市场交易的债券、资产支持证券等固定收益品种，以第三方估值机构提供的价格数据估值；对银行间市场未上市，且第三方估值机构未提供估值价格的债券，按成本估值。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4、中小企业私募债券采用估值技术确定公允价值，估值技术难以确定和计量其公允价值的，按成本估值。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7、当发生大额申购或赎回情形时，基金管理人可以对本基金采用摆动定价机制，以确保基金估值的公平性。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基金管理人于每个工作日分别计算A类基金份额、C类基金份额、D类基金份额、E类基金份额的基金资产净值及基金份额净值，并按规定公告。如遇特殊情况，经中国证监会同意，可以适当延迟计算或公告。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408716"/>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1、由于本基金A类基金份额和D类基金份额不收取销售服务费，C类基金份额和E类基金份额收取销售服务费，各基金份额类别对应的可供分配利润将有所不同；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C类基金份额、D类基金份额和E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408717"/>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9、本基金从C类基金份额、E类基金份额的基金财产中计提的销售服务费；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本基金的管理费按前一日基金资产净值的0.3%年费率计提。管理费的计算方法如下：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H＝E×0.3%÷当年天数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本基金的托管费按前一日基金资产净值的0.1%的年费率计提。托管费的计算方法如下：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（3）C类基金份额、E类基金份额的销售服务费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本基金A类基金份额和D类基金份额不收取销售服务费。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E类基金份额的销售服务费按前一日E类基金资产净值的0.5%年费率计提。计算方法如下：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H为E类基金份额每日应计提的销售服务费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E为E类基金份额前一日基金资产净值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和E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履行适当的程序后调整基金管理费率、基金托管费率和销售服务费率等相关费率。降低C类基金份额或E类基金份额销售服务费率，无需召开基金份额持有人大会。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408718"/>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408719"/>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C类基金份额、D类基金份额和E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基金管理人应当在不晚于半年度和年度最后一日的次日，在指定网站披露半年度和年度最后一日A类基金份额、C类基金份额、D类基金份额和E类基金份额所对应的基金份额净值和基金份额累计净值。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13、基金投资中小企业私募债情况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408720"/>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408721"/>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对于基金份额持有人未超过上述比例的部分，基金管理人可以根据前段“（1）全额赎回”或“（2）部分延期赎回”的约定方式与其他基金份额持有人的赎回申请一并办理。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408722"/>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2、关于《基金合同》变更的基金份额持有人大会决议自决议通过之日起生效，生效后方可执行，并自决议生效后依照《信息披露办法》的规定在指定媒介公告。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3、连续60个工作日出现基金份额持有人数量不满200人或者基金资产净值低于5000万元情形的，基金管理人可提前终止基金合同，不需召开基金份额持有人大会；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408723"/>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3）在法律法规及《基金合同》规定的范围内调整本基金的申购费率、调低赎回费率、在对现有基金份额持有人利益无实质性不利影响的前提下变更收费方式；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7）在符合法律法规及本基金合同规定、并且对基金份额持有人利益无实质不利影响的前提下，经与基金托管人协商一致，调整本基金份额类别的设置；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（2）通讯开会。通讯开会系指基金份额持有人将其对表决事项的投票以会议通知载明的形式在表决截止日以前送达至召集人指定的地址或系统。通讯开会应以书面方式或大会公告载明的其他方式进行表决。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总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（2）关于《基金合同》变更的基金份额持有人大会决议自表决通过之日起生效，生效后方可执行，并自决议生效后依照《信息披露办法》的规定在指定媒介公告。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（3）连续60个工作日出现基金份额持有人数量不满200人或者基金资产净值低于5000万元情形的，基金管理人可提前终止基金合同，不需召开基金份额持有人大会；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华南国际经济贸易仲裁委员会，按照华南国际经济贸易仲裁委员会届时有效的仲裁规则进行仲裁。仲裁地点为深圳市。仲裁裁决是终局的，对各方当事人均有约束力，除非仲裁裁决另有规定，仲裁费用由败诉方承担。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408724"/>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 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 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邮政编码：518040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（1）本基金的投资范围为：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（2）本基金各类品种的投资比例、投资限制为：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6）本基金主动投资于流动性受限资产的市值合计不得超过基金资产净值的 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14）本基金持有单只中小企业私募债券，其市值不得超过基金资产净值的10%；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6）、7）、12）项外，因证券市场波动、证券发行人合并、基金规模变动等基金管理人之外的因素致使基金投资比例不符合上述规定投资比例的，基金管理人应当在10个交易日内进行调整，但中国证监会规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（3）本基金财产不得用于以下投资或者活动：1）承销证券；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（5）基金管理人应当自基金合同生效日起6个月内使基金的投资组合比例符合基金合同的有关约定。在上述期间内，本基金的投资范围、投资策略应当符合基金合同的约定。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的投资的监督与检查自本基金合同生效之日起开始。因证券市场波动、证券发行人合并或基金规模变动等基金管理人之外的原因导致投资比例不符合上述规定的，基金管理人应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法律法规及监管政策等对基金合同约定的投资禁止行为和投资组合比例限制进行变更的，本基金可相应调整禁止行为和投资比例限制规定，不需经基金份额持有人大会审议。《基金法》及其他有关法律法规或监管部门取消上述限制的，履行适当程序后，基金不受上述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3、基金投资银行存款协议的签订、账户开设与管理、投资指令与资金划付、账目核对、到期兑付、提前支取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（1）基金投资银行存款协议的签订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2）基金托管人依据相关法规对《总体合作协议》和《存款协议书》的内容进行复核，审查存款银行资格等。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存款银行指定的存放存款的分支机构（以下简称“存款分支机构”）寄送、上门交付或双方约定方式送达存款证实书或其他有效存款凭证的，基金托管人可向存款分支机构的上级行发出存款余额询证函，存款分支机构及其上级行应予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（2）基金投资银行存款时的账户开设与管理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2）基金投资于银行存款时的预留印鉴由基金托管人保管和使用。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（3）存款凭证传递、账目核对及到期兑付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1）存款证实书等存款凭证传递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2）存款凭证的遗失补办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存款凭证在邮寄过程中遗失的，由基金管理人向存款银行提出补办申请，基金管理人应督促存款银行尽快补办存款凭证，并按以上1）的方式快递或上门交送至托管人，原存款凭证自动作废。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3）账目核对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提前通知基金托管人通过快递或双方约定方式将存款凭证原件寄给存款银行分支机构指定的会计主管。存款银行未收到存款凭证原件的，应与基金托管人电话询问。存款到期前基金管理人与存款银行确认存款凭证收到并于到期日兑付存款本息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提前支取的具体事项按照基金管理人与存款银行签订的《存款协议书》执行。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（5）基金投资银行存款的监督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风险防范，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（3）基金托管人按照规定开设基金财产的资金账户和证券账户等投资所需的相关账户。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稳鑫短债债券型证券投资基金”，预留印鉴为基金托管人印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（3）基金资金账户的开立和管理应符合法律法规及银行业监督管理机构的有关规定。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（五）基金资产净值计算、估值和会计核算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各类基金份额的基金份额净值是指估值日该类基金份额的基金资产净值除以估值日该类基金份额总数，基金份额净值的计算，精确到0.0001元，小数点后第五位四舍五入，国家另有规定的，从其规定。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基金管理人每个工作日计算各类基金份额的基金资产净值、基金份额净值，经基金托管人复核，按规定公告，但基金管理人根据法律法规或基金合同的规定暂停估值时除外。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基金管理人及基金托管人应当按照《基金合同》的约定处理份额净值错误。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每月结束后5个工作日内完成月度报表的编制及复核；在每个季度结束之日起15个工作日内完成基金季度报告的编制及复核；在上半年结束之日起60日内完成基金半年度报告的编制及复核；在每年结束之日起90日内完成基金年度报告的编制及复核。基金托管人在复核过程中，发现双方的报表存在不符时，基金管理人和基金托管人应共同查明原因，进行调整，调整以国家有关规定为准。基金年度报告的财务会计报告应当经过审计。基金合同生效不足两个月的，基金管理人可以不编制当期季度报告、半年度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7、在有需要时，基金管理人应每季度向基金托管人提供基金业绩比较基准的基础数据和编制结果。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华南国际经济贸易仲裁委员会，按照华南国际经济贸易仲裁委员会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本协议受中华人民共和国法律（不含港澳台立法）管辖。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（3）基金管理人因解散、破产、撤销等事由，不能继续担任基金管理人的职务，而在6个月内无其他适当的基金管理公司承接其原有权利义务；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（4）发生法律法规或《基金合同》规定的其他终止事项。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基金管理人与基金托管人按照《基金合同》的约定处理基金财产的清算。</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408725"/>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A类基金份额、C类基金份额、D类基金份额和E类基金份额的申购、赎回、定期定额投资和转换等业务。通过网上直销交易平台办理本基金A类基金份额或D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基金份额、C类基金份额、D类基金份额和E类基金份额分别选择不同的收益分配方式。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408726"/>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交银施罗德稳鑫短债债券型证券投资基金（E类份额）基金产品资料概要更新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交银施罗德基金管理有限公司关于增加上海长量基金销售有限公司为旗下基金的销售机构的公告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交银施罗德基金管理有限公司关于交银施罗德稳鑫短债债券型证券投资基金于2025年“国庆节”假期前调整大额申购（转换转入、定期定额投资）业务限额的公告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交银施罗德基金管理有限公司关于交银施罗德稳鑫短债债券型证券投资基金于2026年“元旦”假期前调整大额申购（转换转入、定期定额投资）业务限额的公告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交银施罗德基金管理有限公司关于交银施罗德稳鑫短债债券型证券投资基金于2026年“春节”假期前调整大额申购（转换转入、定期定额投资）业务限额的公告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交银施罗德基金管理有限公司关于交银施罗德稳鑫短债债券型证券投资基金于2026年“劳动节”假期前调整大额申购（转换转入、定期定额投资）业务限额的公告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408727"/>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4408728"/>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（一）中国证监会准予交银施罗德稳鑫短债债券型证券投资基金募集注册的文件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（二）《交银施罗德稳鑫短债债券型证券投资基金基金合同》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（三）《交银施罗德稳鑫短债债券型证券投资基金托管协议》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（六）关于申请募集注册交银施罗德稳鑫短债债券型证券投资基金的法律意见书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交银施罗德稳鑫短债债券型证券投资基金招募说明书更新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交银施罗德稳鑫短债债券型证券投资基金招募说明书更新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交银施罗德稳鑫短债债券型证券投资基金招募说明书更新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8AC"/>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2BF6"/>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4A0"/>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681F"/>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6EC20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164</Pages>
  <Words>16973</Words>
  <Characters>96751</Characters>
  <Lines>806</Lines>
  <Paragraphs>226</Paragraphs>
  <TotalTime>0</TotalTime>
  <ScaleCrop>false</ScaleCrop>
  <LinksUpToDate>false</LinksUpToDate>
  <CharactersWithSpaces>113498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2026-07-08T05:11:00Z</dcterms:created>
  <dc:creator>系统用户</dc:creator>
  <cp:lastModifiedBy>haotingting</cp:lastModifiedBy>
  <cp:lastPrinted>2013-02-18T03:10:00Z</cp:lastPrinted>
  <dcterms:modified xsi:type="dcterms:W3CDTF">2026-07-08T07:31:09Z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116826D19FBF468BAE122DEC26C5AE9B</vt:lpwstr>
  </property>
</Properties>
</file>