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交银施罗德稳鑫短债债券型证券投资基金（C类份额）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交银稳鑫短债债券C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006794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中债综合财富（1年以下）指数收益率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详见《交银施罗德稳鑫短债债券型证券投资基金招募说明书》“基金的投资”。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2、本基金合同于2019年1月24日生效，合同生效当年净值增长率按实际存续期计算。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交易证券、基金等产生的费用和税负，按实际发生额从基金资产扣除。上表中披露的年费用金额为基金整体承担费用，非单个份额类别费用，且年金额为预估值，最终实际金额以基金定期报告披露为准。2、此处披露的销售服务费为最新合同约定费率，不含费率优惠。下文中计算基金运作综合费率时使用的是基金现行费率，具体请参见公司官网销售服务费优惠活动的公告。</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应向中国证监会报告，并可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●《交银施罗德稳鑫短债债券型证券投资基金基金合同》、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《交银施罗德稳鑫短债债券型证券投资基金托管协议》、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《交银施罗德稳鑫短债债券型证券投资基金招募说明书》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8517C"/>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2532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632</Words>
  <Characters>3606</Characters>
  <Lines>30</Lines>
  <Paragraphs>8</Paragraphs>
  <TotalTime>12</TotalTime>
  <ScaleCrop>false</ScaleCrop>
  <LinksUpToDate>false</LinksUpToDate>
  <CharactersWithSpaces>4230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2026-06-30T07:36:00Z</dcterms:created>
  <dc:creator>Cc</dc:creator>
  <cp:lastModifiedBy>haotingting</cp:lastModifiedBy>
  <dcterms:modified xsi:type="dcterms:W3CDTF">2026-06-30T07:53:11Z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8801A400C09B42038081718CAE1087C3</vt:lpwstr>
  </property>
</Properties>
</file>