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交银施罗德丰盈收益债券型证券投资基金（C类份额）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交银丰盈收益债券C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005025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2014-08-11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追求在有效控制风险的前提下，力争为基金资产获得稳健的投资收益和超额回报。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基金的投资组合比例为投资于债券资产的比例不低于基金资产的80%，但在封闭期结束转开放的前后三个月内，基金投资不受上述债券资产投资比例限制。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详见《交银施罗德丰盈收益债券型证券投资基金招募说明书》“基金的投资”。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2、本基金份额于2017年8月15日开始确认，首次确认当年净值增长率按实际存续期计算。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3、本基金自2017年8月14日起转为开放式运作，本基金的业绩比较基准由“三年期银行定期存款税后收益率”变更为“中债综合全价指数”。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三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●《交银施罗德丰盈收益债券型证券投资基金基金合同》、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《交银施罗德丰盈收益债券型证券投资基金托管协议》、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《交银施罗德丰盈收益债券型证券投资基金招募说明书》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35D84"/>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1A361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594</Words>
  <Characters>3390</Characters>
  <Lines>28</Lines>
  <Paragraphs>7</Paragraphs>
  <TotalTime>14</TotalTime>
  <ScaleCrop>false</ScaleCrop>
  <LinksUpToDate>false</LinksUpToDate>
  <CharactersWithSpaces>3977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2026-06-24T08:05:00Z</dcterms:created>
  <dc:creator>Cc</dc:creator>
  <cp:lastModifiedBy>haotingting</cp:lastModifiedBy>
  <dcterms:modified xsi:type="dcterms:W3CDTF">2026-06-24T08:55:04Z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55AFCF16833E4A40884F46E33F63E8FF</vt:lpwstr>
  </property>
</Properties>
</file>