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交银施罗德定期支付月月丰债券型证券投资基金（A类份额）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交银定期支付月月丰债券A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2013-08-13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高扬</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2026-05-16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本基金精选具有较高息票率的债券，以获取稳定的债息收入，并通过适当参与股票市场，力争实现基金资产的长期增值。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货币市场工具、权证以及法律法规或中国证监会允许基金投资的其他金融工具(但须符合中国证监会的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固定收益类资产的比例不低于基金资产净值的80%，固定收益类资产包括国债、金融债、央行票据、地方政府债、企业债、公司债、短期融资券、中期票据、可转换债券及可分离转债、资产支持证券、次级债、债券回购等金融工具；对股票（含存托凭证）、权证等权益类资产的投资比例不高于基金资产的20%；其中现金或到期日在一年以内的政府债券的投资比例合计不低于基金资产净值的5%，现金不包括结算备付金、存出保证金和应收申购款等；本基金持有的全部权证，其市值不得超过基金资产净值的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自上而下决定债券组合久期、期限结构配置及债券类别配置；同时在严谨深入的信用分析基础上，综合考量企业债券的信用评级以及各类债券的流动性、供求关系和收益率水平等，自下而上地精选具有较高息票率的个券。同时，本基金深度关注股票、权证一级市场和二级市场的运行状况与相应风险收益特征，在严格控制基金资产运作风险的基础上，把握投资机会。</w:t>
            </w:r>
          </w:p>
          <w:p>
            <w:pPr>
              <w:ind w:firstLine="420"/>
              <w:jc w:val="left"/>
              <w:rPr>
                <w:rFonts w:ascii="仿宋_GB2312" w:eastAsia="仿宋_GB2312"/>
                <w:szCs w:val="21"/>
              </w:rPr>
            </w:pPr>
            <w:r>
              <w:rPr>
                <w:rFonts w:hint="eastAsia" w:ascii="仿宋_GB2312" w:eastAsia="仿宋_GB2312"/>
                <w:szCs w:val="21"/>
              </w:rPr>
              <w:t>1、资产配置策略；2、债券投资策略；3、股票投资策略。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90%×中债综合全价指数收益率+10%×沪深300指数收益率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预期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详见《交银施罗德定期支付月月丰债券型证券投资基金招募说明书》“基金的投资”。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66"/>
        <w:gridCol w:w="4163"/>
        <w:gridCol w:w="217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0.70%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95.90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1.10%</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本基金为债券型基金，固定收益类资产的比例不低于基金资产净值的80%，因投资固定收益类资产而面临的固定收益类资产市场的系统性风险和个券风险；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本基金可投资科创板股票和创业板股票，科创板和创业板个股上市后的前五个交易日不设价格涨跌幅限制，第六个交易日开始涨跌幅限制比例为20%。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6、本基金定期支付相关的特定风险</w:t>
      </w:r>
    </w:p>
    <w:p>
      <w:pPr>
        <w:ind w:firstLine="420"/>
        <w:jc w:val="left"/>
        <w:rPr>
          <w:rFonts w:ascii="仿宋_GB2312" w:eastAsia="仿宋_GB2312"/>
          <w:szCs w:val="21"/>
        </w:rPr>
      </w:pPr>
      <w:r>
        <w:rPr>
          <w:rFonts w:hint="eastAsia" w:ascii="仿宋_GB2312" w:eastAsia="仿宋_GB2312"/>
          <w:szCs w:val="21"/>
        </w:rPr>
        <w:t>（1）定期支付不等同于收益分配、（2）年化现金支付比率不代表基金实际投资收益率、（3）定期支付被确认失败的风险、（4）年化现金支付比率发生调整的风险</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●《交银施罗德定期支付月月丰债券型证券投资基金基金合同》、</w:t>
      </w:r>
    </w:p>
    <w:p>
      <w:pPr>
        <w:ind w:firstLine="420"/>
        <w:jc w:val="left"/>
        <w:rPr>
          <w:rFonts w:ascii="仿宋_GB2312" w:eastAsia="仿宋_GB2312"/>
          <w:szCs w:val="21"/>
        </w:rPr>
      </w:pPr>
      <w:r>
        <w:rPr>
          <w:rFonts w:hint="eastAsia" w:ascii="仿宋_GB2312" w:eastAsia="仿宋_GB2312"/>
          <w:szCs w:val="21"/>
        </w:rPr>
        <w:t>《交银施罗德定期支付月月丰债券型证券投资基金托管协议》、</w:t>
      </w:r>
    </w:p>
    <w:p>
      <w:pPr>
        <w:ind w:firstLine="420"/>
        <w:jc w:val="left"/>
        <w:rPr>
          <w:rFonts w:ascii="仿宋_GB2312" w:eastAsia="仿宋_GB2312"/>
          <w:szCs w:val="21"/>
        </w:rPr>
      </w:pPr>
      <w:r>
        <w:rPr>
          <w:rFonts w:hint="eastAsia" w:ascii="仿宋_GB2312" w:eastAsia="仿宋_GB2312"/>
          <w:szCs w:val="21"/>
        </w:rPr>
        <w:t>《交银施罗德定期支付月月丰债券型证券投资基金招募说明书》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42324"/>
    <w:rsid w:val="00C0525C"/>
    <w:rsid w:val="00CD7637"/>
    <w:rsid w:val="00D04A15"/>
    <w:rsid w:val="00D373CC"/>
    <w:rsid w:val="00DB319C"/>
    <w:rsid w:val="00E51B6D"/>
    <w:rsid w:val="00F75715"/>
    <w:rsid w:val="00F811C4"/>
    <w:rsid w:val="00FC2918"/>
    <w:rsid w:val="7B240A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669</Words>
  <Characters>3815</Characters>
  <Lines>31</Lines>
  <Paragraphs>8</Paragraphs>
  <TotalTime>10</TotalTime>
  <ScaleCrop>false</ScaleCrop>
  <LinksUpToDate>false</LinksUpToDate>
  <CharactersWithSpaces>4476</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2026-06-24T08:05:00Z</dcterms:created>
  <dc:creator>Cc</dc:creator>
  <cp:lastModifiedBy>haotingting</cp:lastModifiedBy>
  <dcterms:modified xsi:type="dcterms:W3CDTF">2026-06-24T08:39:03Z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28EFC639FCBD4CD8BD273B8E47121A9D</vt:lpwstr>
  </property>
</Properties>
</file>