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277BBA">
      <w:pPr>
        <w:rPr>
          <w:sz w:val="32"/>
        </w:rPr>
      </w:pPr>
    </w:p>
    <w:p w:rsidR="00C92FC0" w:rsidRPr="00EB07BC" w:rsidRDefault="00277BBA">
      <w:pPr>
        <w:rPr>
          <w:sz w:val="32"/>
        </w:rPr>
      </w:pPr>
    </w:p>
    <w:p w:rsidR="00C92FC0" w:rsidRPr="00EB07BC" w:rsidRDefault="00277BBA">
      <w:pPr>
        <w:rPr>
          <w:sz w:val="32"/>
        </w:rPr>
      </w:pPr>
    </w:p>
    <w:p w:rsidR="00346D69" w:rsidRDefault="00346D6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46D69" w:rsidRDefault="00346D6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46D69" w:rsidRDefault="00346D6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346D69" w:rsidRDefault="00D204E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交银施罗德瑞思混合型证券投资基金（</w:t>
      </w:r>
      <w:r>
        <w:rPr>
          <w:rFonts w:ascii="Times New Roman" w:hAnsi="Times New Roman"/>
          <w:b/>
          <w:spacing w:val="2"/>
          <w:w w:val="99"/>
          <w:kern w:val="0"/>
          <w:position w:val="-4"/>
          <w:sz w:val="44"/>
          <w:szCs w:val="44"/>
        </w:rPr>
        <w:t>LOF</w:t>
      </w:r>
      <w:r>
        <w:rPr>
          <w:rFonts w:ascii="Times New Roman" w:hAnsi="Times New Roman"/>
          <w:b/>
          <w:spacing w:val="2"/>
          <w:w w:val="99"/>
          <w:kern w:val="0"/>
          <w:position w:val="-4"/>
          <w:sz w:val="44"/>
          <w:szCs w:val="44"/>
        </w:rPr>
        <w:t>）</w:t>
      </w:r>
    </w:p>
    <w:p w:rsidR="00346D69" w:rsidRDefault="00D204E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346D69" w:rsidRDefault="00346D69">
      <w:pPr>
        <w:snapToGrid w:val="0"/>
        <w:spacing w:line="360" w:lineRule="auto"/>
        <w:jc w:val="center"/>
        <w:rPr>
          <w:rFonts w:ascii="宋体" w:hAnsi="宋体"/>
          <w:b/>
          <w:sz w:val="30"/>
          <w:szCs w:val="30"/>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D204E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346D69" w:rsidRDefault="00D204E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346D6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346D69" w:rsidRDefault="00D204E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346D69" w:rsidRDefault="00346D69">
      <w:pPr>
        <w:autoSpaceDE w:val="0"/>
        <w:autoSpaceDN w:val="0"/>
        <w:adjustRightInd w:val="0"/>
        <w:snapToGrid w:val="0"/>
        <w:spacing w:line="360" w:lineRule="auto"/>
        <w:ind w:left="1347" w:rightChars="6" w:right="13"/>
        <w:rPr>
          <w:rFonts w:ascii="宋体" w:hAnsi="宋体"/>
          <w:kern w:val="0"/>
          <w:sz w:val="32"/>
          <w:szCs w:val="32"/>
        </w:rPr>
        <w:sectPr w:rsidR="00346D6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346D69" w:rsidRDefault="00D204E0">
      <w:pPr>
        <w:pStyle w:val="1"/>
        <w:snapToGrid w:val="0"/>
        <w:spacing w:beforeLines="0" w:before="240" w:after="240"/>
        <w:rPr>
          <w:rFonts w:ascii="宋体" w:hAnsi="宋体"/>
          <w:kern w:val="0"/>
        </w:rPr>
      </w:pPr>
      <w:bookmarkStart w:id="0" w:name="_Toc324920538"/>
      <w:bookmarkStart w:id="1" w:name="_Toc496884613"/>
      <w:bookmarkStart w:id="2" w:name="_Toc234247822"/>
      <w:r>
        <w:rPr>
          <w:rFonts w:ascii="Times New Roman" w:hAnsi="Times New Roman"/>
          <w:kern w:val="0"/>
        </w:rPr>
        <w:lastRenderedPageBreak/>
        <w:t>重要提示</w:t>
      </w:r>
      <w:bookmarkEnd w:id="0"/>
      <w:bookmarkEnd w:id="1"/>
      <w:bookmarkEnd w:id="2"/>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交银施罗德瑞思混合型证券投资基金（</w:t>
      </w:r>
      <w:r>
        <w:rPr>
          <w:rFonts w:ascii="Times New Roman" w:hAnsi="Times New Roman"/>
          <w:kern w:val="0"/>
          <w:sz w:val="24"/>
        </w:rPr>
        <w:t>LOF</w:t>
      </w:r>
      <w:r>
        <w:rPr>
          <w:rFonts w:ascii="Times New Roman" w:hAnsi="Times New Roman"/>
          <w:kern w:val="0"/>
          <w:sz w:val="24"/>
        </w:rPr>
        <w:t>）由交银施罗德瑞思三年封闭运作混合型证券投资基金封闭期届满后更名而来。交银施罗德瑞思三年封闭运作混合型证券投资基金（以下与交银施罗德瑞思混合型证券投资基金（</w:t>
      </w:r>
      <w:r>
        <w:rPr>
          <w:rFonts w:ascii="Times New Roman" w:hAnsi="Times New Roman"/>
          <w:kern w:val="0"/>
          <w:sz w:val="24"/>
        </w:rPr>
        <w:t>LOF</w:t>
      </w:r>
      <w:r>
        <w:rPr>
          <w:rFonts w:ascii="Times New Roman" w:hAnsi="Times New Roman"/>
          <w:kern w:val="0"/>
          <w:sz w:val="24"/>
        </w:rPr>
        <w:t>）简称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2019</w:t>
      </w:r>
      <w:r>
        <w:rPr>
          <w:rFonts w:ascii="Times New Roman" w:hAnsi="Times New Roman"/>
          <w:kern w:val="0"/>
          <w:sz w:val="24"/>
        </w:rPr>
        <w:t>】</w:t>
      </w:r>
      <w:r>
        <w:rPr>
          <w:rFonts w:ascii="Times New Roman" w:hAnsi="Times New Roman"/>
          <w:kern w:val="0"/>
          <w:sz w:val="24"/>
        </w:rPr>
        <w:t>2666</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日正式生效。</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封闭期无法赎回和开放期大量赎回导致的流动性风险；信用风险；投资资产支持证券的特定风险；投资股指期货的特定风险；投资科创板股票的特定风险；连续五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万元情形时，基金管理人可依基金合同约定提前终止基金合同的风险；投资本基金特有的其他风险等等。</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w:t>
      </w:r>
      <w:r>
        <w:rPr>
          <w:rFonts w:ascii="Times New Roman" w:hAnsi="Times New Roman"/>
          <w:kern w:val="0"/>
          <w:sz w:val="24"/>
        </w:rPr>
        <w:lastRenderedPageBreak/>
        <w:t>种或多种基础资产或指数，其评价主要源自于对挂钩资产的价格与价格波动的预期。投资股指期货所面临的风险主要是市场风险、流动性风险、基差风险、保证金风险、信用风险和操作风险。</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根据基金合同的约定，基金合同生效后，前三年封闭运作，在封闭期内，本基金不办理申购、赎回业务，但投资人可在本基金上市交易后通过上海证券交易所转让基金份额。封闭期届满后，本基金转为上市开放式基金（</w:t>
      </w:r>
      <w:r>
        <w:rPr>
          <w:rFonts w:ascii="Times New Roman" w:hAnsi="Times New Roman"/>
          <w:kern w:val="0"/>
          <w:sz w:val="24"/>
        </w:rPr>
        <w:t>LOF</w:t>
      </w:r>
      <w:r>
        <w:rPr>
          <w:rFonts w:ascii="Times New Roman" w:hAnsi="Times New Roman"/>
          <w:kern w:val="0"/>
          <w:sz w:val="24"/>
        </w:rPr>
        <w:t>），基金名称相应变更为</w:t>
      </w:r>
      <w:r>
        <w:rPr>
          <w:rFonts w:ascii="Times New Roman" w:hAnsi="Times New Roman"/>
          <w:kern w:val="0"/>
          <w:sz w:val="24"/>
        </w:rPr>
        <w:t>“</w:t>
      </w:r>
      <w:r>
        <w:rPr>
          <w:rFonts w:ascii="Times New Roman" w:hAnsi="Times New Roman"/>
          <w:kern w:val="0"/>
          <w:sz w:val="24"/>
        </w:rPr>
        <w:t>交银施罗德瑞思混合型证券投资基金（</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交银施罗德瑞思三年封闭运作混合型证券投资基金的封闭期自</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日起至</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日止。自</w:t>
      </w:r>
      <w:r>
        <w:rPr>
          <w:rFonts w:ascii="Times New Roman" w:hAnsi="Times New Roman"/>
          <w:kern w:val="0"/>
          <w:sz w:val="24"/>
        </w:rPr>
        <w:t>2023</w:t>
      </w:r>
      <w:r>
        <w:rPr>
          <w:rFonts w:ascii="Times New Roman" w:hAnsi="Times New Roman"/>
          <w:kern w:val="0"/>
          <w:sz w:val="24"/>
        </w:rPr>
        <w:t>年</w:t>
      </w:r>
      <w:r>
        <w:rPr>
          <w:rFonts w:ascii="Times New Roman" w:hAnsi="Times New Roman"/>
          <w:kern w:val="0"/>
          <w:sz w:val="24"/>
        </w:rPr>
        <w:t>2</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日起，本基金的基金名称变更为</w:t>
      </w:r>
      <w:r>
        <w:rPr>
          <w:rFonts w:ascii="Times New Roman" w:hAnsi="Times New Roman"/>
          <w:kern w:val="0"/>
          <w:sz w:val="24"/>
        </w:rPr>
        <w:t>“</w:t>
      </w:r>
      <w:r>
        <w:rPr>
          <w:rFonts w:ascii="Times New Roman" w:hAnsi="Times New Roman"/>
          <w:kern w:val="0"/>
          <w:sz w:val="24"/>
        </w:rPr>
        <w:t>交银施罗德瑞思混合型证券投资基金（</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，基金简称变更为</w:t>
      </w:r>
      <w:r>
        <w:rPr>
          <w:rFonts w:ascii="Times New Roman" w:hAnsi="Times New Roman"/>
          <w:kern w:val="0"/>
          <w:sz w:val="24"/>
        </w:rPr>
        <w:t>“</w:t>
      </w:r>
      <w:r>
        <w:rPr>
          <w:rFonts w:ascii="Times New Roman" w:hAnsi="Times New Roman"/>
          <w:kern w:val="0"/>
          <w:sz w:val="24"/>
        </w:rPr>
        <w:t>交银瑞思混合（</w:t>
      </w:r>
      <w:r>
        <w:rPr>
          <w:rFonts w:ascii="Times New Roman" w:hAnsi="Times New Roman"/>
          <w:kern w:val="0"/>
          <w:sz w:val="24"/>
        </w:rPr>
        <w:t>LOF</w:t>
      </w:r>
      <w:r>
        <w:rPr>
          <w:rFonts w:ascii="Times New Roman" w:hAnsi="Times New Roman"/>
          <w:kern w:val="0"/>
          <w:sz w:val="24"/>
        </w:rPr>
        <w:t>）</w:t>
      </w:r>
      <w:r>
        <w:rPr>
          <w:rFonts w:ascii="Times New Roman" w:hAnsi="Times New Roman"/>
          <w:kern w:val="0"/>
          <w:sz w:val="24"/>
        </w:rPr>
        <w:t>”</w:t>
      </w:r>
      <w:r>
        <w:rPr>
          <w:rFonts w:ascii="Times New Roman" w:hAnsi="Times New Roman"/>
          <w:kern w:val="0"/>
          <w:sz w:val="24"/>
        </w:rPr>
        <w:t>，场内简称与基金代码不变，场内简称为</w:t>
      </w:r>
      <w:r>
        <w:rPr>
          <w:rFonts w:ascii="Times New Roman" w:hAnsi="Times New Roman"/>
          <w:kern w:val="0"/>
          <w:sz w:val="24"/>
        </w:rPr>
        <w:t>“</w:t>
      </w:r>
      <w:r>
        <w:rPr>
          <w:rFonts w:ascii="Times New Roman" w:hAnsi="Times New Roman"/>
          <w:kern w:val="0"/>
          <w:sz w:val="24"/>
        </w:rPr>
        <w:t>交银瑞思</w:t>
      </w:r>
      <w:r>
        <w:rPr>
          <w:rFonts w:ascii="Times New Roman" w:hAnsi="Times New Roman"/>
          <w:kern w:val="0"/>
          <w:sz w:val="24"/>
        </w:rPr>
        <w:t>”</w:t>
      </w:r>
      <w:r>
        <w:rPr>
          <w:rFonts w:ascii="Times New Roman" w:hAnsi="Times New Roman"/>
          <w:kern w:val="0"/>
          <w:sz w:val="24"/>
        </w:rPr>
        <w:t>，基金代码为</w:t>
      </w:r>
      <w:r>
        <w:rPr>
          <w:rFonts w:ascii="Times New Roman" w:hAnsi="Times New Roman"/>
          <w:kern w:val="0"/>
          <w:sz w:val="24"/>
        </w:rPr>
        <w:t>“501092”</w:t>
      </w:r>
      <w:r>
        <w:rPr>
          <w:rFonts w:ascii="Times New Roman" w:hAnsi="Times New Roman"/>
          <w:kern w:val="0"/>
          <w:sz w:val="24"/>
        </w:rPr>
        <w:t>，扩位简称为</w:t>
      </w:r>
      <w:r>
        <w:rPr>
          <w:rFonts w:ascii="Times New Roman" w:hAnsi="Times New Roman"/>
          <w:kern w:val="0"/>
          <w:sz w:val="24"/>
        </w:rPr>
        <w:t>“</w:t>
      </w:r>
      <w:r>
        <w:rPr>
          <w:rFonts w:ascii="Times New Roman" w:hAnsi="Times New Roman"/>
          <w:kern w:val="0"/>
          <w:sz w:val="24"/>
        </w:rPr>
        <w:t>交银瑞思</w:t>
      </w:r>
      <w:r>
        <w:rPr>
          <w:rFonts w:ascii="Times New Roman" w:hAnsi="Times New Roman"/>
          <w:kern w:val="0"/>
          <w:sz w:val="24"/>
        </w:rPr>
        <w:t>LOF”</w:t>
      </w:r>
      <w:r>
        <w:rPr>
          <w:rFonts w:ascii="Times New Roman" w:hAnsi="Times New Roman"/>
          <w:kern w:val="0"/>
          <w:sz w:val="24"/>
        </w:rPr>
        <w:t>，并适用《基金合同》中关于封闭期届满后运作的有关规定。</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346D69" w:rsidRDefault="00D204E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346D69" w:rsidRDefault="00346D69">
      <w:pPr>
        <w:autoSpaceDE w:val="0"/>
        <w:autoSpaceDN w:val="0"/>
        <w:adjustRightInd w:val="0"/>
        <w:snapToGrid w:val="0"/>
        <w:spacing w:before="51" w:line="360" w:lineRule="auto"/>
        <w:ind w:left="120" w:rightChars="6" w:right="13" w:firstLine="480"/>
        <w:rPr>
          <w:rFonts w:ascii="宋体" w:hAnsi="宋体"/>
          <w:kern w:val="0"/>
          <w:szCs w:val="24"/>
        </w:rPr>
        <w:sectPr w:rsidR="00346D69">
          <w:headerReference w:type="default" r:id="rId14"/>
          <w:pgSz w:w="11920" w:h="16840"/>
          <w:pgMar w:top="1440" w:right="1680" w:bottom="280" w:left="1680" w:header="0" w:footer="1073" w:gutter="0"/>
          <w:pgNumType w:start="1"/>
          <w:cols w:space="720"/>
        </w:sectPr>
      </w:pPr>
    </w:p>
    <w:p w:rsidR="00277BBA" w:rsidRPr="00277BBA" w:rsidRDefault="00D204E0" w:rsidP="00277BBA">
      <w:pPr>
        <w:pStyle w:val="ad"/>
        <w:snapToGrid w:val="0"/>
        <w:spacing w:after="240" w:line="360" w:lineRule="auto"/>
        <w:jc w:val="center"/>
        <w:rPr>
          <w:rFonts w:ascii="宋体" w:hAnsi="宋体"/>
          <w:noProof/>
          <w:sz w:val="24"/>
        </w:rPr>
      </w:pPr>
      <w:r w:rsidRPr="00277BBA">
        <w:rPr>
          <w:rFonts w:ascii="宋体" w:hAnsi="宋体"/>
          <w:color w:val="000000"/>
          <w:position w:val="-4"/>
          <w:sz w:val="24"/>
          <w:szCs w:val="30"/>
        </w:rPr>
        <w:lastRenderedPageBreak/>
        <w:t>目</w:t>
      </w:r>
      <w:r w:rsidRPr="00277BBA">
        <w:rPr>
          <w:rFonts w:ascii="宋体" w:hAnsi="宋体"/>
          <w:color w:val="000000"/>
          <w:position w:val="-4"/>
          <w:sz w:val="24"/>
          <w:szCs w:val="30"/>
        </w:rPr>
        <w:tab/>
        <w:t>录</w:t>
      </w:r>
      <w:r w:rsidR="00277BBA" w:rsidRPr="00277BBA">
        <w:rPr>
          <w:rFonts w:ascii="宋体" w:hAnsi="宋体"/>
          <w:color w:val="000000"/>
          <w:position w:val="-4"/>
          <w:sz w:val="24"/>
          <w:szCs w:val="30"/>
        </w:rPr>
        <w:fldChar w:fldCharType="begin"/>
      </w:r>
      <w:r w:rsidR="00277BBA" w:rsidRPr="00277BBA">
        <w:rPr>
          <w:rFonts w:ascii="宋体" w:hAnsi="宋体"/>
          <w:color w:val="000000"/>
          <w:position w:val="-4"/>
          <w:sz w:val="24"/>
          <w:szCs w:val="30"/>
        </w:rPr>
        <w:instrText xml:space="preserve"> TOC \o "1-3" \f - \h \t "-1" </w:instrText>
      </w:r>
      <w:r w:rsidR="00277BBA" w:rsidRPr="00277BBA">
        <w:rPr>
          <w:rFonts w:ascii="宋体" w:hAnsi="宋体"/>
          <w:color w:val="000000"/>
          <w:position w:val="-4"/>
          <w:sz w:val="24"/>
          <w:szCs w:val="30"/>
        </w:rPr>
        <w:fldChar w:fldCharType="separate"/>
      </w:r>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2" w:history="1">
        <w:r w:rsidRPr="00277BBA">
          <w:rPr>
            <w:rStyle w:val="aa"/>
            <w:rFonts w:ascii="宋体" w:hAnsi="宋体" w:hint="eastAsia"/>
            <w:noProof/>
            <w:kern w:val="0"/>
            <w:sz w:val="24"/>
          </w:rPr>
          <w:t>重要提示</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_Toc234247822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3" w:history="1">
        <w:r w:rsidRPr="00277BBA">
          <w:rPr>
            <w:rStyle w:val="aa"/>
            <w:rFonts w:ascii="宋体" w:hAnsi="宋体" w:hint="eastAsia"/>
            <w:noProof/>
            <w:sz w:val="24"/>
          </w:rPr>
          <w:t>一、绪言</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_Toc234247823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5</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4" w:history="1">
        <w:r w:rsidRPr="00277BBA">
          <w:rPr>
            <w:rStyle w:val="aa"/>
            <w:rFonts w:ascii="宋体" w:hAnsi="宋体" w:hint="eastAsia"/>
            <w:noProof/>
            <w:sz w:val="24"/>
          </w:rPr>
          <w:t>二、释义</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_Toc234247824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6</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5" w:history="1">
        <w:r w:rsidRPr="00277BBA">
          <w:rPr>
            <w:rStyle w:val="aa"/>
            <w:rFonts w:ascii="宋体" w:hAnsi="宋体" w:hint="eastAsia"/>
            <w:noProof/>
            <w:sz w:val="24"/>
          </w:rPr>
          <w:t>三、基金管理人</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_Toc234247825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12</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6" w:history="1">
        <w:r w:rsidRPr="00277BBA">
          <w:rPr>
            <w:rStyle w:val="aa"/>
            <w:rFonts w:ascii="宋体" w:hAnsi="宋体" w:hint="eastAsia"/>
            <w:noProof/>
            <w:sz w:val="24"/>
          </w:rPr>
          <w:t>四、基金托管人</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_Toc234247826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19</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7" w:history="1">
        <w:r w:rsidRPr="00277BBA">
          <w:rPr>
            <w:rStyle w:val="aa"/>
            <w:rFonts w:ascii="宋体" w:hAnsi="宋体" w:hint="eastAsia"/>
            <w:noProof/>
            <w:sz w:val="24"/>
          </w:rPr>
          <w:t>五、相关服务机构</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_Toc234247827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22</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8" w:history="1">
        <w:r w:rsidRPr="00277BBA">
          <w:rPr>
            <w:rStyle w:val="aa"/>
            <w:rFonts w:ascii="宋体" w:hAnsi="宋体" w:hint="eastAsia"/>
            <w:noProof/>
            <w:sz w:val="24"/>
          </w:rPr>
          <w:t>六、基金的募集</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_Toc234247828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46</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29" w:history="1">
        <w:r w:rsidRPr="00277BBA">
          <w:rPr>
            <w:rStyle w:val="aa"/>
            <w:rFonts w:ascii="宋体" w:hAnsi="宋体" w:hint="eastAsia"/>
            <w:noProof/>
            <w:sz w:val="24"/>
          </w:rPr>
          <w:t>七、基金合同的生效</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_Toc234247829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47</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0" w:history="1">
        <w:r w:rsidRPr="00277BBA">
          <w:rPr>
            <w:rStyle w:val="aa"/>
            <w:rFonts w:ascii="宋体" w:hAnsi="宋体" w:hint="eastAsia"/>
            <w:noProof/>
            <w:sz w:val="24"/>
          </w:rPr>
          <w:t>八、基金份额的上市交易</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_Toc234247830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48</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1" w:history="1">
        <w:r w:rsidRPr="00277BBA">
          <w:rPr>
            <w:rStyle w:val="aa"/>
            <w:rFonts w:ascii="宋体" w:hAnsi="宋体" w:hint="eastAsia"/>
            <w:noProof/>
            <w:sz w:val="24"/>
          </w:rPr>
          <w:t>九、基金份额的申购与赎回</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_Toc234247831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50</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2" w:history="1">
        <w:r w:rsidRPr="00277BBA">
          <w:rPr>
            <w:rStyle w:val="aa"/>
            <w:rFonts w:ascii="宋体" w:hAnsi="宋体" w:hint="eastAsia"/>
            <w:noProof/>
            <w:sz w:val="24"/>
          </w:rPr>
          <w:t>十、基金的转换</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_Toc234247832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64</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3" w:history="1">
        <w:r w:rsidRPr="00277BBA">
          <w:rPr>
            <w:rStyle w:val="aa"/>
            <w:rFonts w:ascii="宋体" w:hAnsi="宋体" w:hint="eastAsia"/>
            <w:noProof/>
            <w:sz w:val="24"/>
          </w:rPr>
          <w:t>十一、基金的投资</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_Toc234247833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71</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4" w:history="1">
        <w:r w:rsidRPr="00277BBA">
          <w:rPr>
            <w:rStyle w:val="aa"/>
            <w:rFonts w:ascii="宋体" w:hAnsi="宋体" w:hint="eastAsia"/>
            <w:noProof/>
            <w:sz w:val="24"/>
          </w:rPr>
          <w:t>十二、基金的业绩</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_Toc234247834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83</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5" w:history="1">
        <w:r w:rsidRPr="00277BBA">
          <w:rPr>
            <w:rStyle w:val="aa"/>
            <w:rFonts w:ascii="宋体" w:hAnsi="宋体" w:hint="eastAsia"/>
            <w:noProof/>
            <w:sz w:val="24"/>
          </w:rPr>
          <w:t>十三、基金的财产</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_Toc234247835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85</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6" w:history="1">
        <w:r w:rsidRPr="00277BBA">
          <w:rPr>
            <w:rStyle w:val="aa"/>
            <w:rFonts w:ascii="宋体" w:hAnsi="宋体" w:hint="eastAsia"/>
            <w:noProof/>
            <w:sz w:val="24"/>
          </w:rPr>
          <w:t>十四、基金资产的估值</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_Toc234247836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86</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7" w:history="1">
        <w:r w:rsidRPr="00277BBA">
          <w:rPr>
            <w:rStyle w:val="aa"/>
            <w:rFonts w:ascii="宋体" w:hAnsi="宋体" w:hint="eastAsia"/>
            <w:noProof/>
            <w:sz w:val="24"/>
          </w:rPr>
          <w:t>十五、基金收益与分配</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_Toc234247837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92</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8" w:history="1">
        <w:r w:rsidRPr="00277BBA">
          <w:rPr>
            <w:rStyle w:val="aa"/>
            <w:rFonts w:ascii="宋体" w:hAnsi="宋体" w:hint="eastAsia"/>
            <w:noProof/>
            <w:sz w:val="24"/>
          </w:rPr>
          <w:t>十六、基金的费用与税收</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_Toc234247838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94</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39" w:history="1">
        <w:r w:rsidRPr="00277BBA">
          <w:rPr>
            <w:rStyle w:val="aa"/>
            <w:rFonts w:ascii="宋体" w:hAnsi="宋体" w:hint="eastAsia"/>
            <w:noProof/>
            <w:sz w:val="24"/>
          </w:rPr>
          <w:t>十七、基金的会计与审计</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_Toc234247839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97</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0" w:history="1">
        <w:r w:rsidRPr="00277BBA">
          <w:rPr>
            <w:rStyle w:val="aa"/>
            <w:rFonts w:ascii="宋体" w:hAnsi="宋体" w:hint="eastAsia"/>
            <w:noProof/>
            <w:sz w:val="24"/>
          </w:rPr>
          <w:t>十八、基金的信息披露</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_Toc234247840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98</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1" w:history="1">
        <w:r w:rsidRPr="00277BBA">
          <w:rPr>
            <w:rStyle w:val="aa"/>
            <w:rFonts w:ascii="宋体" w:hAnsi="宋体" w:hint="eastAsia"/>
            <w:noProof/>
            <w:sz w:val="24"/>
          </w:rPr>
          <w:t>十九、风险揭示</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_Toc234247841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105</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2" w:history="1">
        <w:r w:rsidRPr="00277BBA">
          <w:rPr>
            <w:rStyle w:val="aa"/>
            <w:rFonts w:ascii="宋体" w:hAnsi="宋体" w:hint="eastAsia"/>
            <w:noProof/>
            <w:sz w:val="24"/>
          </w:rPr>
          <w:t>二十、基金合同的变更、终止与基金财产的清算</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_Toc234247842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114</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3" w:history="1">
        <w:r w:rsidRPr="00277BBA">
          <w:rPr>
            <w:rStyle w:val="aa"/>
            <w:rFonts w:ascii="宋体" w:hAnsi="宋体" w:hint="eastAsia"/>
            <w:noProof/>
            <w:sz w:val="24"/>
          </w:rPr>
          <w:t>二十一、基金合同内容摘要</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_Toc234247843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116</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4" w:history="1">
        <w:r w:rsidRPr="00277BBA">
          <w:rPr>
            <w:rStyle w:val="aa"/>
            <w:rFonts w:ascii="宋体" w:hAnsi="宋体" w:hint="eastAsia"/>
            <w:noProof/>
            <w:sz w:val="24"/>
          </w:rPr>
          <w:t>二十二、托管协议的内容摘要</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_Toc234247844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132</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5" w:history="1">
        <w:r w:rsidRPr="00277BBA">
          <w:rPr>
            <w:rStyle w:val="aa"/>
            <w:rFonts w:ascii="宋体" w:hAnsi="宋体" w:hint="eastAsia"/>
            <w:noProof/>
            <w:sz w:val="24"/>
          </w:rPr>
          <w:t>二十三、对基金份额持有人的服务</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_Toc234247845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146</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6" w:history="1">
        <w:r w:rsidRPr="00277BBA">
          <w:rPr>
            <w:rStyle w:val="aa"/>
            <w:rFonts w:ascii="宋体" w:hAnsi="宋体" w:hint="eastAsia"/>
            <w:noProof/>
            <w:sz w:val="24"/>
          </w:rPr>
          <w:t>二十四、其他应披露事项</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_Toc234247846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148</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7" w:history="1">
        <w:r w:rsidRPr="00277BBA">
          <w:rPr>
            <w:rStyle w:val="aa"/>
            <w:rFonts w:ascii="宋体" w:hAnsi="宋体" w:hint="eastAsia"/>
            <w:noProof/>
            <w:sz w:val="24"/>
          </w:rPr>
          <w:t>二十五、招募说明书的存放及查阅方式</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_Toc234247847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150</w:t>
        </w:r>
        <w:r w:rsidRPr="00277BBA">
          <w:rPr>
            <w:rFonts w:ascii="宋体" w:hAnsi="宋体"/>
            <w:noProof/>
            <w:sz w:val="24"/>
          </w:rPr>
          <w:fldChar w:fldCharType="end"/>
        </w:r>
      </w:hyperlink>
    </w:p>
    <w:p w:rsidR="00277BBA" w:rsidRPr="00277BBA" w:rsidRDefault="00277BBA" w:rsidP="00277BBA">
      <w:pPr>
        <w:pStyle w:val="10"/>
        <w:tabs>
          <w:tab w:val="right" w:leader="dot" w:pos="8550"/>
        </w:tabs>
        <w:spacing w:line="360" w:lineRule="auto"/>
        <w:rPr>
          <w:rFonts w:ascii="宋体" w:hAnsi="宋体" w:cstheme="minorBidi"/>
          <w:noProof/>
          <w:sz w:val="24"/>
        </w:rPr>
      </w:pPr>
      <w:hyperlink w:anchor="_Toc234247848" w:history="1">
        <w:r w:rsidRPr="00277BBA">
          <w:rPr>
            <w:rStyle w:val="aa"/>
            <w:rFonts w:ascii="宋体" w:hAnsi="宋体" w:hint="eastAsia"/>
            <w:noProof/>
            <w:sz w:val="24"/>
          </w:rPr>
          <w:t>二十六、备查文件</w:t>
        </w:r>
        <w:r w:rsidRPr="00277BBA">
          <w:rPr>
            <w:rFonts w:ascii="宋体" w:hAnsi="宋体"/>
            <w:noProof/>
            <w:sz w:val="24"/>
          </w:rPr>
          <w:tab/>
        </w:r>
        <w:r w:rsidRPr="00277BBA">
          <w:rPr>
            <w:rFonts w:ascii="宋体" w:hAnsi="宋体"/>
            <w:noProof/>
            <w:sz w:val="24"/>
          </w:rPr>
          <w:fldChar w:fldCharType="begin"/>
        </w:r>
        <w:r w:rsidRPr="00277BBA">
          <w:rPr>
            <w:rFonts w:ascii="宋体" w:hAnsi="宋体"/>
            <w:noProof/>
            <w:sz w:val="24"/>
          </w:rPr>
          <w:instrText xml:space="preserve"> PAGEREF _Toc234247848 \h </w:instrText>
        </w:r>
        <w:r w:rsidRPr="00277BBA">
          <w:rPr>
            <w:rFonts w:ascii="宋体" w:hAnsi="宋体"/>
            <w:noProof/>
            <w:sz w:val="24"/>
          </w:rPr>
        </w:r>
        <w:r w:rsidRPr="00277BBA">
          <w:rPr>
            <w:rFonts w:ascii="宋体" w:hAnsi="宋体"/>
            <w:noProof/>
            <w:sz w:val="24"/>
          </w:rPr>
          <w:fldChar w:fldCharType="separate"/>
        </w:r>
        <w:r w:rsidRPr="00277BBA">
          <w:rPr>
            <w:rFonts w:ascii="宋体" w:hAnsi="宋体"/>
            <w:noProof/>
            <w:sz w:val="24"/>
          </w:rPr>
          <w:t>151</w:t>
        </w:r>
        <w:r w:rsidRPr="00277BBA">
          <w:rPr>
            <w:rFonts w:ascii="宋体" w:hAnsi="宋体"/>
            <w:noProof/>
            <w:sz w:val="24"/>
          </w:rPr>
          <w:fldChar w:fldCharType="end"/>
        </w:r>
      </w:hyperlink>
    </w:p>
    <w:p w:rsidR="00346D69" w:rsidRPr="00277BBA" w:rsidRDefault="00277BBA" w:rsidP="00277BBA">
      <w:pPr>
        <w:pStyle w:val="ad"/>
        <w:snapToGrid w:val="0"/>
        <w:spacing w:after="240" w:line="360" w:lineRule="auto"/>
        <w:jc w:val="center"/>
        <w:rPr>
          <w:rFonts w:ascii="宋体" w:hAnsi="宋体"/>
          <w:color w:val="000000"/>
          <w:sz w:val="24"/>
        </w:rPr>
      </w:pPr>
      <w:r w:rsidRPr="00277BBA">
        <w:rPr>
          <w:rFonts w:ascii="宋体" w:hAnsi="宋体"/>
          <w:color w:val="000000"/>
          <w:position w:val="-4"/>
          <w:sz w:val="24"/>
          <w:szCs w:val="30"/>
        </w:rPr>
        <w:fldChar w:fldCharType="end"/>
      </w:r>
      <w:bookmarkStart w:id="3" w:name="_GoBack"/>
      <w:bookmarkEnd w:id="3"/>
    </w:p>
    <w:p w:rsidR="00346D69" w:rsidRDefault="00346D69">
      <w:pPr>
        <w:autoSpaceDE w:val="0"/>
        <w:autoSpaceDN w:val="0"/>
        <w:adjustRightInd w:val="0"/>
        <w:snapToGrid w:val="0"/>
        <w:spacing w:line="360" w:lineRule="auto"/>
        <w:ind w:left="120" w:rightChars="6" w:right="13"/>
        <w:rPr>
          <w:rFonts w:ascii="宋体" w:hAnsi="宋体"/>
          <w:kern w:val="0"/>
          <w:szCs w:val="24"/>
        </w:rPr>
        <w:sectPr w:rsidR="00346D69">
          <w:pgSz w:w="11920" w:h="16840"/>
          <w:pgMar w:top="1480" w:right="1680" w:bottom="280" w:left="1680" w:header="0" w:footer="1073" w:gutter="0"/>
          <w:cols w:space="720"/>
        </w:sectPr>
      </w:pPr>
    </w:p>
    <w:p w:rsidR="00346D69" w:rsidRDefault="00D204E0">
      <w:pPr>
        <w:pStyle w:val="1"/>
        <w:snapToGrid w:val="0"/>
        <w:spacing w:beforeLines="0" w:before="240" w:after="240"/>
        <w:rPr>
          <w:rFonts w:ascii="宋体" w:hAnsi="宋体"/>
          <w:szCs w:val="30"/>
        </w:rPr>
      </w:pPr>
      <w:bookmarkStart w:id="4" w:name="_Toc234247823"/>
      <w:r>
        <w:rPr>
          <w:rFonts w:ascii="Times New Roman" w:hAnsi="Times New Roman"/>
          <w:sz w:val="30"/>
        </w:rPr>
        <w:lastRenderedPageBreak/>
        <w:t>一、绪言</w:t>
      </w:r>
      <w:bookmarkEnd w:id="4"/>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思混合型证券投资基金（LOF）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思混合型证券投资基金（LOF）基金合同》（以下简称“基金合同”）编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5" w:name="_Toc234247824"/>
      <w:r>
        <w:rPr>
          <w:rFonts w:ascii="Times New Roman" w:hAnsi="Times New Roman"/>
          <w:sz w:val="30"/>
        </w:rPr>
        <w:lastRenderedPageBreak/>
        <w:t>二、释义</w:t>
      </w:r>
      <w:bookmarkEnd w:id="5"/>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瑞思三年封闭运作混合型证券投资基金或交银施罗德瑞思混合型证券投资基金（LOF），交银施罗德瑞思混合型证券投资基金（LOF）由交银施罗德瑞思三年封闭运作混合型证券投资基金封闭期届满后更名而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瑞思三年封闭运作混合型证券投资基金基金合同》及对基金合同的任何有效修订和补充；基金更名后，基金合同相应修订为《交银施罗德瑞思混合型证券投资基金（LOF）基金合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瑞思三年封闭运作混合型证券投资基金托管协议》及对该托管协议的任何有效修订和补充；基金更名后，托管协议相应修订为《交银施罗德瑞思混合型证券投资基金（LOF）托管协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瑞思三年封闭运作混合型证券投资基金招募说明书》及其更新；基金更名后，招募说明书相应修订为《交银施罗德瑞思混合型证券投资基金（LOF）招募说明书》及其更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7、基金份额发售公告：指《交银施罗德瑞思三年封闭运作混合型证券投资基金基金份额发售公告》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8、上市交易公告书：指《交银施罗德瑞思三年封闭运作混合型证券投资基金上市交易公告书》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产品资料概要：指《交银施罗德瑞思三年封闭运作混合型证券投资基金基金产品资料概要》及其更新；基金更名后，基金产品资料概要相应修订为《交银施罗德瑞思混合型证券投资基金（LOF）基金产品资料概要》及其更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10、法律法规：指中国现行有效并公布实施的法律、行政法规、规范性文件、司法解释、行政规章以及其他对基金合同当事人有约束力的决定、决议、通知等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11、《基金法》：指《中华人民共和国证券投资基金法》及颁布机关对其不时做出的修订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12、《销售办法》：指《公开募集证券投资基金销售机构监督管理办法》及颁布机关对其不时做出的修订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13、《信息披露办法》：指《公开募集证券投资基金信息披露管理办法》及颁布机关对其不时做出的修订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14、《运作办法》：指《公开募集证券投资基金运作管理办法》及颁布机关对其不时做出的修订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15、《流动性风险管理规定》：指《公开募集开放式证券投资基金流动性风险管理规定》及颁布机关对其不时做出的修订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17、银行业监督管理机构：指中国人民银行和/或中国银行保险监督管理委员会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19、个人投资者：指依据有关法律法规规定可投资于证券投资基金的自然人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20、机构投资者：指依法可以投资证券投资基金的、在中华人民共和国境内合法登记并存续或经有关政府部门批准设立并存续的企业法人、事业法人、社会团体或其他组织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21、合格境外机构投资者：指符合《合格境外机构投资者境内证券投资管理办法》及相关法律法规规定可以投资于在中国境内依法募集的证券投资基金的中国境外的机构投资者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22、人民币合格境外机构投资者：指按照《人民币合格境外机构投资者境内证券投资试点办法》及相关法律法规规定，运用来自境外的人民币资金进行境内证券投资的境外法人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23、投资人、投资者：指个人投资者、机构投资者、合格境外机构投资者和人民币合格境外机构投资者以及法律法规或中国证监会允许购买证券投资基金的其他投资人的合称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24、基金份额持有人：指依基金合同和招募说明书合法取得基金份额的投资人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25、基金销售业务：指基金管理人或销售机构宣传推介基金，发售基金份额，办理基金份额的申购、赎回、转换、转托管及定期定额投资等业务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证监会规定的其他条件，取得基金销售业务资格并与基金管理人签订了基金销售服务协议，办理基金销售业务的机构以及可通过上海证券交易所交易系统办理基金销售业务的会员单位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27、会员单位：指上海证券交易所会员单位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场外：指不通过上海证券交易所交易系统，而通过直销机构和其它场外销售机构的柜台系统或其他交易系统办理基金份额认购、申购和赎回等业务的场所。通过该等场所办理基金份额的认购、申购和赎回也称为场外认购、场外申购和场外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场内：指通过上海证券交易所内具有相应业务资格的会员单位利用上海证券交易所交易系统办理基金份额认购、申购、赎回和上市交易等业务的场所。通过该等场所办理基金份额的认购、申购和赎回也称为场内认购、场内申购和场内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30、注册登记系统：指中国证券登记结算有限责任公司开放式基金登记结算系统，通过场外认购、申购的基金份额登记在注册登记系统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31、证券登记结算系统：指中国证券登记结算有限责任公司上海分公司证券登记结算系统，通过场内认购、申购的基金份额和买入的基金份额登记在证券登记结算系统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32、场外份额：指登记在注册登记系统下的基金份额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33、场内份额：指登记在证券登记结算系统下的基金份额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35、登记机构：指办理登记业务的机构。本基金的登记机构为中国证券登记结算有限责任公司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登记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上海证券账户：指在中国证券登记结算有限责任公司上海分公司开设的上海证券交易所人民币普通股票账户或证券投资基金账户。基金投资者通过上海证券交易所交易系统办理基金交易、场内认购、场内申购和场内赎回等业务时需持有上</w:t>
      </w:r>
      <w:r>
        <w:rPr>
          <w:rFonts w:ascii="宋体" w:hAnsi="宋体"/>
          <w:sz w:val="24"/>
        </w:rPr>
        <w:lastRenderedPageBreak/>
        <w:t>海证券账户，记录在该账户下的基金份额登记在登记机构的证券登记结算系统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38、基金交易账户：指销售机构为投资人开立的、记录投资人通过该销售机构办理认购、申购、赎回、转换及转托管等业务而引起的基金份额变动及结余情况的账户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39、基金合同生效日：指基金募集达到法律法规规定及基金合同规定的条件，基金管理人向中国证监会办理基金备案手续完毕，并获得中国证监会书面确认的日期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40、基金合同终止日：指基金合同规定的基金合同终止事由出现后，基金财产清算完毕，清算结果报中国证监会备案并予以公告的日期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41、基金募集期：指自基金份额发售之日起至发售结束之日止的期间，最长不得超过3个月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42、存续期：指基金合同生效至终止之间的不定期期限</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43、工作日：指上海证券交易所、深圳证券交易所的正常交易日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44、T日：指销售机构在规定时间受理投资人申购、赎回或其他业务申请的开放日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45、T+n日：指自T日起第n个工作日（不包含T日）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46、开放日：指为投资人办理基金份额申购、赎回或其他业务的工作日（若该工作日为非港股通交易日，则本基金可不开放）</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封闭期：本基金封闭期为三年（含三年），自基金合同生效之日起至三年后对应日前一个工作日止，若该日历年度中不存在对应日期的，则该对应日为该特定日期所在月度的最后一日。如该对应日为非工作日的，则顺延至下一个工作日。在封闭期内，本基金不办理申购、赎回业务，但投资人可在本基金上市交易后通过上海证券交易所转让基金份额。封闭期届满后，本基金转为上市开放式基金（LOF），基金名称相应变更为“交银施罗德瑞思混合型证券投资基金（LOF）” ，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48、开放时间：指开放日基金接受申购、赎回或其他交易的时间段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49、《业务规则》：指本基金管理人、上海证券交易所、中国证券登记结算有限责任公司及其他销售机构的相关业务规则及其不时做出的修订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50、认购：指在基金募集期内，投资人根据基金合同和招募说明书的规定申请购买基金份额的行为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51、申购：指本基金封闭期结束，转为开放式运作后，投资人根据基金合同和招募说明书的规定申请购买基金份额的行为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52、赎回：指本基金封闭期结束，转为开放式运作后，基金份额持有人按基金合同和招募说明书规定的条件要求将基金份额兑换为现金的行为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53、基金转换：指基金份额持有人按照基金合同和基金管理人届时有效公告规定的条件，申请将其持有基金管理人管理的、某一基金的基金份额转换为基金管理人管理的其他基金基金份额的行为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54、转托管：指基金份额持有人在本基金的不同销售机构之间实施的变更所持基金份额销售机构的操作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55、系统内转托管：指基金份额持有人将持有的基金份额在注册登记系统内不同销售机构之间或证券登记结算系统内不同会员单位之间进行转登记的行为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56、跨系统转托管：指基金份额持有人将持有的基金份额在注册登记系统和证券登记结算系统间进行转登记的行为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工作日基金总份额的10%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59、元：指人民币元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61、基金资产总值：指基金拥有的各类有价证券、股指期货合约、银行存款本息、基金应收申购款及其他资产的价值总和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62、基金资产净值：指基金资产总值减去基金负债后的价值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63、基金份额净值：指计算日基金资产净值除以计算日基金份额总数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64、基金资产估值：指计算评估基金资产和负债的价值，以确定基金资产净值和基金份额净值的过程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65、港股通：指内地投资者委托内地证券公司，经由内地证券交易所设立的证券交易服务公司，向香港联合交易所进行申报，买卖规定范围内的香港联合交易所上市的股票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66、指定媒介：指中国证监会指定的用以进行信息披露的全国性报刊及指定互联网网站（包括基金管理人网站、基金托管人网站、中国证监会基金电子披露网站）等媒介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69、不可抗力：指基金合同当事人不能预见、不能避免且不能克服的客观事件</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6" w:name="_Toc234247825"/>
      <w:r>
        <w:rPr>
          <w:rFonts w:ascii="Times New Roman" w:hAnsi="Times New Roman"/>
          <w:sz w:val="30"/>
        </w:rPr>
        <w:lastRenderedPageBreak/>
        <w:t>三、基金管理人</w:t>
      </w:r>
      <w:bookmarkEnd w:id="6"/>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沈楠先生:基金经理。复旦大学经济学硕士，17年证券投资行业从业经验。2009年至2011年在长江证券担任高级分析师。2011年加入交银施罗德基金管理有限公司，曾任行业分析师、基金经理助理，现任权益部基金经理。现任交银施罗德主题优选灵活配置混合型证券投资基金(2015年05月05日至今)、交银施罗德国企改革灵活配置混合型证券投资基金(2015年06月10日至今)、交银施罗德瑞思混合型证券投资基金（LOF）(2020年02月21日至今)、交银施罗德稳固收益债券型证券投资基金(2026年03月17日至今)的基金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7" w:name="_Toc234247826"/>
      <w:r>
        <w:rPr>
          <w:rFonts w:ascii="Times New Roman" w:hAnsi="Times New Roman"/>
          <w:sz w:val="30"/>
        </w:rPr>
        <w:lastRenderedPageBreak/>
        <w:t>四、基金托管人</w:t>
      </w:r>
      <w:bookmarkEnd w:id="7"/>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8" w:name="_Toc234247827"/>
      <w:r>
        <w:rPr>
          <w:rFonts w:ascii="Times New Roman" w:hAnsi="Times New Roman"/>
          <w:sz w:val="30"/>
        </w:rPr>
        <w:lastRenderedPageBreak/>
        <w:t>五、相关服务机构</w:t>
      </w:r>
      <w:bookmarkEnd w:id="8"/>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个人投资者可以通过基金管理人网上直销交易平台办理开户业务、本基金的申购、赎回、转换、定期定额投资等业务，具体交易细则请参阅基金管理人网站。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具有基金销售业务资格、经上海证券交易所和中国证券登记结算有限责任公司认可的、通过上海证券交易所交易系统办理基金销售业务的上海证券交易所会员单位，具体名单详见上海证券交易所网站。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（3）名称：平安银行股份有限公司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（4）名称：交通银行股份有限公司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（6）名称：中国农业银行股份有限公司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（7）名称：中国光大银行股份有限公司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（8）名称：宁波银行股份有限公司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传真：（021）63586215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（9）名称：中国银河证券股份有限公司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（11）名称：中国中金财富证券有限公司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（12）名称：德邦证券股份有限公司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办公地址：上海市福山路500号城建大厦26楼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（13）名称：中信建投证券股份有限公司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（14）名称：中原证券股份有限公司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（15）名称：东方财富证券股份有限公司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网址：http://www.18.cn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（16）名称：华泰证券股份有限公司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（17）名称：兴业证券股份有限公司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（18）名称：国新证券股份有限公司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（19）名称：中国国际金融股份有限公司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法定代表人：毕明建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（20）名称：申万宏源证券有限公司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（21）名称：中信证券（山东）有限责任公司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（22）名称：中信证券华南股份有限公司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网址：www.gzs.com.cn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（23）名称：申万宏源西部证券有限公司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（24）名称：中泰证券股份有限公司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（25）名称：国投证券股份有限公司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（26）名称：华西证券股份有限公司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法定代表人：杨炯洋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（27）名称：南京证券股份有限公司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（28）名称：国金证券股份有限公司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（29）名称：华福证券股份有限公司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客户服务电话：（0591）95547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（30）名称：平安证券股份有限公司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（31）名称：广发证券股份有限公司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（32）名称：东莞证券股份有限公司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（33）名称：深圳市新兰德证券投资咨询有限公司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办公地址：北京市西城区金融大街35号国际企业大厦C座9层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（34）名称：玄元保险代理有限公司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（35）名称：京东肯特瑞基金销售有限公司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（36）名称：上海大智慧基金销售有限公司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传真：021-20219923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（37）名称：珠海盈米基金销售有限公司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（38）名称：北京度小满基金销售有限公司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（39）名称：南京苏宁基金销售有限公司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网址：www.snjijin.com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（40）名称：嘉实财富管理有限公司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（41）名称：北京汇成基金销售有限公司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（42）名称：上海利得基金销售有限公司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（43）名称：北京虹点基金销售有限公司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办公地址：北京市朝阳区工人体育场北路甲2号裙房2层222单元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（44）名称：上海陆金所基金销售有限公司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（45）名称：上海挖财基金销售有限公司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（46）名称：万家财富基金销售（天津）有限公司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电话：（010）59013825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（47）名称：上海万得基金销售有限公司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（48）名称：格上富信投资顾问有限公司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（49）名称：北京雪球基金销售有限公司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客户服务电话：400-1599-288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（50）名称：北京新浪仓石基金销售有限公司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（51）名称：上海证达通基金销售有限公司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（52）名称：奕丰基金销售有限公司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网址：www.ifastps.com.cn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（53）名称：上海天天基金销售有限公司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（54）名称：和讯信息科技有限公司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（55）名称：诺亚正行基金销售有限公司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（56）名称：上海好买基金销售有限公司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办公地址：上海市浦东新区浦东南路1118号鄂尔多斯国际大厦903-906室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（57）名称：上海长量基金销售有限公司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（58）名称：深圳众禄基金销售股份有限公司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（59）名称：蚂蚁（杭州）基金销售有限公司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（60）名称：上海基煜基金销售有限公司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（61）名称：浙江同花顺基金销售有限公司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（62）名称：宜信普泽（北京）基金销售有限公司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网址：http://www.puzefund.com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（63）名称：上海联泰基金销售有限公司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（64）名称：北京展恒基金销售股份有限公司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（65）名称：腾安基金销售（深圳）有限公司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（66）名称：中信期货有限公司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w:t>
      </w:r>
      <w:r>
        <w:rPr>
          <w:rFonts w:ascii="宋体" w:hAnsi="宋体"/>
          <w:sz w:val="24"/>
        </w:rPr>
        <w:lastRenderedPageBreak/>
        <w:t>室、14层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（67）名称：大连网金基金销售有限公司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（68）名称：济安财富（北京）基金销售有限公司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（69）名称：博时财富基金销售有限公司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法定代表人：王德英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（70）名称：北京广源达信基金销售有限公司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（71）名称：深圳前海微众银行股份有限公司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（72）名称：泛华普益基金销售有限公司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（73）名称：和耕传承基金销售有限公司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（75）名称：中国人寿保险股份有限公司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w:t>
      </w:r>
      <w:r>
        <w:rPr>
          <w:rFonts w:ascii="宋体" w:hAnsi="宋体"/>
          <w:sz w:val="24"/>
        </w:rPr>
        <w:lastRenderedPageBreak/>
        <w:t>金，并在管理人网站公示。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9" w:name="_Toc234247828"/>
      <w:r>
        <w:rPr>
          <w:rFonts w:ascii="Times New Roman" w:hAnsi="Times New Roman"/>
          <w:sz w:val="30"/>
        </w:rPr>
        <w:lastRenderedPageBreak/>
        <w:t>六、基金的募集</w:t>
      </w:r>
      <w:bookmarkEnd w:id="9"/>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本基金由基金管理人依照《基金法》、《运作办法》、《销售办法》、基金合同及其他有关规定，并经中国证监会2019年12月5日证监许可【2019】2666号文准予募集注册。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证券投资基金。基金合同生效后，前三年封闭运作，在封闭期内，本基金不办理申购、赎回业务，但投资人可在本基金上市交易后通过上海证券交易所转让基金份额。封闭期届满后，本基金转为上市开放式基金（LOF），基金名称相应变更为“交银施罗德瑞思混合型证券投资基金（LOF）”，可办理场外、场内申购赎回，并继续在上海证券交易所上市交易。但若本基金在封闭期内出现上海证券交易所相关业务规则规定的因不再具备上市条件而应当终止上市的情形，则本基金封闭期届满后将转为非上市的开放式基金。基金的存续期间为不定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本基金于2020年2月17日当日发售，本基金设立募集期共募集4,945,845,223.18份基金份额，有效认购户数为53,800户。</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0" w:name="_Toc234247829"/>
      <w:r>
        <w:rPr>
          <w:rFonts w:ascii="Times New Roman" w:hAnsi="Times New Roman"/>
          <w:sz w:val="30"/>
        </w:rPr>
        <w:lastRenderedPageBreak/>
        <w:t>七、基金合同的生效</w:t>
      </w:r>
      <w:bookmarkEnd w:id="10"/>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根据有关规定，本基金满足基金合同生效条件，基金合同已于2020年2月21日正式生效。自基金合同生效之日起，本基金管理人正式开始管理本基金。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1" w:name="_Toc234247830"/>
      <w:r>
        <w:rPr>
          <w:rFonts w:ascii="Times New Roman" w:hAnsi="Times New Roman"/>
          <w:sz w:val="30"/>
        </w:rPr>
        <w:lastRenderedPageBreak/>
        <w:t>八、基金份额的上市交易</w:t>
      </w:r>
      <w:bookmarkEnd w:id="11"/>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根据有关规定，基金合同生效后，具备上市条件，于2020年8月5日起在上海证券交易所上市交易。（场内简称：交银瑞思，扩位简称：交银瑞思LOF，代码：501092）。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为上市开放式基金（LOF）后，登记在证券登记结算系统中的基金份额仍将在上海证券交易所上市交易。基金在上海证券交易所上市交易的相关事项并不因基金转换运作方式而发生调整。本基金在转型前后可根据实际情况申请停牌暂停上市交易，停复牌时间以基金管理人公告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一、上市交易的地点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本基金的上市交易的地点为上海证券交易所。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二、上市交易的时间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基金合同生效后，具备下列条件的，基金管理人可依据《上海证券交易所证券投资基金上市规则》及相关法律法规，向上海证券交易所申请上市交易：</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1、本基金募集金额不少于2亿元人民币；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2、本基金基金份额持有人不少于1000人；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3、上海证券交易所规定的其他条件。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基金上市前，基金管理人应与上海证券交易所签订上市协议书。在确定上市交易的时间后，基金管理人应依照《信息披露办法》的有关规定在指定媒介上刊登上市交易公告书。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三、上市交易规则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本基金在上海证券交易所的上市交易需遵循《上海证券交易所证券投资基金上市规则》、《上海证券交易所交易规则》等有关规定，包括但不限于：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1、本基金上市首日的开盘参考价为基金管理人最近公布并向上海证券交易所提供的基金份额净值；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2、本基金实行价格涨跌幅限制，涨跌幅比例限制为10%，自上市首日起实行；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3、本基金买入申报数量为100份或其整数倍；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4、本基金申报价格最小变动单位为0.001元人民币；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5、《上海证券交易所交易规则》、《上海证券交易所证券投资基金上市规则》等其他相关规定。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四、上市交易的费用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本基金上市交易的费用按照上海证券交易所有关规定办理。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五、上市交易的行情揭示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本基金在上海证券交易所挂牌交易，交易行情通过行情发布系统揭示。行情发布系统同时揭示基金管理人最近公布并向上海证券交易所提供的基金份额净值。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六、上市交易的注册登记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投资人T日买入成功后，登记机构在T日自动为投资人登记权益并办理登记手续，投资人自T＋1日（含该日）后有权卖出该部分基金份额；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投资人T日卖出成功后，登记机构在T日自动为投资人办理扣除权益的登记手续。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七、上市交易的停复牌和终止上市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本基金的停复牌和终止上市按照相关法律法规和上海证券交易所的相关规定执行。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发生《上海证券交易所证券投资基金上市规则》规定的因不再具备上市条件而应当终止上市的情形时，本基金将变更为非上市的基金并相应修订基金合同，无需召开基金份额持有人大会。基金终止上市后，对于本基金场内份额的处理规则由基金管理人提前制定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八、相关法律法规、中国证监会及上海证券交易所对基金上市交易的规则等相关规定内容进行调整的，按调整后的规定执行，无须召开基金份额持有人大会。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九、若上海证券交易所、中国证券登记结算有限责任公司增加了基金场内交易的新业务，基金管理人可以在履行适当的程序后为本基金增加办理相应的新业务。</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2" w:name="_Toc234247831"/>
      <w:r>
        <w:rPr>
          <w:rFonts w:ascii="Times New Roman" w:hAnsi="Times New Roman"/>
          <w:sz w:val="30"/>
        </w:rPr>
        <w:lastRenderedPageBreak/>
        <w:t>九、基金份额的申购与赎回</w:t>
      </w:r>
      <w:bookmarkEnd w:id="12"/>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办公地址：中国（上海）自由贸易试验区世纪大道8号国金中心二期21-22楼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2、具有基金销售业务资格、经上海证券交易所和中国证券登记结算有限责任公司认可的、通过上海证券交易所交易系统办理基金销售业务的上海证券交易所会员单位，具体名单详见上海证券交易所网站。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3、不通过上海证券交易所交易系统办理相关业务的场外销售机构（除本基金管理人）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本基金除基金管理人之外的其他场外销售机构参见本招募说明书“五、相关服务机构”章节或拨打本公司客户服务电话进行咨询。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投资人应通过上述销售机构办理基金申购、赎回业务的营业场所或按上述销售机构提供的其他方式进行申购或赎回。本基金管理人可根据情况变更或增减基金场外销售机构，并在管理人网站公示。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1、开放日及开放时间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基金合同生效后三年之内（含三年）为封闭期，在此期间投资者不能申购、赎回基金份额，但可在本基金上市交易后通过上海证券交易所转让基金份额。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投资人方可进行基金份额的申购与赎回。投资人在开放日办理基金份额的申购和赎回，具体办理时间为上海证券交易所、深圳证券交易所的正常交易日的交易时间（若该工作日为非港股通交易日，则本基金可不开放），但基金管理人根据法律法规、中国证监会、行业监管及证券交易所的要求或基金合同的规定公告暂停申购、赎回时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本基金已于2023年2月21日起开放申购、赎回业务。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4、投资者办理基金份额场外申购、赎回应使用开放式基金账户，办理基金份额场内申购、赎回应使用上海证券账户；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在场外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者通过上海证券交易所交易系统办理场内申购、赎回业务时，需遵守上海证券交易所和中国证券登记结算有限责任公司的相关业务规则。若相关法律法规、中国证监会、上海证券交易所或中国证券登记结算有限责任公司对场内申购、</w:t>
      </w:r>
      <w:r>
        <w:rPr>
          <w:rFonts w:ascii="宋体" w:hAnsi="宋体"/>
          <w:sz w:val="24"/>
        </w:rPr>
        <w:lastRenderedPageBreak/>
        <w:t>赎回业务规则有新的规定，按新规定执行；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7、办理申购、赎回业务时，应当遵循基金份额持有人利益优先原则，确保投资者的合法权益不受损害并得到公平对待。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对于场内申购及持有场内份额的数量限制，上海证券交易所和中国证券登记结算有限责任公司的相关业务规则有规定的，从其最新规定办理。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对于场内赎回的数量限制，上海证券交易所和中国证券登记结算有限责任公司的相关业务规则有规定的，从其最新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场内赎回发生上述情形时，需遵守上海证券交易所及中国证券登记结算有限责任公司的相关业务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w:t>
      </w:r>
      <w:r>
        <w:rPr>
          <w:rFonts w:ascii="宋体" w:hAnsi="宋体"/>
          <w:sz w:val="24"/>
        </w:rPr>
        <w:lastRenderedPageBreak/>
        <w:t>体请参见相关公告。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5、基金管理人可在法律法规允许的情况下，调整上述规定申购金额和赎回份额的数量限制。基金管理人必须在调整实施前依照《信息披露办法》的有关规定在指定媒介上公告。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如遇证券交易所或交易市场数据传输延迟、通讯系统故障、银行交换系统故障、港股通交易系统或港股通资金交收规则限制或其他非基金管理人及基金托管人所能控制的因素影响了业务流程，则赎回款项划付时间相应顺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开放日规定的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销售机构对申购、赎回申请的受理并不代表该申请一定成功，而仅代表销售机构确实接收到申购、赎回申请。申购、赎回申请的确认以登记机构的确认结果为准。对于申请的确认情况，投资者应及时查询。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本基金基金份额的申购费用由基金份额申购人承担，不列入基金财产，主要用于本基金的市场推广、销售、登记结算等各项费用。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本基金场外基金份额（非养老金客户）的申购费率如下：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46D6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本基金的场内申购费率由场内销售机构参照上表场外申购费率设定。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本基金对通过基金管理人直销柜台申购基金份额的养老金客户实施特定申购费率。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4）企业年金理事会委托的特定客户资产管理计划；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346D6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份额收取赎回费用，该费用随基金份额的持有时间递减。本基金基金份额的赎回费用由赎回基金份额的基金份额持有人承担，在基金份额持有人赎回基金份额时收取。对于持续持有期间少于7日的投资者收取的赎回费全额计入基金财产，对于持续持有期间大于等于7日的投资人收取的赎回费总额的25%应归基金财产，其余用于支付登记费和其他必要的手续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346D6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346D6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346D69" w:rsidRDefault="00346D6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本基金基金份额的场内赎回费率参照场外赎回费率执行。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w:t>
      </w:r>
      <w:r>
        <w:rPr>
          <w:rFonts w:ascii="宋体" w:hAnsi="宋体"/>
          <w:sz w:val="24"/>
        </w:rPr>
        <w:lastRenderedPageBreak/>
        <w:t>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（1）申购的有效份额为净申购金额除以当日基金份额净值，有效份额单位为份，场外申购涉及金额、份额的计算结果保留到小数点后两位，小数点后两位以后的部分四舍五入， 由此产生的收益或损失由基金财产承担。场内申购份额先按四舍五入的原则保留到小数点后两位，再按截位法保留到整数位，小数部分对应的金额退还投资者。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（2）赎回金额为按实际确认的有效赎回份额乘以当日基金份额净值并扣除相应的费用，赎回金额单位为元。赎回金额计算结果按四舍五入方法，保留到小数点后2位，由此产生的收益或损失由基金财产承担。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当申购费用适用比例费率时，申购份额的计算方法如下：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申购费=有效申购金额×申购费率/（1+申购费率）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申购份额＝（有效申购金额－申购费）/T日的基金份额净值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当申购费用为固定金额时，申购份额的计算方法如下：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申购费＝固定金额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申购份额=（有效申购金额－申购费）/ T日的基金份额净值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例：本基金封闭期结束，转为开放式运作后，某投资人（非养老金客户）投资4万元场内申购本基金，对应费率为1.5%，假设申购当日基金份额净值为1.0400元，则其可得到的申购份额为：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申购费＝40,000.00×1.5%/（1+1.5%）＝ 591.13元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申购份额=（400,000.00-591.13）/1.0400=37,893.14份（先按四舍五入的原</w:t>
      </w:r>
      <w:r>
        <w:rPr>
          <w:rFonts w:ascii="宋体" w:hAnsi="宋体"/>
          <w:sz w:val="24"/>
        </w:rPr>
        <w:lastRenderedPageBreak/>
        <w:t>则保留到小数点后两位）=37,893份（再按截位法保留到整数位）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退回资金=0.14*1.0400=0.15元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即：本基金封闭期结束，转为开放式运作后，某投资人（非养老金客户）投资4万元场内申购本基金，对应费率为1.5%，假设申购当日基金份额净值为1.0400元，则其可得到37,893份基金份额。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例：本基金封闭期结束，转为开放式运作后，某投资人（非养老金客户）投资4万元场外申购基金份额，对应费率为1.5%，假设申购当日基金份额的份额净值为1.0400元，则其可得到的申购份额为：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申购费＝40,000.00×1.5%/（1+1.5%）＝ 591.13元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申购份额=（40,000.00-591.13）/1.0400=37,893.14份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即：本基金封闭期结束，转为开放式运作后，某投资人（非养老金客户）投资4万元场外申购基金份额，对应费率为1.5%，假设申购当日基金份额的份额净值为1.0400元，则其可得到37,893.14份基金份额。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例：本基金封闭期结束，转为开放式运作后，某投资者赎回10,000份基金份额，持有60日，对应的赎回费率为0.5%，假设赎回当日基金份额净值是1.0160元，则其可得到的赎回金额为：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赎回金额=10,000.00×1.0160-50.80＝10,109.20元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即：本基金封闭期结束，转为开放式运作后，某投资者赎回10,000份基金份额，持有60日，对应的赎回费率为0.5%，假设赎回当日基金份额净值是1.0160元，则其可得到的赎回金额为10,109.20元。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上市交易或基金份额申购或者赎回前，基金管理人应当至少每周公告一次基金资产净值和基金份额净值。在开始办理基金上市交易或基金份额申购或者赎回后，T日的基金份额净值在当天收市后计算，并在T+1日（包括该日）内公告。遇特殊情况，经履行适当程序，可以适当延迟计算或公告。本基金份额净值</w:t>
      </w:r>
      <w:r>
        <w:rPr>
          <w:rFonts w:ascii="宋体" w:hAnsi="宋体"/>
          <w:sz w:val="24"/>
        </w:rPr>
        <w:lastRenderedPageBreak/>
        <w:t>的计算，保留到小数点后4位，小数点后第5位四舍五入，由此产生的收益或损失由基金财产承担。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本基金封闭期结束，转为开放式运作后，发生下列情况时，基金管理人可拒绝或暂停接受投资人的申购申请：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3、证券/期货交易所交易时间非正常停市或者港股通临时停市，导致基金管理人无法计算当日基金资产净值。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8、港股通交易每日额度不足。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本基金封闭期结束，转为开放式运作后，发生下列情形时，基金管理人可暂停接受投资人的赎回申请或延缓支付赎回款项：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资人的赎回申请或延缓支付赎回款项。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3、证券/期货交易所交易时间非正常停市或者港股通临时停市，导致基金管理人无法计算当日基金资产净值。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基金份额持有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支付。出现暂停赎回或延缓支付赎回款项时，场内赎回申请按照上海证券交易所及中国证券登记结算有限责任公司的有关业务规则办理。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w:t>
      </w:r>
      <w:r>
        <w:rPr>
          <w:rFonts w:ascii="宋体" w:hAnsi="宋体"/>
          <w:sz w:val="24"/>
        </w:rPr>
        <w:lastRenderedPageBreak/>
        <w:t>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3、巨额赎回的场内处理方式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w:t>
      </w:r>
      <w:r>
        <w:rPr>
          <w:rFonts w:ascii="宋体" w:hAnsi="宋体"/>
          <w:sz w:val="24"/>
        </w:rPr>
        <w:lastRenderedPageBreak/>
        <w:t>告或者通知销售机构代为告知等方式在3个交易日内通知基金份额持有人，说明有关处理方法，并在2日内在指定媒介上刊登公告。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开放的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（十三）基金份额的登记和转托管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基金份额，登记在注册登记系统中基金份额持有人的开放式基金账户下；场内认购、申购的基金份额，以及上市交易的基金份额，登记在证券登记结算系统基金份额持有人上海证券账户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登记在证券登记结算系统中的基金份额，可以在上海证券交易所上市交易，也可以在本基金转为上市开放式基金（LOF）后，直接申请场内赎回，或经跨系统转托管至注册登记系统，在本基金转为上市开放式基金（LOF）后，申请场外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基金份额，既可以在本基金转为上市开放式基金（LOF）后，直接申请场外赎回，也可经跨系统转托管至证券登记结算系统后，在上海证券交易所上市交易，或在本基金转为上市开放式基金（LOF）后，申请场内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（1）系统内转托管是指基金份额持有人将持有的基金份额在注册登记系统内不同销售机构之间，或在证券登记结算系统内不同会员单位之间进行转登记的行为。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（2）基金份额登记在注册登记系统的基金份额持有人在变更办理基金份额场外赎回业务的销售机构时，需办理已持有基金份额的系统内转托管。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（3）基金份额登记在证券登记结算系统的基金份额持有人在变更办理基金份额场内赎回的会员单位时，需办理已持有基金份额的系统内转托管。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（1）跨系统转托管是指基金份额持有人将持有的基金份额在注册登记系统和证券登记结算系统之间进行转登记的行为。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（2）本基金跨系统转托管的具体业务按照中国证券登记结算有限责任公司及上海证券交易所的相关规定办理。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本基金2023年2月17日刊登公告自2023年2月21日起开通定期定额投资计划业务，具体开通销售机构名单和业务规则参见相关公告。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基金登记机构只受理国家有权机关依法要求的基金份额的冻结与解冻，以及登记机构认可、符合法律法规的其他情况下的冻结与解冻。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3" w:name="_Toc234247832"/>
      <w:r>
        <w:rPr>
          <w:rFonts w:ascii="Times New Roman" w:hAnsi="Times New Roman"/>
          <w:sz w:val="30"/>
        </w:rPr>
        <w:lastRenderedPageBreak/>
        <w:t>十、基金的转换</w:t>
      </w:r>
      <w:bookmarkEnd w:id="13"/>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本基金2023年2月17日刊登公告自2023年2月21日起开放日常转换业务。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4" w:name="_Toc234247833"/>
      <w:r>
        <w:rPr>
          <w:rFonts w:ascii="Times New Roman" w:hAnsi="Times New Roman"/>
          <w:sz w:val="30"/>
        </w:rPr>
        <w:lastRenderedPageBreak/>
        <w:t>十一、基金的投资</w:t>
      </w:r>
      <w:bookmarkEnd w:id="14"/>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本基金在严格控制风险的前提下，坚持价值投资的基本理念，充分发挥专业研究与管理能力，力争为投资者提供长期稳健的投资回报。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封闭期结束，转为开放式运作后，股票投资（含存托凭证）占基金资产的比例为50%-95%（其中投资于港股通标的股票的比例占股票资产的0%-50%）；封闭期内，股票投资（含存托凭证）占基金资产的比例为50%-100%（其中投资于港股通标的股票的比例占股票资产的0%-50%）；但本基金封闭期结束前三个月至转开放式运作后三个月内，基金投资不受前述下限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w:t>
      </w:r>
      <w:r>
        <w:rPr>
          <w:rFonts w:ascii="宋体" w:hAnsi="宋体"/>
          <w:sz w:val="24"/>
        </w:rPr>
        <w:lastRenderedPageBreak/>
        <w:t>投资于港股或选择不将基金资产投资于港股，基金资产并非必然投资港股。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4、股指期货投资策略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5、资产支持证券投资策略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基于本基金的运作方式，基金管理人在临近封闭期届满时将重点关注基金资产的流动性和变现能力，分散投资，做好流动性管理以应对本基金封闭期结束转为开放式运作后的投资者的赎回需求。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未来，随着投资工具的发展和丰富，基金管理人可以在不改变投资目标的前提下，相应调整和更新相关投资策略，并在招募说明书中更新，而无需召开基金份额持有人大会。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1、组合限制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封闭期结束，转为开放式运作后，股票投资（含存托凭证）占基金资产的比例为50%-95%（其中投资于港股通标的股票的比例占股票资产的0%-50%）；封闭期内，股票投资（含存托凭证）占基金资产的比例为50%-100%（其中投资于港股通标的股票的比例占股票资产的0%-50%）；但本基金封闭期结束前三个月至转开放式运作后三个月内，基金投资不受前述下限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每个交易日日终，在扣除股指期货合约需缴纳的交易保证金后，本基金持有的现金或到期日在一年以内的政府债券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本基金持有一家公司发行的证券（同一家公司在内地和香港同时上市的A+H 股合计计算），其市值不超过基金资产净值的10%；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（11）本基金进入全国银行间同业市场进行债券回购的资金余额不得超过基金资产净值的40%，进入全国银行间同业市场进行债券回购的最长期限为1年，债券回购到期后不得展期；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封闭期结束，转为开放式运作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（15）在封闭期内，本基金的基金资产总值不得超过基金资产净值的200%；在封闭期结束，转为开放式运作后，本基金的基金资产总值不得超过基金资产净值的140%；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（16）本基金参与股指期货交易，则：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封闭期内的任何交易日日终，持有的买入股指期货合约价值与有价证券市值之和，不得超过基金资产净值的100%；本基金封闭期结束，转为开放式运作后，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5）本基金在任何交易日内交易（不包括平仓）的股指期货合约的成交金额不得超过上一交易日基金资产净值的20%；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如法律、行政法规或监管部门取消上述规定，如适用于本基金，基金管理人在履行适当程序后，本基金可不受上述规定的限制。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沪深300指数收益率×70%+恒生指数收益率×5%+中证综合债券指数收益率×25%</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（七）基金管理人代表基金行使股东或债权人权利的处理原则及方法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本基金托管人中国农业银行股份有限公司根据本基金合同规定，于2026年04月20日复核了本报告中的财务指标、净值表现和投资组合报告等内容，保证复核内容不存在虚假记载、误导性陈述或者重大遗漏。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本投资组合报告期为2026年01月01日起至03月31日，所载财务数据未经审计师审计。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740,417,953.92</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80.77</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740,417,953.92</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80.77</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107,631,863.53</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11.74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8,054,854.98</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0.88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916,647,746.40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w:t>
      </w:r>
      <w:r>
        <w:rPr>
          <w:rFonts w:ascii="宋体" w:hAnsi="宋体"/>
          <w:sz w:val="24"/>
        </w:rPr>
        <w:lastRenderedPageBreak/>
        <w:t>334,485,518.18元，占基金资产净值比例为36.62%。</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326,155,677.10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35.71</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26,884.64</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32,484,847.56</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3.56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26,870,000.00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2.94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1,452,436.08</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5,604,000.00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0.61</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7,154,919.79</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0.78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5,862,000.00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0.64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405,932,435.74</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44.45</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74,171,058.09</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8.12</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73,847,112.56</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8.09</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57,573,637.70</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6.30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40,826,283.57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4.47</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34,301,068.96</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28,234,268.74</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3.09</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信息技术</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25,532,088.56</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334,485,518.18</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36.62</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002352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853,394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32,463,107.76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3.55</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06936 HK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顺丰控股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1,820,000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56,629,587.56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6.20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600893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航发动力</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1,389,000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66,755,340.00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7.31</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301035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润丰股份</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436,870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33,306,968.80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3.65</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603288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海天味业</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807,700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33,115,700.00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3.63</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300677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英科医疗</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550,000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32,274,000.00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3.53</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00175 HK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吉利汽车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1,600,000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29,554,102.40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3.24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600754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锦江酒店</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26,870,000.00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2.94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09606 HK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映恩生物</w:t>
            </w: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26,047,025.00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2.85</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01318 HK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毛戈平</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373,600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24,872,207.05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2.72</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00817 HK</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中国金茂</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21,148,000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24,087,688.31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2.64</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60,543,073.97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6.63</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389,171.34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7,538,997.34</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126,686.30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right"/>
              <w:rPr>
                <w:rFonts w:ascii="宋体" w:hAnsi="宋体"/>
                <w:color w:val="000000"/>
                <w:kern w:val="0"/>
                <w:sz w:val="25"/>
                <w:szCs w:val="24"/>
              </w:rPr>
            </w:pPr>
            <w:r>
              <w:rPr>
                <w:rFonts w:ascii="Times New Roman" w:hAnsi="Times New Roman"/>
                <w:color w:val="000000"/>
                <w:kern w:val="0"/>
                <w:sz w:val="25"/>
                <w:szCs w:val="24"/>
              </w:rPr>
              <w:t>8,054,854.98</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5" w:name="_Toc234247834"/>
      <w:r>
        <w:rPr>
          <w:rFonts w:ascii="Times New Roman" w:hAnsi="Times New Roman"/>
          <w:sz w:val="30"/>
        </w:rPr>
        <w:lastRenderedPageBreak/>
        <w:t>十二、基金的业绩</w:t>
      </w:r>
      <w:bookmarkEnd w:id="15"/>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交银施罗德瑞思三年封闭运作混合型证券投资基金</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4.14%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0.61%</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21.50%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13.98%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7.52%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5.37%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13.66%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-8.29%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0.46%</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-18.08%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-7.50%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-10.58%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-6.95%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8.34%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0.58%</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346D6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29.49%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18.24%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11.25%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注：本基金的业绩比较基准为沪深300指数收益率×70%+恒生指数收益率×5%+中证综合债券指数收益率×25%，每日进行再平衡过程。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346D69" w:rsidRDefault="00D204E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交银施罗德瑞思三年封闭运作混合型证券投资基金</w:t>
      </w:r>
    </w:p>
    <w:p w:rsidR="00346D69" w:rsidRDefault="00D204E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346D69" w:rsidRDefault="00D204E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（2020年2月21日至2026年03月31日）</w:t>
      </w:r>
    </w:p>
    <w:p w:rsidR="00346D69" w:rsidRDefault="00277BB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6" w:name="_Toc234247835"/>
      <w:r>
        <w:rPr>
          <w:rFonts w:ascii="Times New Roman" w:hAnsi="Times New Roman"/>
          <w:sz w:val="30"/>
        </w:rPr>
        <w:lastRenderedPageBreak/>
        <w:t>十三、基金的财产</w:t>
      </w:r>
      <w:bookmarkEnd w:id="16"/>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结算账户以及投资所需的其他专用账户。开立的基金专用账户与基金管理人、基金托管人、基金销售机构和基金登记机构自有的财产账户以及其他基金财产账户相独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7" w:name="_Toc234247836"/>
      <w:r>
        <w:rPr>
          <w:rFonts w:ascii="Times New Roman" w:hAnsi="Times New Roman"/>
          <w:sz w:val="30"/>
        </w:rPr>
        <w:lastRenderedPageBreak/>
        <w:t>十四、基金资产的估值</w:t>
      </w:r>
      <w:bookmarkEnd w:id="17"/>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基金所拥有的股票、债券、股指期货合约和其他投资等持续以公允价值计量的金融资产及负债。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以每日收盘价作为估值全价；交易所上市实行全价交易的债券（可转债除外），选取第三方估值机构提供的估值全价减去估值全价中所含的债券（税后）应收利息得到的净价进行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（4）交易所上市不存在活跃市场的有价证券，采用估值技术确定公允价值。交易所市场挂牌转让的资产支持证券，采用估值技术确定公允价值；估值技术难以确定和计量其公允价值的，按成本估值；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（2）首次公开发行未上市的股票、债券，采用估值技术确定公允价值，在估值技术难以可靠计量公允价值的情况下，按成本估值；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w:t>
      </w:r>
      <w:r>
        <w:rPr>
          <w:rFonts w:ascii="宋体" w:hAnsi="宋体"/>
          <w:sz w:val="24"/>
        </w:rPr>
        <w:lastRenderedPageBreak/>
        <w:t>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5、如有确凿证据表明按上述方法进行估值不能客观反映其公允价值的，基金管理人可根据具体情况与基金托管人商定后，按最能反映公允价值的价格估值。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6、估值计算中涉及港币对人民币汇率的，将依据下列信息提供机构所提供的汇率为基准：当日中国人民银行公布的人民币与港币的中间价。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w:t>
      </w:r>
      <w:r>
        <w:rPr>
          <w:rFonts w:ascii="宋体" w:hAnsi="宋体"/>
          <w:sz w:val="24"/>
        </w:rPr>
        <w:lastRenderedPageBreak/>
        <w:t>如遇特殊情况，经履行适当程序，可以适当延迟计算或公告。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 发生估值错误时，视为基金份额净值错误。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w:t>
      </w:r>
      <w:r>
        <w:rPr>
          <w:rFonts w:ascii="宋体" w:hAnsi="宋体"/>
          <w:sz w:val="24"/>
        </w:rPr>
        <w:lastRenderedPageBreak/>
        <w:t>并且仅对估值错误的有关直接当事人负责，不对第三方负责。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（3）前述内容如法律法规或者监管部门另有规定的，从其规定。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2、因不可抗力致使基金管理人、基金托管人无法准确评估基金资产价值时；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 50%以上的资产出现无可参考的活跃市场价格且采用估值技术仍导致公允价值存在重大不确定性时，经与基金托管人协商确认后，基金管理人应当暂停估值；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1、基金管理人或基金托管人按估值方法的第5项进行估值时，所造成的误差不作为基金资产估值错误处理。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不可抗力原因，或由于证券/期货交易所、证券/期货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8" w:name="_Toc234247837"/>
      <w:r>
        <w:rPr>
          <w:rFonts w:ascii="Times New Roman" w:hAnsi="Times New Roman"/>
          <w:sz w:val="30"/>
        </w:rPr>
        <w:lastRenderedPageBreak/>
        <w:t>十五、基金收益与分配</w:t>
      </w:r>
      <w:bookmarkEnd w:id="18"/>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登记在基金份额持有人上海证券账户下的基金份额，只能选择现金分红的方式，具体权益分配程序等有关事项遵循上海证券交易所及中国证券登记结算有限责任公司的相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对于场外份额，基金收益分配时所发生的银行转账或其他手续费用由投资者自</w:t>
      </w:r>
      <w:r>
        <w:rPr>
          <w:rFonts w:ascii="宋体" w:hAnsi="宋体"/>
          <w:sz w:val="24"/>
        </w:rPr>
        <w:lastRenderedPageBreak/>
        <w:t>行承担。当投资者的现金红利小于一定金额，不足以支付银行转账或其他手续费用时，基金登记机构可将基金份额持有人的现金红利自动转为基金份额。红利再投资的计算方法，依照《业务规则》执行。对于场内份额，现金分红的计算方法等有关事项遵循上海证券交易所及中国证券登记结算有限责任公司的相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19" w:name="_Toc234247838"/>
      <w:r>
        <w:rPr>
          <w:rFonts w:ascii="Times New Roman" w:hAnsi="Times New Roman"/>
          <w:sz w:val="30"/>
        </w:rPr>
        <w:lastRenderedPageBreak/>
        <w:t>十六、基金的费用与税收</w:t>
      </w:r>
      <w:bookmarkEnd w:id="19"/>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9、基金上市费用；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10、因投资港股通标的股票而产生的各项合理费用；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11、按照国家有关规定和《基金合同》约定，可以在基金财产中列支的其他费用。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w:t>
      </w:r>
      <w:r>
        <w:rPr>
          <w:rFonts w:ascii="宋体" w:hAnsi="宋体"/>
          <w:sz w:val="24"/>
        </w:rPr>
        <w:lastRenderedPageBreak/>
        <w:t>法如下：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（3）上述“（一）基金费用的种类”中第3－11项费用，根据有关法规及相应协议规定，按费用实际支出金额列入当期费用，由基金托管人从基金财产中支付。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（四）基金税收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w:t>
      </w:r>
      <w:r>
        <w:rPr>
          <w:rFonts w:ascii="宋体" w:hAnsi="宋体"/>
          <w:sz w:val="24"/>
        </w:rPr>
        <w:lastRenderedPageBreak/>
        <w:t>义务人按照国家有关税收征收的规定代扣代缴。</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0" w:name="_Toc234247839"/>
      <w:r>
        <w:rPr>
          <w:rFonts w:ascii="Times New Roman" w:hAnsi="Times New Roman"/>
          <w:sz w:val="30"/>
        </w:rPr>
        <w:lastRenderedPageBreak/>
        <w:t>十七、基金的会计与审计</w:t>
      </w:r>
      <w:bookmarkEnd w:id="20"/>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1" w:name="_Toc234247840"/>
      <w:r>
        <w:rPr>
          <w:rFonts w:ascii="Times New Roman" w:hAnsi="Times New Roman"/>
          <w:sz w:val="30"/>
        </w:rPr>
        <w:lastRenderedPageBreak/>
        <w:t>十八、基金的信息披露</w:t>
      </w:r>
      <w:bookmarkEnd w:id="21"/>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（一）本基金的信息披露应符合《基金法》、《运作办法》、《信息披露办法》、《流动性风险管理规定》、《基金合同》及其他有关规定。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招募说明书提示性公告和《基金合同》提示性公告登载在指定报刊上，将基金份额发售公告、基金招募说明书、基金产品资料概要、《基金合同》和基金托管协议登载在指定网站上，并将基金产品资料概要登载在基金销售机构网站或营业网点；基金托管人应当同时将《基金合同》、基金托管协议登载在网站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基金份额获准在证券交易所上市交易的，基金管理人应当在基金份额上市交易</w:t>
      </w:r>
      <w:r>
        <w:rPr>
          <w:rFonts w:ascii="宋体" w:hAnsi="宋体"/>
          <w:sz w:val="24"/>
        </w:rPr>
        <w:lastRenderedPageBreak/>
        <w:t>的三个工作日前，将基金份额上市交易公告书登载在指定网站上，并将上市交易公告书提示性公告登载在指定报刊上。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《基金合同》生效后，在开始办理基金上市交易或基金份额申购或者赎回前，基金管理人应当至少每周在指定网站披露一次基金份额净值和基金份额累计净值。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在开始办理基金上市交易或基金份额申购或者赎回后，基金管理人应当在不晚于每个开放日的次日，通过指定网站、基金销售机构网站或者营业网点披露开放日的基金份额净值和基金份额累计净值。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8、临时报告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w:t>
      </w:r>
      <w:r>
        <w:rPr>
          <w:rFonts w:ascii="宋体" w:hAnsi="宋体"/>
          <w:sz w:val="24"/>
        </w:rPr>
        <w:lastRenderedPageBreak/>
        <w:t>生变更；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（21）基金管理人采用摆动定价机制进行估值；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（22）本基金停复牌或终止上市；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（23）本基金封闭期结束，转为开放式运作后，发生涉及基金申购、赎回事项调整或潜在影响投资者赎回等重大事项时；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（24）本基金增加或调整基金份额类别；</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（25）《基金合同》生效后，连续30个工作日、40个工作日、45个工作日出现基金份额持有人数量不满200人或者基金资产净值低于5000万元情形的，基金管理人应当发布提示性公告；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（26）基金信息披露义务人认为可能对基金份额持有人权益或者基金份额的价格产生重大影响的其他事项或中国证监会规定的其他事项。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及基金上市交易的证券交易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w:t>
      </w:r>
      <w:r>
        <w:rPr>
          <w:rFonts w:ascii="宋体" w:hAnsi="宋体"/>
          <w:sz w:val="24"/>
        </w:rPr>
        <w:lastRenderedPageBreak/>
        <w:t>清算报告提示性公告登载在指定报刊上。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14、投资港股通标的股票相关公告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w:t>
      </w:r>
      <w:r>
        <w:rPr>
          <w:rFonts w:ascii="宋体" w:hAnsi="宋体"/>
          <w:sz w:val="24"/>
        </w:rPr>
        <w:lastRenderedPageBreak/>
        <w:t>其他公共媒介披露信息，但是其他公共媒介不得早于指定媒介和基金上市交易的证券交易所网站披露信息，并且在不同媒介上披露同一信息的内容应当一致。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依法必须披露的信息发布后，基金管理人、基金托管人应当按照相关法律法规规定将信息置备于各自办公场所和基金上市交易的证券交易所网站，供社会公众查阅、复制。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（八）暂停或延迟披露基金相关信息</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2、基金投资所涉及的证券、期货交易市场遇法定节假日或因其他原因暂停营业时；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3、法律法规、中国证监会规定或基金合同的情况。</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2" w:name="_Toc234247841"/>
      <w:r>
        <w:rPr>
          <w:rFonts w:ascii="Times New Roman" w:hAnsi="Times New Roman"/>
          <w:sz w:val="30"/>
        </w:rPr>
        <w:lastRenderedPageBreak/>
        <w:t>十九、风险揭示</w:t>
      </w:r>
      <w:bookmarkEnd w:id="22"/>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工作日基金总份额的百分之十时，投资人将可能无法及时赎回持有的全部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市场交易量不足，导致证券不能迅速、低成本地转变为现金的风险。流动性风险还包括由于本基金封闭期结束，转为开放式运作后出现投资者大额或巨额赎回，致使本基金没有足够的现金应付基金赎回支付的要求所导致的风险和本基金在</w:t>
      </w:r>
      <w:r>
        <w:rPr>
          <w:rFonts w:ascii="宋体" w:hAnsi="宋体"/>
          <w:sz w:val="24"/>
        </w:rPr>
        <w:lastRenderedPageBreak/>
        <w:t>封闭期内无法赎回的风险，但本基金上市交易后，可通过二级市场进行份额转让。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基金合同生效后三年之内（含三年）为封闭期，在此期间投资者不能申购、赎回基金份额，但可在本基金上市交易后通过上海证券交易所转让基金份额。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基金封闭期届满起不超过30天开始办理申购、赎回业务，在确定申购开始与赎回开始时间后，基金管理人应在申购、赎回开放日前依照《信息披露办法》的有关规定在指定媒介上公告申购与赎回的开始时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工作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（3）本基金如发生巨额赎回且单个开放日内单个基金份额持有人申请赎回的基金份额超过前一工作日的基金总份额的20%时，本基金管理人有权采取如下措施：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指定媒介上进行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4、巨额赎回的场内处理方式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5、实施备用的流动性风险管理工具的情形、程序及对投资者的潜在影响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w:t>
      </w:r>
      <w:r>
        <w:rPr>
          <w:rFonts w:ascii="宋体" w:hAnsi="宋体"/>
          <w:sz w:val="24"/>
        </w:rPr>
        <w:lastRenderedPageBreak/>
        <w:t>支付到期本息，都可能导致基金资产损失和收益变化，从而产生风险。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3、本基金可投资港股通标的股票，会面临港股通机制下因投资环境、投资标的、市场制度以及交易规则等差异带来的特有风险，具体如下：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2）香港市场交易规则有别于内地A股市场规则，此外，在“内地与香港股票市场交易互联互通机制”下参与香港股票投资还将面临包括但不限于如下特殊风险：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联合交易所出现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w:t>
      </w:r>
      <w:r>
        <w:rPr>
          <w:rFonts w:ascii="宋体" w:hAnsi="宋体"/>
          <w:sz w:val="24"/>
        </w:rPr>
        <w:lastRenderedPageBreak/>
        <w:t>资产并非必然投资港股通标的股票。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5、基金合同提前终止风险。连续50个工作日出现基金份额持有人数量不满200人或者基金资产净值低于5000万元情形的，基金管理人提前终止基金合同，不需召开基金份额持有人大会。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（七）投资科创板股票的特定风险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w:t>
      </w:r>
      <w:r>
        <w:rPr>
          <w:rFonts w:ascii="宋体" w:hAnsi="宋体"/>
          <w:sz w:val="24"/>
        </w:rPr>
        <w:lastRenderedPageBreak/>
        <w:t>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（八）投资存托凭证的特定风险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w:t>
      </w:r>
      <w:r>
        <w:rPr>
          <w:rFonts w:ascii="宋体" w:hAnsi="宋体"/>
          <w:sz w:val="24"/>
        </w:rPr>
        <w:lastRenderedPageBreak/>
        <w:t>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（九）本基金法律文件风险收益特征表述与销售机构基金风险评价可能不一致的风险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（十）其他风险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3" w:name="_Toc234247842"/>
      <w:r>
        <w:rPr>
          <w:rFonts w:ascii="Times New Roman" w:hAnsi="Times New Roman"/>
          <w:sz w:val="30"/>
        </w:rPr>
        <w:lastRenderedPageBreak/>
        <w:t>二十、基金合同的变更、终止与基金财产的清算</w:t>
      </w:r>
      <w:bookmarkEnd w:id="23"/>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4" w:name="_Toc234247843"/>
      <w:r>
        <w:rPr>
          <w:rFonts w:ascii="Times New Roman" w:hAnsi="Times New Roman"/>
          <w:sz w:val="30"/>
        </w:rPr>
        <w:lastRenderedPageBreak/>
        <w:t>二十一、基金合同内容摘要</w:t>
      </w:r>
      <w:bookmarkEnd w:id="24"/>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4）根据相关市场规则，为基金开设资金账户、证券账户、期货结算账户等投资所需账户，为基金办理证券交易资金清算；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6）按规定开设基金财产的资金账户、证券账户等投资所需账户，按照《基金合同》的约定，根据基金管理人的投资指令，及时办理清算、交割事宜；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（二）基金份额持有人大会召集、议事及表决的程序和规则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1）终止《基金合同》，基金合同另有约定的除外；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8）变更基金投资目标、范围或策略，基金合同另有约定的除外；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9）变更基金份额持有人大会程序，基金合同另有约定的除外；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11）终止基金份额上市，但因基金不再具备上市条件而被上海证券交易所终止上市的除外，基金合同另有约定的除外；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2）在法律法规和《基金合同》规定的范围内调整本基金的申购费率、调低赎回费率、在对现有基金份额持有人利益无实质性不利影响的前提下变更收费方式；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3）因相应的法律法规、上海证券交易所或登记机构的相关业务规则发生变动而应当对《基金合同》进行修改；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7）在不违反法律法规及对基金份额持有人利益无实质性不利影响的前提下，基金管理人、登记机构、销售机构调整有关基金认购、申购、赎回、转换、收益分配、非交易过户、转托管、上市交易等业务的规则；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基金份额持有人大会决议自生效之日起依照《信息披露办法》的规定在指定媒介上公告。如果采用通讯方式进行表决，在公告基金份额持有人大会决议时，必须将公证书全文、公证机构、公证员姓名等一同公告。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（2）关于《基金合同》变更的基金份额持有人大会决议自生效后方可执行，并自决议生效后依照《信息披露办法》的规定在指定媒介公告。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（3）连续50个工作日出现基金份额持有人数量不满200人或者基金资产净值低于5000万元情形的，基金管理人提前终止基金合同，不需召开基金份额持有人大会；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指定网站上，并将清算报告提示性公告登载在指定报刊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w:t>
      </w:r>
      <w:r>
        <w:rPr>
          <w:rFonts w:ascii="宋体" w:hAnsi="宋体"/>
          <w:sz w:val="24"/>
        </w:rPr>
        <w:lastRenderedPageBreak/>
        <w:t>委员会，按照中国国际经济贸易仲裁委员会届时有效的仲裁规则进行仲裁。仲裁地点为北京市。仲裁裁决是终局的，对各方当事人均有约束力，除非仲裁裁决另有规定，仲裁费由败诉方承担。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《基金合同》受中国法律（不含港澳台地区立法）管辖。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5" w:name="_Toc234247844"/>
      <w:r>
        <w:rPr>
          <w:rFonts w:ascii="Times New Roman" w:hAnsi="Times New Roman"/>
          <w:sz w:val="30"/>
        </w:rPr>
        <w:lastRenderedPageBreak/>
        <w:t>二十二、托管协议的内容摘要</w:t>
      </w:r>
      <w:bookmarkEnd w:id="25"/>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 2005年8月4日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基金托管资格批准文号：中国证监会证监基字[1998]23号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封闭期结束，转为开放式运作后，股票投资（含存托凭证）占基金资产的比例为50%-95%（其中投资于港股通标的股票的比例占股票资产的0%-50%）；封闭期内，股票投资（含存托凭证）占基金资产的比例为50%-100%（其中投资于港股通标的股票的比例占股票资产的0%-50%）；但本基金封</w:t>
      </w:r>
      <w:r>
        <w:rPr>
          <w:rFonts w:ascii="宋体" w:hAnsi="宋体"/>
          <w:sz w:val="24"/>
        </w:rPr>
        <w:lastRenderedPageBreak/>
        <w:t>闭期结束前三个月至转开放式运作后三个月内，基金投资不受前述下限比例限制。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封闭期结束，转为开放式运作后，每个交易日日终，在扣除股指期货合约需缴纳的交易保证金后，本基金保留的现金或者投资于到期日在一年以内的政府债券的比例合计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封闭期结束，转为开放式运作后，股票投资（含存托凭证）占基金资产的比例为50%-95%（其中投资于港股通标的股票的比例占股票资产的0%-50%）；封闭期内，股票投资（含存托凭证）占基金资产的比例为50%-100%（其中投资于港股通标的股票的比例占股票资产的0%-50%）；但本基金封闭期结束前三个月至转开放式运作后三个月内，基金投资不受前述下限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封闭期结束，转为开放式运作后，每个交易日日终，在扣除股指期货合约需缴纳的交易保证金后，本基金持有的现金或到期日在一年以内的政府债券不低于基金资产净值的5%；在封闭期内，本基金不受前述5%的限制，但每个交易日日终在扣除股指期货合约需缴纳的交易保证金后，应当保持不低于交易保证金一倍的现金；其中现金不包括结算备付金、存出保证金、应收申购款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w:t>
      </w:r>
      <w:r>
        <w:rPr>
          <w:rFonts w:ascii="宋体" w:hAnsi="宋体"/>
          <w:sz w:val="24"/>
        </w:rPr>
        <w:lastRenderedPageBreak/>
        <w:t>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封闭期结束，转为开放式运作后，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（15）在封闭期内，本基金的基金资产总值不得超过基金资产净值的200%；在封闭期结束，转为开放式运作后，本基金的基金资产总值不得超过基金资产净值的140%；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（16）本基金参与股指期货交易，则：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1）本基金在任何交易日日终，持有的买入股指期货合约价值，不得超过基金资产净值的10%；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封闭期内的任何交易日日终，持有的买入股指期货合约价值与有价证券市值之和，不得超过基金资产净值的100%；本基金封闭期结束，转为开放式运作后，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13）项、第（14）项情形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w:t>
      </w:r>
      <w:r>
        <w:rPr>
          <w:rFonts w:ascii="宋体" w:hAnsi="宋体"/>
          <w:sz w:val="24"/>
        </w:rPr>
        <w:lastRenderedPageBreak/>
        <w:t>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w:t>
      </w:r>
      <w:r>
        <w:rPr>
          <w:rFonts w:ascii="宋体" w:hAnsi="宋体"/>
          <w:sz w:val="24"/>
        </w:rPr>
        <w:lastRenderedPageBreak/>
        <w:t>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w:t>
      </w:r>
      <w:r>
        <w:rPr>
          <w:rFonts w:ascii="宋体" w:hAnsi="宋体"/>
          <w:sz w:val="24"/>
        </w:rPr>
        <w:lastRenderedPageBreak/>
        <w:t>由，拒绝、阻挠对方根据本协议规定行使监督权，或采取拖延、欺诈等手段妨碍对方进行有效监督，情节严重或经基金托管人提出警告仍不改正的，基金托管人应报告中国证监会。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基金份额净值、根据基金管理人指令办理清算交收、相关信息披露和监督基金投资运作等行为。</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（4）基金托管人对所托管的不同基金财产分别设置账户，与基金托管人的其他业务和其他基金的托管业务实行严格的分账管理，确保基金财产的完整与独立。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（1）基金募集期间的认购款项应存于专用账户。该账户由基金管理人或基金管理人委托的登记机构开立并管理。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具有从事证券、期货相关业务资格的会计师事务所进行验资，出具验资报告。出具的验资报告由参加验资的2名或2名以上中国注册会计师签字方为有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（4）基金托管资金账户的开立和管理应符合相关法律法规的有关规定。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代表基金签订全国银行间债券市场债券回购主协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本协议受中国法律（不含港澳台地区立法）管辖。</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w:t>
      </w:r>
      <w:r>
        <w:rPr>
          <w:rFonts w:ascii="宋体" w:hAnsi="宋体"/>
          <w:sz w:val="24"/>
        </w:rPr>
        <w:lastRenderedPageBreak/>
        <w:t>权；</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6" w:name="_Toc234247845"/>
      <w:r>
        <w:rPr>
          <w:rFonts w:ascii="Times New Roman" w:hAnsi="Times New Roman"/>
          <w:sz w:val="30"/>
        </w:rPr>
        <w:lastRenderedPageBreak/>
        <w:t>二十三、对基金份额持有人的服务</w:t>
      </w:r>
      <w:bookmarkEnd w:id="26"/>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份额的申购、赎回、转换、定期定额投资等业务。通过网上直销交易平台办理本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w:t>
      </w:r>
      <w:r>
        <w:rPr>
          <w:rFonts w:ascii="宋体" w:hAnsi="宋体"/>
          <w:sz w:val="24"/>
        </w:rPr>
        <w:lastRenderedPageBreak/>
        <w:t>收益分配方式是现金分红；登记在基金份额持有人上海证券账户下的基金份额，只能选择现金分红的方式，具体权益分配程序等有关事项遵循上海证券交易所及中国证券登记结算有限责任公司的相关规定。</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7" w:name="_Toc234247846"/>
      <w:r>
        <w:rPr>
          <w:rFonts w:ascii="Times New Roman" w:hAnsi="Times New Roman"/>
          <w:sz w:val="30"/>
        </w:rPr>
        <w:lastRenderedPageBreak/>
        <w:t>二十四、其他应披露事项</w:t>
      </w:r>
      <w:bookmarkEnd w:id="27"/>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交银施罗德瑞思混合型证券投资基金（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346D6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346D69" w:rsidRDefault="00D204E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8" w:name="_Toc234247847"/>
      <w:r>
        <w:rPr>
          <w:rFonts w:ascii="Times New Roman" w:hAnsi="Times New Roman"/>
          <w:sz w:val="30"/>
        </w:rPr>
        <w:lastRenderedPageBreak/>
        <w:t>二十五、招募说明书的存放及查阅方式</w:t>
      </w:r>
      <w:bookmarkEnd w:id="28"/>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D204E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346D69" w:rsidRDefault="00D204E0">
      <w:pPr>
        <w:pStyle w:val="1"/>
        <w:snapToGrid w:val="0"/>
        <w:spacing w:beforeLines="0" w:before="240" w:after="240"/>
        <w:rPr>
          <w:rFonts w:ascii="宋体" w:hAnsi="宋体"/>
          <w:szCs w:val="30"/>
        </w:rPr>
      </w:pPr>
      <w:bookmarkStart w:id="29" w:name="_Toc234247848"/>
      <w:r>
        <w:rPr>
          <w:rFonts w:ascii="Times New Roman" w:hAnsi="Times New Roman"/>
          <w:sz w:val="30"/>
        </w:rPr>
        <w:lastRenderedPageBreak/>
        <w:t>二十六、备查文件</w:t>
      </w:r>
      <w:bookmarkEnd w:id="29"/>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（一）中国证监会准予交银施罗德瑞思三年封闭运作混合型证券投资基金募集注册的文件</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（二）《交银施罗德瑞思混合型证券投资基金（LOF）基金合同》</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（三）《交银施罗德瑞思混合型证券投资基金（LOF）托管协议》</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346D69" w:rsidRDefault="00D204E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（六）关于申请募集注册交银施罗德瑞思三年封闭运作混合型证券投资基金的法律意见书</w:t>
      </w:r>
    </w:p>
    <w:sectPr w:rsidR="00346D69">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3D1" w:rsidRDefault="00D204E0">
      <w:r>
        <w:separator/>
      </w:r>
    </w:p>
  </w:endnote>
  <w:endnote w:type="continuationSeparator" w:id="0">
    <w:p w:rsidR="00AE53D1" w:rsidRDefault="00D20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346D6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277BB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346D69" w:rsidRDefault="00D204E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77BB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346D6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277BB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346D69" w:rsidRDefault="00D204E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277BBA">
                  <w:rPr>
                    <w:rFonts w:ascii="Times New Roman" w:hAnsi="Times New Roman"/>
                    <w:noProof/>
                    <w:kern w:val="0"/>
                    <w:sz w:val="18"/>
                    <w:szCs w:val="18"/>
                  </w:rPr>
                  <w:t>151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3D1" w:rsidRDefault="00D204E0">
      <w:r>
        <w:separator/>
      </w:r>
    </w:p>
  </w:footnote>
  <w:footnote w:type="continuationSeparator" w:id="0">
    <w:p w:rsidR="00AE53D1" w:rsidRDefault="00D20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346D6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D204E0">
    <w:pPr>
      <w:pStyle w:val="a3"/>
      <w:jc w:val="right"/>
      <w:rPr>
        <w:rFonts w:ascii="宋体" w:hAnsi="宋体"/>
      </w:rPr>
    </w:pPr>
    <w:r>
      <w:rPr>
        <w:rFonts w:ascii="宋体" w:hAnsi="宋体" w:hint="eastAsia"/>
      </w:rPr>
      <w:t>交银施罗德瑞思混合型证券投资基金（LOF）招募说明书更新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346D69">
    <w:pPr>
      <w:pStyle w:val="10"/>
      <w:jc w:val="right"/>
    </w:pPr>
  </w:p>
  <w:p w:rsidR="00346D69" w:rsidRDefault="00346D69">
    <w:pPr>
      <w:pStyle w:val="10"/>
      <w:jc w:val="right"/>
    </w:pPr>
  </w:p>
  <w:p w:rsidR="00346D69" w:rsidRDefault="00346D69">
    <w:pPr>
      <w:pStyle w:val="a3"/>
      <w:jc w:val="right"/>
    </w:pPr>
  </w:p>
  <w:p w:rsidR="00346D69" w:rsidRDefault="00D204E0">
    <w:pPr>
      <w:pStyle w:val="a3"/>
      <w:jc w:val="right"/>
      <w:rPr>
        <w:rFonts w:ascii="宋体" w:hAnsi="宋体"/>
      </w:rPr>
    </w:pPr>
    <w:r>
      <w:rPr>
        <w:rFonts w:ascii="宋体" w:hAnsi="宋体" w:hint="eastAsia"/>
      </w:rPr>
      <w:t>交银施罗德瑞思混合型证券投资基金（LOF）招募说明书更新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D69" w:rsidRDefault="00346D69">
    <w:pPr>
      <w:pStyle w:val="a3"/>
      <w:jc w:val="right"/>
    </w:pPr>
  </w:p>
  <w:p w:rsidR="00346D69" w:rsidRDefault="00346D69">
    <w:pPr>
      <w:pStyle w:val="a3"/>
      <w:jc w:val="right"/>
    </w:pPr>
  </w:p>
  <w:p w:rsidR="00346D69" w:rsidRDefault="00346D69">
    <w:pPr>
      <w:pStyle w:val="a3"/>
      <w:jc w:val="right"/>
    </w:pPr>
  </w:p>
  <w:p w:rsidR="00346D69" w:rsidRDefault="00D204E0">
    <w:pPr>
      <w:pStyle w:val="a3"/>
      <w:jc w:val="right"/>
      <w:rPr>
        <w:rFonts w:ascii="宋体" w:hAnsi="宋体"/>
      </w:rPr>
    </w:pPr>
    <w:r>
      <w:rPr>
        <w:rFonts w:ascii="宋体" w:hAnsi="宋体" w:hint="eastAsia"/>
      </w:rPr>
      <w:t>交银施罗德瑞思混合型证券投资基金（LOF）招募说明书更新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77BBA"/>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6D69"/>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53D1"/>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04E0"/>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0796C2D3-5E40-4AF6-90E6-C6E98A8DC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16103</Words>
  <Characters>91791</Characters>
  <Application>Microsoft Office Word</Application>
  <DocSecurity>0</DocSecurity>
  <Lines>764</Lines>
  <Paragraphs>215</Paragraphs>
  <ScaleCrop>false</ScaleCrop>
  <Company>Microsoft</Company>
  <LinksUpToDate>false</LinksUpToDate>
  <CharactersWithSpaces>107679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2026-07-06T08:30:00Z</dcterms:created>
  <dcterms:modified xsi:type="dcterms:W3CDTF">2026-07-06T08:30:00Z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