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054DA8">
      <w:pPr>
        <w:rPr>
          <w:sz w:val="32"/>
        </w:rPr>
      </w:pPr>
    </w:p>
    <w:p w:rsidR="00C92FC0" w:rsidRPr="00EB07BC" w:rsidRDefault="00054DA8">
      <w:pPr>
        <w:rPr>
          <w:sz w:val="32"/>
        </w:rPr>
      </w:pPr>
    </w:p>
    <w:p w:rsidR="00C92FC0" w:rsidRPr="00EB07BC" w:rsidRDefault="00054DA8">
      <w:pPr>
        <w:rPr>
          <w:sz w:val="32"/>
        </w:rPr>
      </w:pPr>
    </w:p>
    <w:p w:rsidR="00210E5A" w:rsidRDefault="00210E5A">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210E5A" w:rsidRDefault="00210E5A">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210E5A" w:rsidRDefault="00210E5A">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210E5A" w:rsidRDefault="00452386">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交银施罗德增利债券证券投资基金</w:t>
      </w:r>
    </w:p>
    <w:p w:rsidR="00210E5A" w:rsidRDefault="00452386">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210E5A" w:rsidRDefault="00210E5A">
      <w:pPr>
        <w:snapToGrid w:val="0"/>
        <w:spacing w:line="360" w:lineRule="auto"/>
        <w:jc w:val="center"/>
        <w:rPr>
          <w:rFonts w:ascii="宋体" w:hAnsi="宋体"/>
          <w:b/>
          <w:sz w:val="30"/>
          <w:szCs w:val="30"/>
        </w:rPr>
      </w:pPr>
    </w:p>
    <w:p w:rsidR="00210E5A" w:rsidRDefault="00210E5A">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10E5A" w:rsidRDefault="00210E5A">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10E5A" w:rsidRDefault="00210E5A">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10E5A" w:rsidRDefault="00210E5A">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10E5A" w:rsidRDefault="00210E5A">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10E5A" w:rsidRDefault="00210E5A">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10E5A" w:rsidRDefault="00452386">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210E5A" w:rsidRDefault="00452386">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基金托管人：中国建设银行股份有限公司</w:t>
      </w:r>
    </w:p>
    <w:p w:rsidR="00210E5A" w:rsidRDefault="00210E5A">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10E5A" w:rsidRDefault="00210E5A">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10E5A" w:rsidRDefault="00452386">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二〇二六年六月</w:t>
      </w:r>
    </w:p>
    <w:p w:rsidR="00210E5A" w:rsidRDefault="00210E5A">
      <w:pPr>
        <w:autoSpaceDE w:val="0"/>
        <w:autoSpaceDN w:val="0"/>
        <w:adjustRightInd w:val="0"/>
        <w:snapToGrid w:val="0"/>
        <w:spacing w:line="360" w:lineRule="auto"/>
        <w:ind w:left="1347" w:rightChars="6" w:right="13"/>
        <w:rPr>
          <w:rFonts w:ascii="宋体" w:hAnsi="宋体"/>
          <w:kern w:val="0"/>
          <w:sz w:val="32"/>
          <w:szCs w:val="32"/>
        </w:rPr>
        <w:sectPr w:rsidR="00210E5A">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210E5A" w:rsidRDefault="00452386">
      <w:pPr>
        <w:pStyle w:val="1"/>
        <w:snapToGrid w:val="0"/>
        <w:spacing w:beforeLines="0" w:before="240" w:after="240"/>
        <w:rPr>
          <w:rFonts w:ascii="宋体" w:hAnsi="宋体"/>
          <w:kern w:val="0"/>
        </w:rPr>
      </w:pPr>
      <w:bookmarkStart w:id="0" w:name="_Toc324920538"/>
      <w:bookmarkStart w:id="1" w:name="_Toc496884613"/>
      <w:bookmarkStart w:id="2" w:name="_Toc234241353"/>
      <w:r>
        <w:rPr>
          <w:rFonts w:ascii="Times New Roman" w:hAnsi="Times New Roman"/>
          <w:kern w:val="0"/>
        </w:rPr>
        <w:lastRenderedPageBreak/>
        <w:t>重要提示</w:t>
      </w:r>
      <w:bookmarkEnd w:id="0"/>
      <w:bookmarkEnd w:id="1"/>
      <w:bookmarkEnd w:id="2"/>
    </w:p>
    <w:p w:rsidR="00210E5A" w:rsidRDefault="0045238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交银施罗德增利债券证券投资基金（以下简称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2008</w:t>
      </w:r>
      <w:r>
        <w:rPr>
          <w:rFonts w:ascii="Times New Roman" w:hAnsi="Times New Roman"/>
          <w:kern w:val="0"/>
          <w:sz w:val="24"/>
        </w:rPr>
        <w:t>年</w:t>
      </w:r>
      <w:r>
        <w:rPr>
          <w:rFonts w:ascii="Times New Roman" w:hAnsi="Times New Roman"/>
          <w:kern w:val="0"/>
          <w:sz w:val="24"/>
        </w:rPr>
        <w:t>2</w:t>
      </w:r>
      <w:r>
        <w:rPr>
          <w:rFonts w:ascii="Times New Roman" w:hAnsi="Times New Roman"/>
          <w:kern w:val="0"/>
          <w:sz w:val="24"/>
        </w:rPr>
        <w:t>月</w:t>
      </w:r>
      <w:r>
        <w:rPr>
          <w:rFonts w:ascii="Times New Roman" w:hAnsi="Times New Roman"/>
          <w:kern w:val="0"/>
          <w:sz w:val="24"/>
        </w:rPr>
        <w:t>5</w:t>
      </w:r>
      <w:r>
        <w:rPr>
          <w:rFonts w:ascii="Times New Roman" w:hAnsi="Times New Roman"/>
          <w:kern w:val="0"/>
          <w:sz w:val="24"/>
        </w:rPr>
        <w:t>日中国证券监督管理委员会证监许可【</w:t>
      </w:r>
      <w:r>
        <w:rPr>
          <w:rFonts w:ascii="Times New Roman" w:hAnsi="Times New Roman"/>
          <w:kern w:val="0"/>
          <w:sz w:val="24"/>
        </w:rPr>
        <w:t>2008</w:t>
      </w:r>
      <w:r>
        <w:rPr>
          <w:rFonts w:ascii="Times New Roman" w:hAnsi="Times New Roman"/>
          <w:kern w:val="0"/>
          <w:sz w:val="24"/>
        </w:rPr>
        <w:t>】</w:t>
      </w:r>
      <w:r>
        <w:rPr>
          <w:rFonts w:ascii="Times New Roman" w:hAnsi="Times New Roman"/>
          <w:kern w:val="0"/>
          <w:sz w:val="24"/>
        </w:rPr>
        <w:t>239</w:t>
      </w:r>
      <w:r>
        <w:rPr>
          <w:rFonts w:ascii="Times New Roman" w:hAnsi="Times New Roman"/>
          <w:kern w:val="0"/>
          <w:sz w:val="24"/>
        </w:rPr>
        <w:t>号文核准募集。本基金基金合同于</w:t>
      </w:r>
      <w:r>
        <w:rPr>
          <w:rFonts w:ascii="Times New Roman" w:hAnsi="Times New Roman"/>
          <w:kern w:val="0"/>
          <w:sz w:val="24"/>
        </w:rPr>
        <w:t>2008</w:t>
      </w:r>
      <w:r>
        <w:rPr>
          <w:rFonts w:ascii="Times New Roman" w:hAnsi="Times New Roman"/>
          <w:kern w:val="0"/>
          <w:sz w:val="24"/>
        </w:rPr>
        <w:t>年</w:t>
      </w:r>
      <w:r>
        <w:rPr>
          <w:rFonts w:ascii="Times New Roman" w:hAnsi="Times New Roman"/>
          <w:kern w:val="0"/>
          <w:sz w:val="24"/>
        </w:rPr>
        <w:t>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日正式生效。</w:t>
      </w:r>
    </w:p>
    <w:p w:rsidR="00210E5A" w:rsidRDefault="0045238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核准，但中国证监会对本基金募集的核准，并不表明其对本基金的价值和收益作出实质性判断或保证，也不表明投资于本基金没有风险。</w:t>
      </w:r>
    </w:p>
    <w:p w:rsidR="00210E5A" w:rsidRDefault="0045238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谨慎勤勉的原则管理和运用基金财产，但不保证投资本基金一定盈利，也不保证基金份额持有人的最低收益；因基金价格可升可跌，亦不保证基金份额持有人能全数取回其原本投资。</w:t>
      </w:r>
    </w:p>
    <w:p w:rsidR="00210E5A" w:rsidRDefault="0045238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认（申）购基金的意愿、时机、数量等投资行为作出独立决策。投资人根据所持有份额享受基金的收益，但同时也需承担相应的投资风险。投资本基金可能遇到的风险包括：因政治、经济、社会等因素对证券价格波动产生影响而引发的系统性风险，个别证券特有的非系统性风险，流动性风险（包括实施侧袋机制时的特定风险），基金管理人在基金管理实施过程中产生的基金管理风险，本基金投资债券引发的信用风险，以及本基金投资策略所特有的风险等等。本基金是一只债券型基金，属证券投资基金中的中等风险收益品种。</w:t>
      </w:r>
    </w:p>
    <w:p w:rsidR="00210E5A" w:rsidRDefault="0045238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投资有风险，投资人在认（申）购本基金前应认真阅读本基金的招募说明书、基金合同、基金产品资料概要。过往业绩并不代表将来表现。基金管理人管理的其他基金的业绩并不构成对本基金业绩表现的保证。</w:t>
      </w:r>
    </w:p>
    <w:p w:rsidR="00210E5A" w:rsidRDefault="0045238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本招募说明书所载内容截止日为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06</w:t>
      </w:r>
      <w:r>
        <w:rPr>
          <w:rFonts w:ascii="Times New Roman" w:hAnsi="Times New Roman"/>
          <w:kern w:val="0"/>
          <w:sz w:val="24"/>
        </w:rPr>
        <w:t>月</w:t>
      </w:r>
      <w:r>
        <w:rPr>
          <w:rFonts w:ascii="Times New Roman" w:hAnsi="Times New Roman"/>
          <w:kern w:val="0"/>
          <w:sz w:val="24"/>
        </w:rPr>
        <w:t>17</w:t>
      </w:r>
      <w:r>
        <w:rPr>
          <w:rFonts w:ascii="Times New Roman" w:hAnsi="Times New Roman"/>
          <w:kern w:val="0"/>
          <w:sz w:val="24"/>
        </w:rPr>
        <w:t>日，有关财务数据和净值表现截止日为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日。本招募说明书所载的财务数据未经审计。</w:t>
      </w:r>
    </w:p>
    <w:p w:rsidR="00210E5A" w:rsidRDefault="00210E5A">
      <w:pPr>
        <w:autoSpaceDE w:val="0"/>
        <w:autoSpaceDN w:val="0"/>
        <w:adjustRightInd w:val="0"/>
        <w:snapToGrid w:val="0"/>
        <w:spacing w:before="51" w:line="360" w:lineRule="auto"/>
        <w:ind w:left="120" w:rightChars="6" w:right="13" w:firstLine="480"/>
        <w:rPr>
          <w:rFonts w:ascii="宋体" w:hAnsi="宋体"/>
          <w:kern w:val="0"/>
          <w:szCs w:val="24"/>
        </w:rPr>
        <w:sectPr w:rsidR="00210E5A">
          <w:headerReference w:type="default" r:id="rId14"/>
          <w:pgSz w:w="11920" w:h="16840"/>
          <w:pgMar w:top="1440" w:right="1680" w:bottom="280" w:left="1680" w:header="0" w:footer="1073" w:gutter="0"/>
          <w:pgNumType w:start="1"/>
          <w:cols w:space="720"/>
        </w:sectPr>
      </w:pPr>
    </w:p>
    <w:p w:rsidR="00054DA8" w:rsidRPr="00054DA8" w:rsidRDefault="00452386" w:rsidP="00054DA8">
      <w:pPr>
        <w:pStyle w:val="ad"/>
        <w:snapToGrid w:val="0"/>
        <w:spacing w:after="240" w:line="360" w:lineRule="auto"/>
        <w:jc w:val="center"/>
        <w:rPr>
          <w:rFonts w:ascii="宋体" w:hAnsi="宋体"/>
          <w:noProof/>
          <w:sz w:val="24"/>
        </w:rPr>
      </w:pPr>
      <w:r w:rsidRPr="00054DA8">
        <w:rPr>
          <w:rFonts w:ascii="宋体" w:hAnsi="宋体"/>
          <w:color w:val="000000"/>
          <w:position w:val="-4"/>
          <w:sz w:val="24"/>
          <w:szCs w:val="30"/>
        </w:rPr>
        <w:lastRenderedPageBreak/>
        <w:t>目</w:t>
      </w:r>
      <w:r w:rsidRPr="00054DA8">
        <w:rPr>
          <w:rFonts w:ascii="宋体" w:hAnsi="宋体"/>
          <w:color w:val="000000"/>
          <w:position w:val="-4"/>
          <w:sz w:val="24"/>
          <w:szCs w:val="30"/>
        </w:rPr>
        <w:tab/>
        <w:t>录</w:t>
      </w:r>
      <w:r w:rsidR="00054DA8" w:rsidRPr="00054DA8">
        <w:rPr>
          <w:rFonts w:ascii="宋体" w:hAnsi="宋体"/>
          <w:color w:val="000000"/>
          <w:position w:val="-4"/>
          <w:sz w:val="24"/>
          <w:szCs w:val="30"/>
        </w:rPr>
        <w:fldChar w:fldCharType="begin"/>
      </w:r>
      <w:r w:rsidR="00054DA8" w:rsidRPr="00054DA8">
        <w:rPr>
          <w:rFonts w:ascii="宋体" w:hAnsi="宋体"/>
          <w:color w:val="000000"/>
          <w:position w:val="-4"/>
          <w:sz w:val="24"/>
          <w:szCs w:val="30"/>
        </w:rPr>
        <w:instrText xml:space="preserve"> TOC \o "1-3" \f - \h \t "-1" </w:instrText>
      </w:r>
      <w:r w:rsidR="00054DA8" w:rsidRPr="00054DA8">
        <w:rPr>
          <w:rFonts w:ascii="宋体" w:hAnsi="宋体"/>
          <w:color w:val="000000"/>
          <w:position w:val="-4"/>
          <w:sz w:val="24"/>
          <w:szCs w:val="30"/>
        </w:rPr>
        <w:fldChar w:fldCharType="separate"/>
      </w:r>
    </w:p>
    <w:p w:rsidR="00054DA8" w:rsidRPr="00054DA8" w:rsidRDefault="00054DA8" w:rsidP="00054DA8">
      <w:pPr>
        <w:pStyle w:val="10"/>
        <w:tabs>
          <w:tab w:val="right" w:leader="dot" w:pos="8550"/>
        </w:tabs>
        <w:spacing w:line="360" w:lineRule="auto"/>
        <w:rPr>
          <w:rFonts w:ascii="宋体" w:hAnsi="宋体" w:cstheme="minorBidi"/>
          <w:noProof/>
          <w:sz w:val="24"/>
        </w:rPr>
      </w:pPr>
      <w:hyperlink w:anchor="_Toc234241353" w:history="1">
        <w:r w:rsidRPr="00054DA8">
          <w:rPr>
            <w:rStyle w:val="aa"/>
            <w:rFonts w:ascii="宋体" w:hAnsi="宋体" w:hint="eastAsia"/>
            <w:noProof/>
            <w:kern w:val="0"/>
            <w:sz w:val="24"/>
          </w:rPr>
          <w:t>重要提示</w:t>
        </w:r>
        <w:r w:rsidRPr="00054DA8">
          <w:rPr>
            <w:rFonts w:ascii="宋体" w:hAnsi="宋体"/>
            <w:noProof/>
            <w:sz w:val="24"/>
          </w:rPr>
          <w:tab/>
        </w:r>
        <w:r w:rsidRPr="00054DA8">
          <w:rPr>
            <w:rFonts w:ascii="宋体" w:hAnsi="宋体"/>
            <w:noProof/>
            <w:sz w:val="24"/>
          </w:rPr>
          <w:fldChar w:fldCharType="begin"/>
        </w:r>
        <w:r w:rsidRPr="00054DA8">
          <w:rPr>
            <w:rFonts w:ascii="宋体" w:hAnsi="宋体"/>
            <w:noProof/>
            <w:sz w:val="24"/>
          </w:rPr>
          <w:instrText xml:space="preserve"> PAGEREF _Toc234241353 \h </w:instrText>
        </w:r>
        <w:r w:rsidRPr="00054DA8">
          <w:rPr>
            <w:rFonts w:ascii="宋体" w:hAnsi="宋体"/>
            <w:noProof/>
            <w:sz w:val="24"/>
          </w:rPr>
        </w:r>
        <w:r w:rsidRPr="00054DA8">
          <w:rPr>
            <w:rFonts w:ascii="宋体" w:hAnsi="宋体"/>
            <w:noProof/>
            <w:sz w:val="24"/>
          </w:rPr>
          <w:fldChar w:fldCharType="separate"/>
        </w:r>
        <w:r w:rsidRPr="00054DA8">
          <w:rPr>
            <w:rFonts w:ascii="宋体" w:hAnsi="宋体"/>
            <w:noProof/>
            <w:sz w:val="24"/>
          </w:rPr>
          <w:t>1</w:t>
        </w:r>
        <w:r w:rsidRPr="00054DA8">
          <w:rPr>
            <w:rFonts w:ascii="宋体" w:hAnsi="宋体"/>
            <w:noProof/>
            <w:sz w:val="24"/>
          </w:rPr>
          <w:fldChar w:fldCharType="end"/>
        </w:r>
      </w:hyperlink>
    </w:p>
    <w:p w:rsidR="00054DA8" w:rsidRPr="00054DA8" w:rsidRDefault="00054DA8" w:rsidP="00054DA8">
      <w:pPr>
        <w:pStyle w:val="10"/>
        <w:tabs>
          <w:tab w:val="right" w:leader="dot" w:pos="8550"/>
        </w:tabs>
        <w:spacing w:line="360" w:lineRule="auto"/>
        <w:rPr>
          <w:rFonts w:ascii="宋体" w:hAnsi="宋体" w:cstheme="minorBidi"/>
          <w:noProof/>
          <w:sz w:val="24"/>
        </w:rPr>
      </w:pPr>
      <w:hyperlink w:anchor="_Toc234241354" w:history="1">
        <w:r w:rsidRPr="00054DA8">
          <w:rPr>
            <w:rStyle w:val="aa"/>
            <w:rFonts w:ascii="宋体" w:hAnsi="宋体" w:hint="eastAsia"/>
            <w:noProof/>
            <w:sz w:val="24"/>
          </w:rPr>
          <w:t>一、绪言</w:t>
        </w:r>
        <w:r w:rsidRPr="00054DA8">
          <w:rPr>
            <w:rFonts w:ascii="宋体" w:hAnsi="宋体"/>
            <w:noProof/>
            <w:sz w:val="24"/>
          </w:rPr>
          <w:tab/>
        </w:r>
        <w:r w:rsidRPr="00054DA8">
          <w:rPr>
            <w:rFonts w:ascii="宋体" w:hAnsi="宋体"/>
            <w:noProof/>
            <w:sz w:val="24"/>
          </w:rPr>
          <w:fldChar w:fldCharType="begin"/>
        </w:r>
        <w:r w:rsidRPr="00054DA8">
          <w:rPr>
            <w:rFonts w:ascii="宋体" w:hAnsi="宋体"/>
            <w:noProof/>
            <w:sz w:val="24"/>
          </w:rPr>
          <w:instrText xml:space="preserve"> PAGEREF _Toc234241354 \h </w:instrText>
        </w:r>
        <w:r w:rsidRPr="00054DA8">
          <w:rPr>
            <w:rFonts w:ascii="宋体" w:hAnsi="宋体"/>
            <w:noProof/>
            <w:sz w:val="24"/>
          </w:rPr>
        </w:r>
        <w:r w:rsidRPr="00054DA8">
          <w:rPr>
            <w:rFonts w:ascii="宋体" w:hAnsi="宋体"/>
            <w:noProof/>
            <w:sz w:val="24"/>
          </w:rPr>
          <w:fldChar w:fldCharType="separate"/>
        </w:r>
        <w:r w:rsidRPr="00054DA8">
          <w:rPr>
            <w:rFonts w:ascii="宋体" w:hAnsi="宋体"/>
            <w:noProof/>
            <w:sz w:val="24"/>
          </w:rPr>
          <w:t>3</w:t>
        </w:r>
        <w:r w:rsidRPr="00054DA8">
          <w:rPr>
            <w:rFonts w:ascii="宋体" w:hAnsi="宋体"/>
            <w:noProof/>
            <w:sz w:val="24"/>
          </w:rPr>
          <w:fldChar w:fldCharType="end"/>
        </w:r>
      </w:hyperlink>
    </w:p>
    <w:p w:rsidR="00054DA8" w:rsidRPr="00054DA8" w:rsidRDefault="00054DA8" w:rsidP="00054DA8">
      <w:pPr>
        <w:pStyle w:val="10"/>
        <w:tabs>
          <w:tab w:val="right" w:leader="dot" w:pos="8550"/>
        </w:tabs>
        <w:spacing w:line="360" w:lineRule="auto"/>
        <w:rPr>
          <w:rFonts w:ascii="宋体" w:hAnsi="宋体" w:cstheme="minorBidi"/>
          <w:noProof/>
          <w:sz w:val="24"/>
        </w:rPr>
      </w:pPr>
      <w:hyperlink w:anchor="_Toc234241355" w:history="1">
        <w:r w:rsidRPr="00054DA8">
          <w:rPr>
            <w:rStyle w:val="aa"/>
            <w:rFonts w:ascii="宋体" w:hAnsi="宋体" w:hint="eastAsia"/>
            <w:noProof/>
            <w:sz w:val="24"/>
          </w:rPr>
          <w:t>二、释义</w:t>
        </w:r>
        <w:r w:rsidRPr="00054DA8">
          <w:rPr>
            <w:rFonts w:ascii="宋体" w:hAnsi="宋体"/>
            <w:noProof/>
            <w:sz w:val="24"/>
          </w:rPr>
          <w:tab/>
        </w:r>
        <w:r w:rsidRPr="00054DA8">
          <w:rPr>
            <w:rFonts w:ascii="宋体" w:hAnsi="宋体"/>
            <w:noProof/>
            <w:sz w:val="24"/>
          </w:rPr>
          <w:fldChar w:fldCharType="begin"/>
        </w:r>
        <w:r w:rsidRPr="00054DA8">
          <w:rPr>
            <w:rFonts w:ascii="宋体" w:hAnsi="宋体"/>
            <w:noProof/>
            <w:sz w:val="24"/>
          </w:rPr>
          <w:instrText xml:space="preserve"> PAGEREF _Toc234241355 \h </w:instrText>
        </w:r>
        <w:r w:rsidRPr="00054DA8">
          <w:rPr>
            <w:rFonts w:ascii="宋体" w:hAnsi="宋体"/>
            <w:noProof/>
            <w:sz w:val="24"/>
          </w:rPr>
        </w:r>
        <w:r w:rsidRPr="00054DA8">
          <w:rPr>
            <w:rFonts w:ascii="宋体" w:hAnsi="宋体"/>
            <w:noProof/>
            <w:sz w:val="24"/>
          </w:rPr>
          <w:fldChar w:fldCharType="separate"/>
        </w:r>
        <w:r w:rsidRPr="00054DA8">
          <w:rPr>
            <w:rFonts w:ascii="宋体" w:hAnsi="宋体"/>
            <w:noProof/>
            <w:sz w:val="24"/>
          </w:rPr>
          <w:t>4</w:t>
        </w:r>
        <w:r w:rsidRPr="00054DA8">
          <w:rPr>
            <w:rFonts w:ascii="宋体" w:hAnsi="宋体"/>
            <w:noProof/>
            <w:sz w:val="24"/>
          </w:rPr>
          <w:fldChar w:fldCharType="end"/>
        </w:r>
      </w:hyperlink>
    </w:p>
    <w:p w:rsidR="00054DA8" w:rsidRPr="00054DA8" w:rsidRDefault="00054DA8" w:rsidP="00054DA8">
      <w:pPr>
        <w:pStyle w:val="10"/>
        <w:tabs>
          <w:tab w:val="right" w:leader="dot" w:pos="8550"/>
        </w:tabs>
        <w:spacing w:line="360" w:lineRule="auto"/>
        <w:rPr>
          <w:rFonts w:ascii="宋体" w:hAnsi="宋体" w:cstheme="minorBidi"/>
          <w:noProof/>
          <w:sz w:val="24"/>
        </w:rPr>
      </w:pPr>
      <w:hyperlink w:anchor="_Toc234241356" w:history="1">
        <w:r w:rsidRPr="00054DA8">
          <w:rPr>
            <w:rStyle w:val="aa"/>
            <w:rFonts w:ascii="宋体" w:hAnsi="宋体" w:hint="eastAsia"/>
            <w:noProof/>
            <w:sz w:val="24"/>
          </w:rPr>
          <w:t>三、基金管理人</w:t>
        </w:r>
        <w:r w:rsidRPr="00054DA8">
          <w:rPr>
            <w:rFonts w:ascii="宋体" w:hAnsi="宋体"/>
            <w:noProof/>
            <w:sz w:val="24"/>
          </w:rPr>
          <w:tab/>
        </w:r>
        <w:r w:rsidRPr="00054DA8">
          <w:rPr>
            <w:rFonts w:ascii="宋体" w:hAnsi="宋体"/>
            <w:noProof/>
            <w:sz w:val="24"/>
          </w:rPr>
          <w:fldChar w:fldCharType="begin"/>
        </w:r>
        <w:r w:rsidRPr="00054DA8">
          <w:rPr>
            <w:rFonts w:ascii="宋体" w:hAnsi="宋体"/>
            <w:noProof/>
            <w:sz w:val="24"/>
          </w:rPr>
          <w:instrText xml:space="preserve"> PAGEREF _Toc234241356 \h </w:instrText>
        </w:r>
        <w:r w:rsidRPr="00054DA8">
          <w:rPr>
            <w:rFonts w:ascii="宋体" w:hAnsi="宋体"/>
            <w:noProof/>
            <w:sz w:val="24"/>
          </w:rPr>
        </w:r>
        <w:r w:rsidRPr="00054DA8">
          <w:rPr>
            <w:rFonts w:ascii="宋体" w:hAnsi="宋体"/>
            <w:noProof/>
            <w:sz w:val="24"/>
          </w:rPr>
          <w:fldChar w:fldCharType="separate"/>
        </w:r>
        <w:r w:rsidRPr="00054DA8">
          <w:rPr>
            <w:rFonts w:ascii="宋体" w:hAnsi="宋体"/>
            <w:noProof/>
            <w:sz w:val="24"/>
          </w:rPr>
          <w:t>10</w:t>
        </w:r>
        <w:r w:rsidRPr="00054DA8">
          <w:rPr>
            <w:rFonts w:ascii="宋体" w:hAnsi="宋体"/>
            <w:noProof/>
            <w:sz w:val="24"/>
          </w:rPr>
          <w:fldChar w:fldCharType="end"/>
        </w:r>
      </w:hyperlink>
    </w:p>
    <w:p w:rsidR="00054DA8" w:rsidRPr="00054DA8" w:rsidRDefault="00054DA8" w:rsidP="00054DA8">
      <w:pPr>
        <w:pStyle w:val="10"/>
        <w:tabs>
          <w:tab w:val="right" w:leader="dot" w:pos="8550"/>
        </w:tabs>
        <w:spacing w:line="360" w:lineRule="auto"/>
        <w:rPr>
          <w:rFonts w:ascii="宋体" w:hAnsi="宋体" w:cstheme="minorBidi"/>
          <w:noProof/>
          <w:sz w:val="24"/>
        </w:rPr>
      </w:pPr>
      <w:hyperlink w:anchor="_Toc234241357" w:history="1">
        <w:r w:rsidRPr="00054DA8">
          <w:rPr>
            <w:rStyle w:val="aa"/>
            <w:rFonts w:ascii="宋体" w:hAnsi="宋体" w:hint="eastAsia"/>
            <w:noProof/>
            <w:sz w:val="24"/>
          </w:rPr>
          <w:t>四、基金托管人</w:t>
        </w:r>
        <w:r w:rsidRPr="00054DA8">
          <w:rPr>
            <w:rFonts w:ascii="宋体" w:hAnsi="宋体"/>
            <w:noProof/>
            <w:sz w:val="24"/>
          </w:rPr>
          <w:tab/>
        </w:r>
        <w:r w:rsidRPr="00054DA8">
          <w:rPr>
            <w:rFonts w:ascii="宋体" w:hAnsi="宋体"/>
            <w:noProof/>
            <w:sz w:val="24"/>
          </w:rPr>
          <w:fldChar w:fldCharType="begin"/>
        </w:r>
        <w:r w:rsidRPr="00054DA8">
          <w:rPr>
            <w:rFonts w:ascii="宋体" w:hAnsi="宋体"/>
            <w:noProof/>
            <w:sz w:val="24"/>
          </w:rPr>
          <w:instrText xml:space="preserve"> PAGEREF _Toc234241357 \h </w:instrText>
        </w:r>
        <w:r w:rsidRPr="00054DA8">
          <w:rPr>
            <w:rFonts w:ascii="宋体" w:hAnsi="宋体"/>
            <w:noProof/>
            <w:sz w:val="24"/>
          </w:rPr>
        </w:r>
        <w:r w:rsidRPr="00054DA8">
          <w:rPr>
            <w:rFonts w:ascii="宋体" w:hAnsi="宋体"/>
            <w:noProof/>
            <w:sz w:val="24"/>
          </w:rPr>
          <w:fldChar w:fldCharType="separate"/>
        </w:r>
        <w:r w:rsidRPr="00054DA8">
          <w:rPr>
            <w:rFonts w:ascii="宋体" w:hAnsi="宋体"/>
            <w:noProof/>
            <w:sz w:val="24"/>
          </w:rPr>
          <w:t>18</w:t>
        </w:r>
        <w:r w:rsidRPr="00054DA8">
          <w:rPr>
            <w:rFonts w:ascii="宋体" w:hAnsi="宋体"/>
            <w:noProof/>
            <w:sz w:val="24"/>
          </w:rPr>
          <w:fldChar w:fldCharType="end"/>
        </w:r>
      </w:hyperlink>
    </w:p>
    <w:p w:rsidR="00054DA8" w:rsidRPr="00054DA8" w:rsidRDefault="00054DA8" w:rsidP="00054DA8">
      <w:pPr>
        <w:pStyle w:val="10"/>
        <w:tabs>
          <w:tab w:val="right" w:leader="dot" w:pos="8550"/>
        </w:tabs>
        <w:spacing w:line="360" w:lineRule="auto"/>
        <w:rPr>
          <w:rFonts w:ascii="宋体" w:hAnsi="宋体" w:cstheme="minorBidi"/>
          <w:noProof/>
          <w:sz w:val="24"/>
        </w:rPr>
      </w:pPr>
      <w:hyperlink w:anchor="_Toc234241358" w:history="1">
        <w:r w:rsidRPr="00054DA8">
          <w:rPr>
            <w:rStyle w:val="aa"/>
            <w:rFonts w:ascii="宋体" w:hAnsi="宋体" w:hint="eastAsia"/>
            <w:noProof/>
            <w:sz w:val="24"/>
          </w:rPr>
          <w:t>五、相关服务机构</w:t>
        </w:r>
        <w:r w:rsidRPr="00054DA8">
          <w:rPr>
            <w:rFonts w:ascii="宋体" w:hAnsi="宋体"/>
            <w:noProof/>
            <w:sz w:val="24"/>
          </w:rPr>
          <w:tab/>
        </w:r>
        <w:r w:rsidRPr="00054DA8">
          <w:rPr>
            <w:rFonts w:ascii="宋体" w:hAnsi="宋体"/>
            <w:noProof/>
            <w:sz w:val="24"/>
          </w:rPr>
          <w:fldChar w:fldCharType="begin"/>
        </w:r>
        <w:r w:rsidRPr="00054DA8">
          <w:rPr>
            <w:rFonts w:ascii="宋体" w:hAnsi="宋体"/>
            <w:noProof/>
            <w:sz w:val="24"/>
          </w:rPr>
          <w:instrText xml:space="preserve"> PAGEREF _Toc234241358 \h </w:instrText>
        </w:r>
        <w:r w:rsidRPr="00054DA8">
          <w:rPr>
            <w:rFonts w:ascii="宋体" w:hAnsi="宋体"/>
            <w:noProof/>
            <w:sz w:val="24"/>
          </w:rPr>
        </w:r>
        <w:r w:rsidRPr="00054DA8">
          <w:rPr>
            <w:rFonts w:ascii="宋体" w:hAnsi="宋体"/>
            <w:noProof/>
            <w:sz w:val="24"/>
          </w:rPr>
          <w:fldChar w:fldCharType="separate"/>
        </w:r>
        <w:r w:rsidRPr="00054DA8">
          <w:rPr>
            <w:rFonts w:ascii="宋体" w:hAnsi="宋体"/>
            <w:noProof/>
            <w:sz w:val="24"/>
          </w:rPr>
          <w:t>21</w:t>
        </w:r>
        <w:r w:rsidRPr="00054DA8">
          <w:rPr>
            <w:rFonts w:ascii="宋体" w:hAnsi="宋体"/>
            <w:noProof/>
            <w:sz w:val="24"/>
          </w:rPr>
          <w:fldChar w:fldCharType="end"/>
        </w:r>
      </w:hyperlink>
    </w:p>
    <w:p w:rsidR="00054DA8" w:rsidRPr="00054DA8" w:rsidRDefault="00054DA8" w:rsidP="00054DA8">
      <w:pPr>
        <w:pStyle w:val="10"/>
        <w:tabs>
          <w:tab w:val="right" w:leader="dot" w:pos="8550"/>
        </w:tabs>
        <w:spacing w:line="360" w:lineRule="auto"/>
        <w:rPr>
          <w:rFonts w:ascii="宋体" w:hAnsi="宋体" w:cstheme="minorBidi"/>
          <w:noProof/>
          <w:sz w:val="24"/>
        </w:rPr>
      </w:pPr>
      <w:hyperlink w:anchor="_Toc234241359" w:history="1">
        <w:r w:rsidRPr="00054DA8">
          <w:rPr>
            <w:rStyle w:val="aa"/>
            <w:rFonts w:ascii="宋体" w:hAnsi="宋体" w:hint="eastAsia"/>
            <w:noProof/>
            <w:sz w:val="24"/>
          </w:rPr>
          <w:t>六、基金的募集</w:t>
        </w:r>
        <w:r w:rsidRPr="00054DA8">
          <w:rPr>
            <w:rFonts w:ascii="宋体" w:hAnsi="宋体"/>
            <w:noProof/>
            <w:sz w:val="24"/>
          </w:rPr>
          <w:tab/>
        </w:r>
        <w:r w:rsidRPr="00054DA8">
          <w:rPr>
            <w:rFonts w:ascii="宋体" w:hAnsi="宋体"/>
            <w:noProof/>
            <w:sz w:val="24"/>
          </w:rPr>
          <w:fldChar w:fldCharType="begin"/>
        </w:r>
        <w:r w:rsidRPr="00054DA8">
          <w:rPr>
            <w:rFonts w:ascii="宋体" w:hAnsi="宋体"/>
            <w:noProof/>
            <w:sz w:val="24"/>
          </w:rPr>
          <w:instrText xml:space="preserve"> PAGEREF _Toc234241359 \h </w:instrText>
        </w:r>
        <w:r w:rsidRPr="00054DA8">
          <w:rPr>
            <w:rFonts w:ascii="宋体" w:hAnsi="宋体"/>
            <w:noProof/>
            <w:sz w:val="24"/>
          </w:rPr>
        </w:r>
        <w:r w:rsidRPr="00054DA8">
          <w:rPr>
            <w:rFonts w:ascii="宋体" w:hAnsi="宋体"/>
            <w:noProof/>
            <w:sz w:val="24"/>
          </w:rPr>
          <w:fldChar w:fldCharType="separate"/>
        </w:r>
        <w:r w:rsidRPr="00054DA8">
          <w:rPr>
            <w:rFonts w:ascii="宋体" w:hAnsi="宋体"/>
            <w:noProof/>
            <w:sz w:val="24"/>
          </w:rPr>
          <w:t>60</w:t>
        </w:r>
        <w:r w:rsidRPr="00054DA8">
          <w:rPr>
            <w:rFonts w:ascii="宋体" w:hAnsi="宋体"/>
            <w:noProof/>
            <w:sz w:val="24"/>
          </w:rPr>
          <w:fldChar w:fldCharType="end"/>
        </w:r>
      </w:hyperlink>
    </w:p>
    <w:p w:rsidR="00054DA8" w:rsidRPr="00054DA8" w:rsidRDefault="00054DA8" w:rsidP="00054DA8">
      <w:pPr>
        <w:pStyle w:val="10"/>
        <w:tabs>
          <w:tab w:val="right" w:leader="dot" w:pos="8550"/>
        </w:tabs>
        <w:spacing w:line="360" w:lineRule="auto"/>
        <w:rPr>
          <w:rFonts w:ascii="宋体" w:hAnsi="宋体" w:cstheme="minorBidi"/>
          <w:noProof/>
          <w:sz w:val="24"/>
        </w:rPr>
      </w:pPr>
      <w:hyperlink w:anchor="_Toc234241360" w:history="1">
        <w:r w:rsidRPr="00054DA8">
          <w:rPr>
            <w:rStyle w:val="aa"/>
            <w:rFonts w:ascii="宋体" w:hAnsi="宋体" w:hint="eastAsia"/>
            <w:noProof/>
            <w:sz w:val="24"/>
          </w:rPr>
          <w:t>七、基金合同的生效</w:t>
        </w:r>
        <w:r w:rsidRPr="00054DA8">
          <w:rPr>
            <w:rFonts w:ascii="宋体" w:hAnsi="宋体"/>
            <w:noProof/>
            <w:sz w:val="24"/>
          </w:rPr>
          <w:tab/>
        </w:r>
        <w:r w:rsidRPr="00054DA8">
          <w:rPr>
            <w:rFonts w:ascii="宋体" w:hAnsi="宋体"/>
            <w:noProof/>
            <w:sz w:val="24"/>
          </w:rPr>
          <w:fldChar w:fldCharType="begin"/>
        </w:r>
        <w:r w:rsidRPr="00054DA8">
          <w:rPr>
            <w:rFonts w:ascii="宋体" w:hAnsi="宋体"/>
            <w:noProof/>
            <w:sz w:val="24"/>
          </w:rPr>
          <w:instrText xml:space="preserve"> PAGEREF _Toc234241360 \h </w:instrText>
        </w:r>
        <w:r w:rsidRPr="00054DA8">
          <w:rPr>
            <w:rFonts w:ascii="宋体" w:hAnsi="宋体"/>
            <w:noProof/>
            <w:sz w:val="24"/>
          </w:rPr>
        </w:r>
        <w:r w:rsidRPr="00054DA8">
          <w:rPr>
            <w:rFonts w:ascii="宋体" w:hAnsi="宋体"/>
            <w:noProof/>
            <w:sz w:val="24"/>
          </w:rPr>
          <w:fldChar w:fldCharType="separate"/>
        </w:r>
        <w:r w:rsidRPr="00054DA8">
          <w:rPr>
            <w:rFonts w:ascii="宋体" w:hAnsi="宋体"/>
            <w:noProof/>
            <w:sz w:val="24"/>
          </w:rPr>
          <w:t>61</w:t>
        </w:r>
        <w:r w:rsidRPr="00054DA8">
          <w:rPr>
            <w:rFonts w:ascii="宋体" w:hAnsi="宋体"/>
            <w:noProof/>
            <w:sz w:val="24"/>
          </w:rPr>
          <w:fldChar w:fldCharType="end"/>
        </w:r>
      </w:hyperlink>
    </w:p>
    <w:p w:rsidR="00054DA8" w:rsidRPr="00054DA8" w:rsidRDefault="00054DA8" w:rsidP="00054DA8">
      <w:pPr>
        <w:pStyle w:val="10"/>
        <w:tabs>
          <w:tab w:val="right" w:leader="dot" w:pos="8550"/>
        </w:tabs>
        <w:spacing w:line="360" w:lineRule="auto"/>
        <w:rPr>
          <w:rFonts w:ascii="宋体" w:hAnsi="宋体" w:cstheme="minorBidi"/>
          <w:noProof/>
          <w:sz w:val="24"/>
        </w:rPr>
      </w:pPr>
      <w:hyperlink w:anchor="_Toc234241361" w:history="1">
        <w:r w:rsidRPr="00054DA8">
          <w:rPr>
            <w:rStyle w:val="aa"/>
            <w:rFonts w:ascii="宋体" w:hAnsi="宋体" w:hint="eastAsia"/>
            <w:noProof/>
            <w:sz w:val="24"/>
          </w:rPr>
          <w:t>八、基金份额的申购与赎回</w:t>
        </w:r>
        <w:r w:rsidRPr="00054DA8">
          <w:rPr>
            <w:rFonts w:ascii="宋体" w:hAnsi="宋体"/>
            <w:noProof/>
            <w:sz w:val="24"/>
          </w:rPr>
          <w:tab/>
        </w:r>
        <w:r w:rsidRPr="00054DA8">
          <w:rPr>
            <w:rFonts w:ascii="宋体" w:hAnsi="宋体"/>
            <w:noProof/>
            <w:sz w:val="24"/>
          </w:rPr>
          <w:fldChar w:fldCharType="begin"/>
        </w:r>
        <w:r w:rsidRPr="00054DA8">
          <w:rPr>
            <w:rFonts w:ascii="宋体" w:hAnsi="宋体"/>
            <w:noProof/>
            <w:sz w:val="24"/>
          </w:rPr>
          <w:instrText xml:space="preserve"> PAGEREF _Toc234241361 \h </w:instrText>
        </w:r>
        <w:r w:rsidRPr="00054DA8">
          <w:rPr>
            <w:rFonts w:ascii="宋体" w:hAnsi="宋体"/>
            <w:noProof/>
            <w:sz w:val="24"/>
          </w:rPr>
        </w:r>
        <w:r w:rsidRPr="00054DA8">
          <w:rPr>
            <w:rFonts w:ascii="宋体" w:hAnsi="宋体"/>
            <w:noProof/>
            <w:sz w:val="24"/>
          </w:rPr>
          <w:fldChar w:fldCharType="separate"/>
        </w:r>
        <w:r w:rsidRPr="00054DA8">
          <w:rPr>
            <w:rFonts w:ascii="宋体" w:hAnsi="宋体"/>
            <w:noProof/>
            <w:sz w:val="24"/>
          </w:rPr>
          <w:t>62</w:t>
        </w:r>
        <w:r w:rsidRPr="00054DA8">
          <w:rPr>
            <w:rFonts w:ascii="宋体" w:hAnsi="宋体"/>
            <w:noProof/>
            <w:sz w:val="24"/>
          </w:rPr>
          <w:fldChar w:fldCharType="end"/>
        </w:r>
      </w:hyperlink>
    </w:p>
    <w:p w:rsidR="00054DA8" w:rsidRPr="00054DA8" w:rsidRDefault="00054DA8" w:rsidP="00054DA8">
      <w:pPr>
        <w:pStyle w:val="10"/>
        <w:tabs>
          <w:tab w:val="right" w:leader="dot" w:pos="8550"/>
        </w:tabs>
        <w:spacing w:line="360" w:lineRule="auto"/>
        <w:rPr>
          <w:rFonts w:ascii="宋体" w:hAnsi="宋体" w:cstheme="minorBidi"/>
          <w:noProof/>
          <w:sz w:val="24"/>
        </w:rPr>
      </w:pPr>
      <w:hyperlink w:anchor="_Toc234241362" w:history="1">
        <w:r w:rsidRPr="00054DA8">
          <w:rPr>
            <w:rStyle w:val="aa"/>
            <w:rFonts w:ascii="宋体" w:hAnsi="宋体" w:hint="eastAsia"/>
            <w:noProof/>
            <w:sz w:val="24"/>
          </w:rPr>
          <w:t>九、基金的转换</w:t>
        </w:r>
        <w:r w:rsidRPr="00054DA8">
          <w:rPr>
            <w:rFonts w:ascii="宋体" w:hAnsi="宋体"/>
            <w:noProof/>
            <w:sz w:val="24"/>
          </w:rPr>
          <w:tab/>
        </w:r>
        <w:r w:rsidRPr="00054DA8">
          <w:rPr>
            <w:rFonts w:ascii="宋体" w:hAnsi="宋体"/>
            <w:noProof/>
            <w:sz w:val="24"/>
          </w:rPr>
          <w:fldChar w:fldCharType="begin"/>
        </w:r>
        <w:r w:rsidRPr="00054DA8">
          <w:rPr>
            <w:rFonts w:ascii="宋体" w:hAnsi="宋体"/>
            <w:noProof/>
            <w:sz w:val="24"/>
          </w:rPr>
          <w:instrText xml:space="preserve"> PAGEREF _Toc234241362 \h </w:instrText>
        </w:r>
        <w:r w:rsidRPr="00054DA8">
          <w:rPr>
            <w:rFonts w:ascii="宋体" w:hAnsi="宋体"/>
            <w:noProof/>
            <w:sz w:val="24"/>
          </w:rPr>
        </w:r>
        <w:r w:rsidRPr="00054DA8">
          <w:rPr>
            <w:rFonts w:ascii="宋体" w:hAnsi="宋体"/>
            <w:noProof/>
            <w:sz w:val="24"/>
          </w:rPr>
          <w:fldChar w:fldCharType="separate"/>
        </w:r>
        <w:r w:rsidRPr="00054DA8">
          <w:rPr>
            <w:rFonts w:ascii="宋体" w:hAnsi="宋体"/>
            <w:noProof/>
            <w:sz w:val="24"/>
          </w:rPr>
          <w:t>77</w:t>
        </w:r>
        <w:r w:rsidRPr="00054DA8">
          <w:rPr>
            <w:rFonts w:ascii="宋体" w:hAnsi="宋体"/>
            <w:noProof/>
            <w:sz w:val="24"/>
          </w:rPr>
          <w:fldChar w:fldCharType="end"/>
        </w:r>
      </w:hyperlink>
    </w:p>
    <w:p w:rsidR="00054DA8" w:rsidRPr="00054DA8" w:rsidRDefault="00054DA8" w:rsidP="00054DA8">
      <w:pPr>
        <w:pStyle w:val="10"/>
        <w:tabs>
          <w:tab w:val="right" w:leader="dot" w:pos="8550"/>
        </w:tabs>
        <w:spacing w:line="360" w:lineRule="auto"/>
        <w:rPr>
          <w:rFonts w:ascii="宋体" w:hAnsi="宋体" w:cstheme="minorBidi"/>
          <w:noProof/>
          <w:sz w:val="24"/>
        </w:rPr>
      </w:pPr>
      <w:hyperlink w:anchor="_Toc234241363" w:history="1">
        <w:r w:rsidRPr="00054DA8">
          <w:rPr>
            <w:rStyle w:val="aa"/>
            <w:rFonts w:ascii="宋体" w:hAnsi="宋体" w:hint="eastAsia"/>
            <w:noProof/>
            <w:sz w:val="24"/>
          </w:rPr>
          <w:t>十、基金的投资</w:t>
        </w:r>
        <w:r w:rsidRPr="00054DA8">
          <w:rPr>
            <w:rFonts w:ascii="宋体" w:hAnsi="宋体"/>
            <w:noProof/>
            <w:sz w:val="24"/>
          </w:rPr>
          <w:tab/>
        </w:r>
        <w:r w:rsidRPr="00054DA8">
          <w:rPr>
            <w:rFonts w:ascii="宋体" w:hAnsi="宋体"/>
            <w:noProof/>
            <w:sz w:val="24"/>
          </w:rPr>
          <w:fldChar w:fldCharType="begin"/>
        </w:r>
        <w:r w:rsidRPr="00054DA8">
          <w:rPr>
            <w:rFonts w:ascii="宋体" w:hAnsi="宋体"/>
            <w:noProof/>
            <w:sz w:val="24"/>
          </w:rPr>
          <w:instrText xml:space="preserve"> PAGEREF _Toc234241363 \h </w:instrText>
        </w:r>
        <w:r w:rsidRPr="00054DA8">
          <w:rPr>
            <w:rFonts w:ascii="宋体" w:hAnsi="宋体"/>
            <w:noProof/>
            <w:sz w:val="24"/>
          </w:rPr>
        </w:r>
        <w:r w:rsidRPr="00054DA8">
          <w:rPr>
            <w:rFonts w:ascii="宋体" w:hAnsi="宋体"/>
            <w:noProof/>
            <w:sz w:val="24"/>
          </w:rPr>
          <w:fldChar w:fldCharType="separate"/>
        </w:r>
        <w:r w:rsidRPr="00054DA8">
          <w:rPr>
            <w:rFonts w:ascii="宋体" w:hAnsi="宋体"/>
            <w:noProof/>
            <w:sz w:val="24"/>
          </w:rPr>
          <w:t>84</w:t>
        </w:r>
        <w:r w:rsidRPr="00054DA8">
          <w:rPr>
            <w:rFonts w:ascii="宋体" w:hAnsi="宋体"/>
            <w:noProof/>
            <w:sz w:val="24"/>
          </w:rPr>
          <w:fldChar w:fldCharType="end"/>
        </w:r>
      </w:hyperlink>
    </w:p>
    <w:p w:rsidR="00054DA8" w:rsidRPr="00054DA8" w:rsidRDefault="00054DA8" w:rsidP="00054DA8">
      <w:pPr>
        <w:pStyle w:val="10"/>
        <w:tabs>
          <w:tab w:val="right" w:leader="dot" w:pos="8550"/>
        </w:tabs>
        <w:spacing w:line="360" w:lineRule="auto"/>
        <w:rPr>
          <w:rFonts w:ascii="宋体" w:hAnsi="宋体" w:cstheme="minorBidi"/>
          <w:noProof/>
          <w:sz w:val="24"/>
        </w:rPr>
      </w:pPr>
      <w:hyperlink w:anchor="_Toc234241364" w:history="1">
        <w:r w:rsidRPr="00054DA8">
          <w:rPr>
            <w:rStyle w:val="aa"/>
            <w:rFonts w:ascii="宋体" w:hAnsi="宋体" w:hint="eastAsia"/>
            <w:noProof/>
            <w:sz w:val="24"/>
          </w:rPr>
          <w:t>十一、基金的业绩</w:t>
        </w:r>
        <w:r w:rsidRPr="00054DA8">
          <w:rPr>
            <w:rFonts w:ascii="宋体" w:hAnsi="宋体"/>
            <w:noProof/>
            <w:sz w:val="24"/>
          </w:rPr>
          <w:tab/>
        </w:r>
        <w:r w:rsidRPr="00054DA8">
          <w:rPr>
            <w:rFonts w:ascii="宋体" w:hAnsi="宋体"/>
            <w:noProof/>
            <w:sz w:val="24"/>
          </w:rPr>
          <w:fldChar w:fldCharType="begin"/>
        </w:r>
        <w:r w:rsidRPr="00054DA8">
          <w:rPr>
            <w:rFonts w:ascii="宋体" w:hAnsi="宋体"/>
            <w:noProof/>
            <w:sz w:val="24"/>
          </w:rPr>
          <w:instrText xml:space="preserve"> PAGEREF _Toc234241364 \h </w:instrText>
        </w:r>
        <w:r w:rsidRPr="00054DA8">
          <w:rPr>
            <w:rFonts w:ascii="宋体" w:hAnsi="宋体"/>
            <w:noProof/>
            <w:sz w:val="24"/>
          </w:rPr>
        </w:r>
        <w:r w:rsidRPr="00054DA8">
          <w:rPr>
            <w:rFonts w:ascii="宋体" w:hAnsi="宋体"/>
            <w:noProof/>
            <w:sz w:val="24"/>
          </w:rPr>
          <w:fldChar w:fldCharType="separate"/>
        </w:r>
        <w:r w:rsidRPr="00054DA8">
          <w:rPr>
            <w:rFonts w:ascii="宋体" w:hAnsi="宋体"/>
            <w:noProof/>
            <w:sz w:val="24"/>
          </w:rPr>
          <w:t>101</w:t>
        </w:r>
        <w:r w:rsidRPr="00054DA8">
          <w:rPr>
            <w:rFonts w:ascii="宋体" w:hAnsi="宋体"/>
            <w:noProof/>
            <w:sz w:val="24"/>
          </w:rPr>
          <w:fldChar w:fldCharType="end"/>
        </w:r>
      </w:hyperlink>
    </w:p>
    <w:p w:rsidR="00054DA8" w:rsidRPr="00054DA8" w:rsidRDefault="00054DA8" w:rsidP="00054DA8">
      <w:pPr>
        <w:pStyle w:val="10"/>
        <w:tabs>
          <w:tab w:val="right" w:leader="dot" w:pos="8550"/>
        </w:tabs>
        <w:spacing w:line="360" w:lineRule="auto"/>
        <w:rPr>
          <w:rFonts w:ascii="宋体" w:hAnsi="宋体" w:cstheme="minorBidi"/>
          <w:noProof/>
          <w:sz w:val="24"/>
        </w:rPr>
      </w:pPr>
      <w:hyperlink w:anchor="_Toc234241365" w:history="1">
        <w:r w:rsidRPr="00054DA8">
          <w:rPr>
            <w:rStyle w:val="aa"/>
            <w:rFonts w:ascii="宋体" w:hAnsi="宋体" w:hint="eastAsia"/>
            <w:noProof/>
            <w:sz w:val="24"/>
          </w:rPr>
          <w:t>十二、基金的财产</w:t>
        </w:r>
        <w:r w:rsidRPr="00054DA8">
          <w:rPr>
            <w:rFonts w:ascii="宋体" w:hAnsi="宋体"/>
            <w:noProof/>
            <w:sz w:val="24"/>
          </w:rPr>
          <w:tab/>
        </w:r>
        <w:r w:rsidRPr="00054DA8">
          <w:rPr>
            <w:rFonts w:ascii="宋体" w:hAnsi="宋体"/>
            <w:noProof/>
            <w:sz w:val="24"/>
          </w:rPr>
          <w:fldChar w:fldCharType="begin"/>
        </w:r>
        <w:r w:rsidRPr="00054DA8">
          <w:rPr>
            <w:rFonts w:ascii="宋体" w:hAnsi="宋体"/>
            <w:noProof/>
            <w:sz w:val="24"/>
          </w:rPr>
          <w:instrText xml:space="preserve"> PAGEREF _Toc234241365 \h </w:instrText>
        </w:r>
        <w:r w:rsidRPr="00054DA8">
          <w:rPr>
            <w:rFonts w:ascii="宋体" w:hAnsi="宋体"/>
            <w:noProof/>
            <w:sz w:val="24"/>
          </w:rPr>
        </w:r>
        <w:r w:rsidRPr="00054DA8">
          <w:rPr>
            <w:rFonts w:ascii="宋体" w:hAnsi="宋体"/>
            <w:noProof/>
            <w:sz w:val="24"/>
          </w:rPr>
          <w:fldChar w:fldCharType="separate"/>
        </w:r>
        <w:r w:rsidRPr="00054DA8">
          <w:rPr>
            <w:rFonts w:ascii="宋体" w:hAnsi="宋体"/>
            <w:noProof/>
            <w:sz w:val="24"/>
          </w:rPr>
          <w:t>105</w:t>
        </w:r>
        <w:r w:rsidRPr="00054DA8">
          <w:rPr>
            <w:rFonts w:ascii="宋体" w:hAnsi="宋体"/>
            <w:noProof/>
            <w:sz w:val="24"/>
          </w:rPr>
          <w:fldChar w:fldCharType="end"/>
        </w:r>
      </w:hyperlink>
    </w:p>
    <w:p w:rsidR="00054DA8" w:rsidRPr="00054DA8" w:rsidRDefault="00054DA8" w:rsidP="00054DA8">
      <w:pPr>
        <w:pStyle w:val="10"/>
        <w:tabs>
          <w:tab w:val="right" w:leader="dot" w:pos="8550"/>
        </w:tabs>
        <w:spacing w:line="360" w:lineRule="auto"/>
        <w:rPr>
          <w:rFonts w:ascii="宋体" w:hAnsi="宋体" w:cstheme="minorBidi"/>
          <w:noProof/>
          <w:sz w:val="24"/>
        </w:rPr>
      </w:pPr>
      <w:hyperlink w:anchor="_Toc234241366" w:history="1">
        <w:r w:rsidRPr="00054DA8">
          <w:rPr>
            <w:rStyle w:val="aa"/>
            <w:rFonts w:ascii="宋体" w:hAnsi="宋体" w:hint="eastAsia"/>
            <w:noProof/>
            <w:sz w:val="24"/>
          </w:rPr>
          <w:t>十三、基金资产的估值</w:t>
        </w:r>
        <w:r w:rsidRPr="00054DA8">
          <w:rPr>
            <w:rFonts w:ascii="宋体" w:hAnsi="宋体"/>
            <w:noProof/>
            <w:sz w:val="24"/>
          </w:rPr>
          <w:tab/>
        </w:r>
        <w:r w:rsidRPr="00054DA8">
          <w:rPr>
            <w:rFonts w:ascii="宋体" w:hAnsi="宋体"/>
            <w:noProof/>
            <w:sz w:val="24"/>
          </w:rPr>
          <w:fldChar w:fldCharType="begin"/>
        </w:r>
        <w:r w:rsidRPr="00054DA8">
          <w:rPr>
            <w:rFonts w:ascii="宋体" w:hAnsi="宋体"/>
            <w:noProof/>
            <w:sz w:val="24"/>
          </w:rPr>
          <w:instrText xml:space="preserve"> PAGEREF _Toc234241366 \h </w:instrText>
        </w:r>
        <w:r w:rsidRPr="00054DA8">
          <w:rPr>
            <w:rFonts w:ascii="宋体" w:hAnsi="宋体"/>
            <w:noProof/>
            <w:sz w:val="24"/>
          </w:rPr>
        </w:r>
        <w:r w:rsidRPr="00054DA8">
          <w:rPr>
            <w:rFonts w:ascii="宋体" w:hAnsi="宋体"/>
            <w:noProof/>
            <w:sz w:val="24"/>
          </w:rPr>
          <w:fldChar w:fldCharType="separate"/>
        </w:r>
        <w:r w:rsidRPr="00054DA8">
          <w:rPr>
            <w:rFonts w:ascii="宋体" w:hAnsi="宋体"/>
            <w:noProof/>
            <w:sz w:val="24"/>
          </w:rPr>
          <w:t>106</w:t>
        </w:r>
        <w:r w:rsidRPr="00054DA8">
          <w:rPr>
            <w:rFonts w:ascii="宋体" w:hAnsi="宋体"/>
            <w:noProof/>
            <w:sz w:val="24"/>
          </w:rPr>
          <w:fldChar w:fldCharType="end"/>
        </w:r>
      </w:hyperlink>
    </w:p>
    <w:p w:rsidR="00054DA8" w:rsidRPr="00054DA8" w:rsidRDefault="00054DA8" w:rsidP="00054DA8">
      <w:pPr>
        <w:pStyle w:val="10"/>
        <w:tabs>
          <w:tab w:val="right" w:leader="dot" w:pos="8550"/>
        </w:tabs>
        <w:spacing w:line="360" w:lineRule="auto"/>
        <w:rPr>
          <w:rFonts w:ascii="宋体" w:hAnsi="宋体" w:cstheme="minorBidi"/>
          <w:noProof/>
          <w:sz w:val="24"/>
        </w:rPr>
      </w:pPr>
      <w:hyperlink w:anchor="_Toc234241367" w:history="1">
        <w:r w:rsidRPr="00054DA8">
          <w:rPr>
            <w:rStyle w:val="aa"/>
            <w:rFonts w:ascii="宋体" w:hAnsi="宋体" w:hint="eastAsia"/>
            <w:noProof/>
            <w:sz w:val="24"/>
          </w:rPr>
          <w:t>十四、基金的收益与分配</w:t>
        </w:r>
        <w:r w:rsidRPr="00054DA8">
          <w:rPr>
            <w:rFonts w:ascii="宋体" w:hAnsi="宋体"/>
            <w:noProof/>
            <w:sz w:val="24"/>
          </w:rPr>
          <w:tab/>
        </w:r>
        <w:r w:rsidRPr="00054DA8">
          <w:rPr>
            <w:rFonts w:ascii="宋体" w:hAnsi="宋体"/>
            <w:noProof/>
            <w:sz w:val="24"/>
          </w:rPr>
          <w:fldChar w:fldCharType="begin"/>
        </w:r>
        <w:r w:rsidRPr="00054DA8">
          <w:rPr>
            <w:rFonts w:ascii="宋体" w:hAnsi="宋体"/>
            <w:noProof/>
            <w:sz w:val="24"/>
          </w:rPr>
          <w:instrText xml:space="preserve"> PAGEREF _Toc234241367 \h </w:instrText>
        </w:r>
        <w:r w:rsidRPr="00054DA8">
          <w:rPr>
            <w:rFonts w:ascii="宋体" w:hAnsi="宋体"/>
            <w:noProof/>
            <w:sz w:val="24"/>
          </w:rPr>
        </w:r>
        <w:r w:rsidRPr="00054DA8">
          <w:rPr>
            <w:rFonts w:ascii="宋体" w:hAnsi="宋体"/>
            <w:noProof/>
            <w:sz w:val="24"/>
          </w:rPr>
          <w:fldChar w:fldCharType="separate"/>
        </w:r>
        <w:r w:rsidRPr="00054DA8">
          <w:rPr>
            <w:rFonts w:ascii="宋体" w:hAnsi="宋体"/>
            <w:noProof/>
            <w:sz w:val="24"/>
          </w:rPr>
          <w:t>112</w:t>
        </w:r>
        <w:r w:rsidRPr="00054DA8">
          <w:rPr>
            <w:rFonts w:ascii="宋体" w:hAnsi="宋体"/>
            <w:noProof/>
            <w:sz w:val="24"/>
          </w:rPr>
          <w:fldChar w:fldCharType="end"/>
        </w:r>
      </w:hyperlink>
    </w:p>
    <w:p w:rsidR="00054DA8" w:rsidRPr="00054DA8" w:rsidRDefault="00054DA8" w:rsidP="00054DA8">
      <w:pPr>
        <w:pStyle w:val="10"/>
        <w:tabs>
          <w:tab w:val="right" w:leader="dot" w:pos="8550"/>
        </w:tabs>
        <w:spacing w:line="360" w:lineRule="auto"/>
        <w:rPr>
          <w:rFonts w:ascii="宋体" w:hAnsi="宋体" w:cstheme="minorBidi"/>
          <w:noProof/>
          <w:sz w:val="24"/>
        </w:rPr>
      </w:pPr>
      <w:hyperlink w:anchor="_Toc234241368" w:history="1">
        <w:r w:rsidRPr="00054DA8">
          <w:rPr>
            <w:rStyle w:val="aa"/>
            <w:rFonts w:ascii="宋体" w:hAnsi="宋体" w:hint="eastAsia"/>
            <w:noProof/>
            <w:sz w:val="24"/>
          </w:rPr>
          <w:t>十五、基金的费用与税收</w:t>
        </w:r>
        <w:r w:rsidRPr="00054DA8">
          <w:rPr>
            <w:rFonts w:ascii="宋体" w:hAnsi="宋体"/>
            <w:noProof/>
            <w:sz w:val="24"/>
          </w:rPr>
          <w:tab/>
        </w:r>
        <w:r w:rsidRPr="00054DA8">
          <w:rPr>
            <w:rFonts w:ascii="宋体" w:hAnsi="宋体"/>
            <w:noProof/>
            <w:sz w:val="24"/>
          </w:rPr>
          <w:fldChar w:fldCharType="begin"/>
        </w:r>
        <w:r w:rsidRPr="00054DA8">
          <w:rPr>
            <w:rFonts w:ascii="宋体" w:hAnsi="宋体"/>
            <w:noProof/>
            <w:sz w:val="24"/>
          </w:rPr>
          <w:instrText xml:space="preserve"> PAGEREF _Toc234241368 \h </w:instrText>
        </w:r>
        <w:r w:rsidRPr="00054DA8">
          <w:rPr>
            <w:rFonts w:ascii="宋体" w:hAnsi="宋体"/>
            <w:noProof/>
            <w:sz w:val="24"/>
          </w:rPr>
        </w:r>
        <w:r w:rsidRPr="00054DA8">
          <w:rPr>
            <w:rFonts w:ascii="宋体" w:hAnsi="宋体"/>
            <w:noProof/>
            <w:sz w:val="24"/>
          </w:rPr>
          <w:fldChar w:fldCharType="separate"/>
        </w:r>
        <w:r w:rsidRPr="00054DA8">
          <w:rPr>
            <w:rFonts w:ascii="宋体" w:hAnsi="宋体"/>
            <w:noProof/>
            <w:sz w:val="24"/>
          </w:rPr>
          <w:t>114</w:t>
        </w:r>
        <w:r w:rsidRPr="00054DA8">
          <w:rPr>
            <w:rFonts w:ascii="宋体" w:hAnsi="宋体"/>
            <w:noProof/>
            <w:sz w:val="24"/>
          </w:rPr>
          <w:fldChar w:fldCharType="end"/>
        </w:r>
      </w:hyperlink>
    </w:p>
    <w:p w:rsidR="00054DA8" w:rsidRPr="00054DA8" w:rsidRDefault="00054DA8" w:rsidP="00054DA8">
      <w:pPr>
        <w:pStyle w:val="10"/>
        <w:tabs>
          <w:tab w:val="right" w:leader="dot" w:pos="8550"/>
        </w:tabs>
        <w:spacing w:line="360" w:lineRule="auto"/>
        <w:rPr>
          <w:rFonts w:ascii="宋体" w:hAnsi="宋体" w:cstheme="minorBidi"/>
          <w:noProof/>
          <w:sz w:val="24"/>
        </w:rPr>
      </w:pPr>
      <w:hyperlink w:anchor="_Toc234241369" w:history="1">
        <w:r w:rsidRPr="00054DA8">
          <w:rPr>
            <w:rStyle w:val="aa"/>
            <w:rFonts w:ascii="宋体" w:hAnsi="宋体" w:hint="eastAsia"/>
            <w:noProof/>
            <w:sz w:val="24"/>
          </w:rPr>
          <w:t>十六、基金的会计与审计</w:t>
        </w:r>
        <w:r w:rsidRPr="00054DA8">
          <w:rPr>
            <w:rFonts w:ascii="宋体" w:hAnsi="宋体"/>
            <w:noProof/>
            <w:sz w:val="24"/>
          </w:rPr>
          <w:tab/>
        </w:r>
        <w:r w:rsidRPr="00054DA8">
          <w:rPr>
            <w:rFonts w:ascii="宋体" w:hAnsi="宋体"/>
            <w:noProof/>
            <w:sz w:val="24"/>
          </w:rPr>
          <w:fldChar w:fldCharType="begin"/>
        </w:r>
        <w:r w:rsidRPr="00054DA8">
          <w:rPr>
            <w:rFonts w:ascii="宋体" w:hAnsi="宋体"/>
            <w:noProof/>
            <w:sz w:val="24"/>
          </w:rPr>
          <w:instrText xml:space="preserve"> PAGEREF _Toc234241369 \h </w:instrText>
        </w:r>
        <w:r w:rsidRPr="00054DA8">
          <w:rPr>
            <w:rFonts w:ascii="宋体" w:hAnsi="宋体"/>
            <w:noProof/>
            <w:sz w:val="24"/>
          </w:rPr>
        </w:r>
        <w:r w:rsidRPr="00054DA8">
          <w:rPr>
            <w:rFonts w:ascii="宋体" w:hAnsi="宋体"/>
            <w:noProof/>
            <w:sz w:val="24"/>
          </w:rPr>
          <w:fldChar w:fldCharType="separate"/>
        </w:r>
        <w:r w:rsidRPr="00054DA8">
          <w:rPr>
            <w:rFonts w:ascii="宋体" w:hAnsi="宋体"/>
            <w:noProof/>
            <w:sz w:val="24"/>
          </w:rPr>
          <w:t>117</w:t>
        </w:r>
        <w:r w:rsidRPr="00054DA8">
          <w:rPr>
            <w:rFonts w:ascii="宋体" w:hAnsi="宋体"/>
            <w:noProof/>
            <w:sz w:val="24"/>
          </w:rPr>
          <w:fldChar w:fldCharType="end"/>
        </w:r>
      </w:hyperlink>
    </w:p>
    <w:p w:rsidR="00054DA8" w:rsidRPr="00054DA8" w:rsidRDefault="00054DA8" w:rsidP="00054DA8">
      <w:pPr>
        <w:pStyle w:val="10"/>
        <w:tabs>
          <w:tab w:val="right" w:leader="dot" w:pos="8550"/>
        </w:tabs>
        <w:spacing w:line="360" w:lineRule="auto"/>
        <w:rPr>
          <w:rFonts w:ascii="宋体" w:hAnsi="宋体" w:cstheme="minorBidi"/>
          <w:noProof/>
          <w:sz w:val="24"/>
        </w:rPr>
      </w:pPr>
      <w:hyperlink w:anchor="_Toc234241370" w:history="1">
        <w:r w:rsidRPr="00054DA8">
          <w:rPr>
            <w:rStyle w:val="aa"/>
            <w:rFonts w:ascii="宋体" w:hAnsi="宋体" w:hint="eastAsia"/>
            <w:noProof/>
            <w:sz w:val="24"/>
          </w:rPr>
          <w:t>十七、基金的信息披露</w:t>
        </w:r>
        <w:r w:rsidRPr="00054DA8">
          <w:rPr>
            <w:rFonts w:ascii="宋体" w:hAnsi="宋体"/>
            <w:noProof/>
            <w:sz w:val="24"/>
          </w:rPr>
          <w:tab/>
        </w:r>
        <w:r w:rsidRPr="00054DA8">
          <w:rPr>
            <w:rFonts w:ascii="宋体" w:hAnsi="宋体"/>
            <w:noProof/>
            <w:sz w:val="24"/>
          </w:rPr>
          <w:fldChar w:fldCharType="begin"/>
        </w:r>
        <w:r w:rsidRPr="00054DA8">
          <w:rPr>
            <w:rFonts w:ascii="宋体" w:hAnsi="宋体"/>
            <w:noProof/>
            <w:sz w:val="24"/>
          </w:rPr>
          <w:instrText xml:space="preserve"> PAGEREF _Toc234241370 \h </w:instrText>
        </w:r>
        <w:r w:rsidRPr="00054DA8">
          <w:rPr>
            <w:rFonts w:ascii="宋体" w:hAnsi="宋体"/>
            <w:noProof/>
            <w:sz w:val="24"/>
          </w:rPr>
        </w:r>
        <w:r w:rsidRPr="00054DA8">
          <w:rPr>
            <w:rFonts w:ascii="宋体" w:hAnsi="宋体"/>
            <w:noProof/>
            <w:sz w:val="24"/>
          </w:rPr>
          <w:fldChar w:fldCharType="separate"/>
        </w:r>
        <w:r w:rsidRPr="00054DA8">
          <w:rPr>
            <w:rFonts w:ascii="宋体" w:hAnsi="宋体"/>
            <w:noProof/>
            <w:sz w:val="24"/>
          </w:rPr>
          <w:t>118</w:t>
        </w:r>
        <w:r w:rsidRPr="00054DA8">
          <w:rPr>
            <w:rFonts w:ascii="宋体" w:hAnsi="宋体"/>
            <w:noProof/>
            <w:sz w:val="24"/>
          </w:rPr>
          <w:fldChar w:fldCharType="end"/>
        </w:r>
      </w:hyperlink>
    </w:p>
    <w:p w:rsidR="00054DA8" w:rsidRPr="00054DA8" w:rsidRDefault="00054DA8" w:rsidP="00054DA8">
      <w:pPr>
        <w:pStyle w:val="10"/>
        <w:tabs>
          <w:tab w:val="right" w:leader="dot" w:pos="8550"/>
        </w:tabs>
        <w:spacing w:line="360" w:lineRule="auto"/>
        <w:rPr>
          <w:rFonts w:ascii="宋体" w:hAnsi="宋体" w:cstheme="minorBidi"/>
          <w:noProof/>
          <w:sz w:val="24"/>
        </w:rPr>
      </w:pPr>
      <w:hyperlink w:anchor="_Toc234241371" w:history="1">
        <w:r w:rsidRPr="00054DA8">
          <w:rPr>
            <w:rStyle w:val="aa"/>
            <w:rFonts w:ascii="宋体" w:hAnsi="宋体" w:hint="eastAsia"/>
            <w:noProof/>
            <w:sz w:val="24"/>
          </w:rPr>
          <w:t>十八、侧袋机制</w:t>
        </w:r>
        <w:r w:rsidRPr="00054DA8">
          <w:rPr>
            <w:rFonts w:ascii="宋体" w:hAnsi="宋体"/>
            <w:noProof/>
            <w:sz w:val="24"/>
          </w:rPr>
          <w:tab/>
        </w:r>
        <w:r w:rsidRPr="00054DA8">
          <w:rPr>
            <w:rFonts w:ascii="宋体" w:hAnsi="宋体"/>
            <w:noProof/>
            <w:sz w:val="24"/>
          </w:rPr>
          <w:fldChar w:fldCharType="begin"/>
        </w:r>
        <w:r w:rsidRPr="00054DA8">
          <w:rPr>
            <w:rFonts w:ascii="宋体" w:hAnsi="宋体"/>
            <w:noProof/>
            <w:sz w:val="24"/>
          </w:rPr>
          <w:instrText xml:space="preserve"> PAGEREF _Toc234241371 \h </w:instrText>
        </w:r>
        <w:r w:rsidRPr="00054DA8">
          <w:rPr>
            <w:rFonts w:ascii="宋体" w:hAnsi="宋体"/>
            <w:noProof/>
            <w:sz w:val="24"/>
          </w:rPr>
        </w:r>
        <w:r w:rsidRPr="00054DA8">
          <w:rPr>
            <w:rFonts w:ascii="宋体" w:hAnsi="宋体"/>
            <w:noProof/>
            <w:sz w:val="24"/>
          </w:rPr>
          <w:fldChar w:fldCharType="separate"/>
        </w:r>
        <w:r w:rsidRPr="00054DA8">
          <w:rPr>
            <w:rFonts w:ascii="宋体" w:hAnsi="宋体"/>
            <w:noProof/>
            <w:sz w:val="24"/>
          </w:rPr>
          <w:t>124</w:t>
        </w:r>
        <w:r w:rsidRPr="00054DA8">
          <w:rPr>
            <w:rFonts w:ascii="宋体" w:hAnsi="宋体"/>
            <w:noProof/>
            <w:sz w:val="24"/>
          </w:rPr>
          <w:fldChar w:fldCharType="end"/>
        </w:r>
      </w:hyperlink>
    </w:p>
    <w:p w:rsidR="00054DA8" w:rsidRPr="00054DA8" w:rsidRDefault="00054DA8" w:rsidP="00054DA8">
      <w:pPr>
        <w:pStyle w:val="10"/>
        <w:tabs>
          <w:tab w:val="right" w:leader="dot" w:pos="8550"/>
        </w:tabs>
        <w:spacing w:line="360" w:lineRule="auto"/>
        <w:rPr>
          <w:rFonts w:ascii="宋体" w:hAnsi="宋体" w:cstheme="minorBidi"/>
          <w:noProof/>
          <w:sz w:val="24"/>
        </w:rPr>
      </w:pPr>
      <w:hyperlink w:anchor="_Toc234241372" w:history="1">
        <w:r w:rsidRPr="00054DA8">
          <w:rPr>
            <w:rStyle w:val="aa"/>
            <w:rFonts w:ascii="宋体" w:hAnsi="宋体" w:hint="eastAsia"/>
            <w:noProof/>
            <w:sz w:val="24"/>
          </w:rPr>
          <w:t>十九、风险揭示</w:t>
        </w:r>
        <w:r w:rsidRPr="00054DA8">
          <w:rPr>
            <w:rFonts w:ascii="宋体" w:hAnsi="宋体"/>
            <w:noProof/>
            <w:sz w:val="24"/>
          </w:rPr>
          <w:tab/>
        </w:r>
        <w:r w:rsidRPr="00054DA8">
          <w:rPr>
            <w:rFonts w:ascii="宋体" w:hAnsi="宋体"/>
            <w:noProof/>
            <w:sz w:val="24"/>
          </w:rPr>
          <w:fldChar w:fldCharType="begin"/>
        </w:r>
        <w:r w:rsidRPr="00054DA8">
          <w:rPr>
            <w:rFonts w:ascii="宋体" w:hAnsi="宋体"/>
            <w:noProof/>
            <w:sz w:val="24"/>
          </w:rPr>
          <w:instrText xml:space="preserve"> PAGEREF _Toc234241372 \h </w:instrText>
        </w:r>
        <w:r w:rsidRPr="00054DA8">
          <w:rPr>
            <w:rFonts w:ascii="宋体" w:hAnsi="宋体"/>
            <w:noProof/>
            <w:sz w:val="24"/>
          </w:rPr>
        </w:r>
        <w:r w:rsidRPr="00054DA8">
          <w:rPr>
            <w:rFonts w:ascii="宋体" w:hAnsi="宋体"/>
            <w:noProof/>
            <w:sz w:val="24"/>
          </w:rPr>
          <w:fldChar w:fldCharType="separate"/>
        </w:r>
        <w:r w:rsidRPr="00054DA8">
          <w:rPr>
            <w:rFonts w:ascii="宋体" w:hAnsi="宋体"/>
            <w:noProof/>
            <w:sz w:val="24"/>
          </w:rPr>
          <w:t>127</w:t>
        </w:r>
        <w:r w:rsidRPr="00054DA8">
          <w:rPr>
            <w:rFonts w:ascii="宋体" w:hAnsi="宋体"/>
            <w:noProof/>
            <w:sz w:val="24"/>
          </w:rPr>
          <w:fldChar w:fldCharType="end"/>
        </w:r>
      </w:hyperlink>
    </w:p>
    <w:p w:rsidR="00054DA8" w:rsidRPr="00054DA8" w:rsidRDefault="00054DA8" w:rsidP="00054DA8">
      <w:pPr>
        <w:pStyle w:val="10"/>
        <w:tabs>
          <w:tab w:val="right" w:leader="dot" w:pos="8550"/>
        </w:tabs>
        <w:spacing w:line="360" w:lineRule="auto"/>
        <w:rPr>
          <w:rFonts w:ascii="宋体" w:hAnsi="宋体" w:cstheme="minorBidi"/>
          <w:noProof/>
          <w:sz w:val="24"/>
        </w:rPr>
      </w:pPr>
      <w:hyperlink w:anchor="_Toc234241373" w:history="1">
        <w:r w:rsidRPr="00054DA8">
          <w:rPr>
            <w:rStyle w:val="aa"/>
            <w:rFonts w:ascii="宋体" w:hAnsi="宋体" w:hint="eastAsia"/>
            <w:noProof/>
            <w:sz w:val="24"/>
          </w:rPr>
          <w:t>二十、基金合同的终止与基金财产的清算</w:t>
        </w:r>
        <w:r w:rsidRPr="00054DA8">
          <w:rPr>
            <w:rFonts w:ascii="宋体" w:hAnsi="宋体"/>
            <w:noProof/>
            <w:sz w:val="24"/>
          </w:rPr>
          <w:tab/>
        </w:r>
        <w:r w:rsidRPr="00054DA8">
          <w:rPr>
            <w:rFonts w:ascii="宋体" w:hAnsi="宋体"/>
            <w:noProof/>
            <w:sz w:val="24"/>
          </w:rPr>
          <w:fldChar w:fldCharType="begin"/>
        </w:r>
        <w:r w:rsidRPr="00054DA8">
          <w:rPr>
            <w:rFonts w:ascii="宋体" w:hAnsi="宋体"/>
            <w:noProof/>
            <w:sz w:val="24"/>
          </w:rPr>
          <w:instrText xml:space="preserve"> PAGEREF _Toc234241373 \h </w:instrText>
        </w:r>
        <w:r w:rsidRPr="00054DA8">
          <w:rPr>
            <w:rFonts w:ascii="宋体" w:hAnsi="宋体"/>
            <w:noProof/>
            <w:sz w:val="24"/>
          </w:rPr>
        </w:r>
        <w:r w:rsidRPr="00054DA8">
          <w:rPr>
            <w:rFonts w:ascii="宋体" w:hAnsi="宋体"/>
            <w:noProof/>
            <w:sz w:val="24"/>
          </w:rPr>
          <w:fldChar w:fldCharType="separate"/>
        </w:r>
        <w:r w:rsidRPr="00054DA8">
          <w:rPr>
            <w:rFonts w:ascii="宋体" w:hAnsi="宋体"/>
            <w:noProof/>
            <w:sz w:val="24"/>
          </w:rPr>
          <w:t>133</w:t>
        </w:r>
        <w:r w:rsidRPr="00054DA8">
          <w:rPr>
            <w:rFonts w:ascii="宋体" w:hAnsi="宋体"/>
            <w:noProof/>
            <w:sz w:val="24"/>
          </w:rPr>
          <w:fldChar w:fldCharType="end"/>
        </w:r>
      </w:hyperlink>
    </w:p>
    <w:p w:rsidR="00054DA8" w:rsidRPr="00054DA8" w:rsidRDefault="00054DA8" w:rsidP="00054DA8">
      <w:pPr>
        <w:pStyle w:val="10"/>
        <w:tabs>
          <w:tab w:val="right" w:leader="dot" w:pos="8550"/>
        </w:tabs>
        <w:spacing w:line="360" w:lineRule="auto"/>
        <w:rPr>
          <w:rFonts w:ascii="宋体" w:hAnsi="宋体" w:cstheme="minorBidi"/>
          <w:noProof/>
          <w:sz w:val="24"/>
        </w:rPr>
      </w:pPr>
      <w:hyperlink w:anchor="_Toc234241374" w:history="1">
        <w:r w:rsidRPr="00054DA8">
          <w:rPr>
            <w:rStyle w:val="aa"/>
            <w:rFonts w:ascii="宋体" w:hAnsi="宋体" w:hint="eastAsia"/>
            <w:noProof/>
            <w:sz w:val="24"/>
          </w:rPr>
          <w:t>二十一、基金合同内容摘要</w:t>
        </w:r>
        <w:r w:rsidRPr="00054DA8">
          <w:rPr>
            <w:rFonts w:ascii="宋体" w:hAnsi="宋体"/>
            <w:noProof/>
            <w:sz w:val="24"/>
          </w:rPr>
          <w:tab/>
        </w:r>
        <w:r w:rsidRPr="00054DA8">
          <w:rPr>
            <w:rFonts w:ascii="宋体" w:hAnsi="宋体"/>
            <w:noProof/>
            <w:sz w:val="24"/>
          </w:rPr>
          <w:fldChar w:fldCharType="begin"/>
        </w:r>
        <w:r w:rsidRPr="00054DA8">
          <w:rPr>
            <w:rFonts w:ascii="宋体" w:hAnsi="宋体"/>
            <w:noProof/>
            <w:sz w:val="24"/>
          </w:rPr>
          <w:instrText xml:space="preserve"> PAGEREF _Toc234241374 \h </w:instrText>
        </w:r>
        <w:r w:rsidRPr="00054DA8">
          <w:rPr>
            <w:rFonts w:ascii="宋体" w:hAnsi="宋体"/>
            <w:noProof/>
            <w:sz w:val="24"/>
          </w:rPr>
        </w:r>
        <w:r w:rsidRPr="00054DA8">
          <w:rPr>
            <w:rFonts w:ascii="宋体" w:hAnsi="宋体"/>
            <w:noProof/>
            <w:sz w:val="24"/>
          </w:rPr>
          <w:fldChar w:fldCharType="separate"/>
        </w:r>
        <w:r w:rsidRPr="00054DA8">
          <w:rPr>
            <w:rFonts w:ascii="宋体" w:hAnsi="宋体"/>
            <w:noProof/>
            <w:sz w:val="24"/>
          </w:rPr>
          <w:t>135</w:t>
        </w:r>
        <w:r w:rsidRPr="00054DA8">
          <w:rPr>
            <w:rFonts w:ascii="宋体" w:hAnsi="宋体"/>
            <w:noProof/>
            <w:sz w:val="24"/>
          </w:rPr>
          <w:fldChar w:fldCharType="end"/>
        </w:r>
      </w:hyperlink>
    </w:p>
    <w:p w:rsidR="00054DA8" w:rsidRPr="00054DA8" w:rsidRDefault="00054DA8" w:rsidP="00054DA8">
      <w:pPr>
        <w:pStyle w:val="10"/>
        <w:tabs>
          <w:tab w:val="right" w:leader="dot" w:pos="8550"/>
        </w:tabs>
        <w:spacing w:line="360" w:lineRule="auto"/>
        <w:rPr>
          <w:rFonts w:ascii="宋体" w:hAnsi="宋体" w:cstheme="minorBidi"/>
          <w:noProof/>
          <w:sz w:val="24"/>
        </w:rPr>
      </w:pPr>
      <w:hyperlink w:anchor="_Toc234241375" w:history="1">
        <w:r w:rsidRPr="00054DA8">
          <w:rPr>
            <w:rStyle w:val="aa"/>
            <w:rFonts w:ascii="宋体" w:hAnsi="宋体" w:hint="eastAsia"/>
            <w:noProof/>
            <w:sz w:val="24"/>
          </w:rPr>
          <w:t>二十二、托管协议的内容摘要</w:t>
        </w:r>
        <w:r w:rsidRPr="00054DA8">
          <w:rPr>
            <w:rFonts w:ascii="宋体" w:hAnsi="宋体"/>
            <w:noProof/>
            <w:sz w:val="24"/>
          </w:rPr>
          <w:tab/>
        </w:r>
        <w:r w:rsidRPr="00054DA8">
          <w:rPr>
            <w:rFonts w:ascii="宋体" w:hAnsi="宋体"/>
            <w:noProof/>
            <w:sz w:val="24"/>
          </w:rPr>
          <w:fldChar w:fldCharType="begin"/>
        </w:r>
        <w:r w:rsidRPr="00054DA8">
          <w:rPr>
            <w:rFonts w:ascii="宋体" w:hAnsi="宋体"/>
            <w:noProof/>
            <w:sz w:val="24"/>
          </w:rPr>
          <w:instrText xml:space="preserve"> PAGEREF _Toc234241375 \h </w:instrText>
        </w:r>
        <w:r w:rsidRPr="00054DA8">
          <w:rPr>
            <w:rFonts w:ascii="宋体" w:hAnsi="宋体"/>
            <w:noProof/>
            <w:sz w:val="24"/>
          </w:rPr>
        </w:r>
        <w:r w:rsidRPr="00054DA8">
          <w:rPr>
            <w:rFonts w:ascii="宋体" w:hAnsi="宋体"/>
            <w:noProof/>
            <w:sz w:val="24"/>
          </w:rPr>
          <w:fldChar w:fldCharType="separate"/>
        </w:r>
        <w:r w:rsidRPr="00054DA8">
          <w:rPr>
            <w:rFonts w:ascii="宋体" w:hAnsi="宋体"/>
            <w:noProof/>
            <w:sz w:val="24"/>
          </w:rPr>
          <w:t>151</w:t>
        </w:r>
        <w:r w:rsidRPr="00054DA8">
          <w:rPr>
            <w:rFonts w:ascii="宋体" w:hAnsi="宋体"/>
            <w:noProof/>
            <w:sz w:val="24"/>
          </w:rPr>
          <w:fldChar w:fldCharType="end"/>
        </w:r>
      </w:hyperlink>
    </w:p>
    <w:p w:rsidR="00054DA8" w:rsidRPr="00054DA8" w:rsidRDefault="00054DA8" w:rsidP="00054DA8">
      <w:pPr>
        <w:pStyle w:val="10"/>
        <w:tabs>
          <w:tab w:val="right" w:leader="dot" w:pos="8550"/>
        </w:tabs>
        <w:spacing w:line="360" w:lineRule="auto"/>
        <w:rPr>
          <w:rFonts w:ascii="宋体" w:hAnsi="宋体" w:cstheme="minorBidi"/>
          <w:noProof/>
          <w:sz w:val="24"/>
        </w:rPr>
      </w:pPr>
      <w:hyperlink w:anchor="_Toc234241376" w:history="1">
        <w:r w:rsidRPr="00054DA8">
          <w:rPr>
            <w:rStyle w:val="aa"/>
            <w:rFonts w:ascii="宋体" w:hAnsi="宋体" w:hint="eastAsia"/>
            <w:noProof/>
            <w:sz w:val="24"/>
          </w:rPr>
          <w:t>二十三、对基金份额持有人的服务</w:t>
        </w:r>
        <w:r w:rsidRPr="00054DA8">
          <w:rPr>
            <w:rFonts w:ascii="宋体" w:hAnsi="宋体"/>
            <w:noProof/>
            <w:sz w:val="24"/>
          </w:rPr>
          <w:tab/>
        </w:r>
        <w:r w:rsidRPr="00054DA8">
          <w:rPr>
            <w:rFonts w:ascii="宋体" w:hAnsi="宋体"/>
            <w:noProof/>
            <w:sz w:val="24"/>
          </w:rPr>
          <w:fldChar w:fldCharType="begin"/>
        </w:r>
        <w:r w:rsidRPr="00054DA8">
          <w:rPr>
            <w:rFonts w:ascii="宋体" w:hAnsi="宋体"/>
            <w:noProof/>
            <w:sz w:val="24"/>
          </w:rPr>
          <w:instrText xml:space="preserve"> PAGEREF _Toc234241376 \h </w:instrText>
        </w:r>
        <w:r w:rsidRPr="00054DA8">
          <w:rPr>
            <w:rFonts w:ascii="宋体" w:hAnsi="宋体"/>
            <w:noProof/>
            <w:sz w:val="24"/>
          </w:rPr>
        </w:r>
        <w:r w:rsidRPr="00054DA8">
          <w:rPr>
            <w:rFonts w:ascii="宋体" w:hAnsi="宋体"/>
            <w:noProof/>
            <w:sz w:val="24"/>
          </w:rPr>
          <w:fldChar w:fldCharType="separate"/>
        </w:r>
        <w:r w:rsidRPr="00054DA8">
          <w:rPr>
            <w:rFonts w:ascii="宋体" w:hAnsi="宋体"/>
            <w:noProof/>
            <w:sz w:val="24"/>
          </w:rPr>
          <w:t>162</w:t>
        </w:r>
        <w:r w:rsidRPr="00054DA8">
          <w:rPr>
            <w:rFonts w:ascii="宋体" w:hAnsi="宋体"/>
            <w:noProof/>
            <w:sz w:val="24"/>
          </w:rPr>
          <w:fldChar w:fldCharType="end"/>
        </w:r>
      </w:hyperlink>
    </w:p>
    <w:p w:rsidR="00054DA8" w:rsidRPr="00054DA8" w:rsidRDefault="00054DA8" w:rsidP="00054DA8">
      <w:pPr>
        <w:pStyle w:val="10"/>
        <w:tabs>
          <w:tab w:val="right" w:leader="dot" w:pos="8550"/>
        </w:tabs>
        <w:spacing w:line="360" w:lineRule="auto"/>
        <w:rPr>
          <w:rFonts w:ascii="宋体" w:hAnsi="宋体" w:cstheme="minorBidi"/>
          <w:noProof/>
          <w:sz w:val="24"/>
        </w:rPr>
      </w:pPr>
      <w:hyperlink w:anchor="_Toc234241377" w:history="1">
        <w:r w:rsidRPr="00054DA8">
          <w:rPr>
            <w:rStyle w:val="aa"/>
            <w:rFonts w:ascii="宋体" w:hAnsi="宋体" w:hint="eastAsia"/>
            <w:noProof/>
            <w:sz w:val="24"/>
          </w:rPr>
          <w:t>二十四、其他应披露事项</w:t>
        </w:r>
        <w:r w:rsidRPr="00054DA8">
          <w:rPr>
            <w:rFonts w:ascii="宋体" w:hAnsi="宋体"/>
            <w:noProof/>
            <w:sz w:val="24"/>
          </w:rPr>
          <w:tab/>
        </w:r>
        <w:r w:rsidRPr="00054DA8">
          <w:rPr>
            <w:rFonts w:ascii="宋体" w:hAnsi="宋体"/>
            <w:noProof/>
            <w:sz w:val="24"/>
          </w:rPr>
          <w:fldChar w:fldCharType="begin"/>
        </w:r>
        <w:r w:rsidRPr="00054DA8">
          <w:rPr>
            <w:rFonts w:ascii="宋体" w:hAnsi="宋体"/>
            <w:noProof/>
            <w:sz w:val="24"/>
          </w:rPr>
          <w:instrText xml:space="preserve"> PAGEREF _Toc234241377 \h </w:instrText>
        </w:r>
        <w:r w:rsidRPr="00054DA8">
          <w:rPr>
            <w:rFonts w:ascii="宋体" w:hAnsi="宋体"/>
            <w:noProof/>
            <w:sz w:val="24"/>
          </w:rPr>
        </w:r>
        <w:r w:rsidRPr="00054DA8">
          <w:rPr>
            <w:rFonts w:ascii="宋体" w:hAnsi="宋体"/>
            <w:noProof/>
            <w:sz w:val="24"/>
          </w:rPr>
          <w:fldChar w:fldCharType="separate"/>
        </w:r>
        <w:r w:rsidRPr="00054DA8">
          <w:rPr>
            <w:rFonts w:ascii="宋体" w:hAnsi="宋体"/>
            <w:noProof/>
            <w:sz w:val="24"/>
          </w:rPr>
          <w:t>164</w:t>
        </w:r>
        <w:r w:rsidRPr="00054DA8">
          <w:rPr>
            <w:rFonts w:ascii="宋体" w:hAnsi="宋体"/>
            <w:noProof/>
            <w:sz w:val="24"/>
          </w:rPr>
          <w:fldChar w:fldCharType="end"/>
        </w:r>
      </w:hyperlink>
    </w:p>
    <w:p w:rsidR="00054DA8" w:rsidRPr="00054DA8" w:rsidRDefault="00054DA8" w:rsidP="00054DA8">
      <w:pPr>
        <w:pStyle w:val="10"/>
        <w:tabs>
          <w:tab w:val="right" w:leader="dot" w:pos="8550"/>
        </w:tabs>
        <w:spacing w:line="360" w:lineRule="auto"/>
        <w:rPr>
          <w:rFonts w:ascii="宋体" w:hAnsi="宋体" w:cstheme="minorBidi"/>
          <w:noProof/>
          <w:sz w:val="24"/>
        </w:rPr>
      </w:pPr>
      <w:hyperlink w:anchor="_Toc234241378" w:history="1">
        <w:r w:rsidRPr="00054DA8">
          <w:rPr>
            <w:rStyle w:val="aa"/>
            <w:rFonts w:ascii="宋体" w:hAnsi="宋体" w:hint="eastAsia"/>
            <w:noProof/>
            <w:sz w:val="24"/>
          </w:rPr>
          <w:t>二十五、招募说明书的存放及查阅方式</w:t>
        </w:r>
        <w:r w:rsidRPr="00054DA8">
          <w:rPr>
            <w:rFonts w:ascii="宋体" w:hAnsi="宋体"/>
            <w:noProof/>
            <w:sz w:val="24"/>
          </w:rPr>
          <w:tab/>
        </w:r>
        <w:r w:rsidRPr="00054DA8">
          <w:rPr>
            <w:rFonts w:ascii="宋体" w:hAnsi="宋体"/>
            <w:noProof/>
            <w:sz w:val="24"/>
          </w:rPr>
          <w:fldChar w:fldCharType="begin"/>
        </w:r>
        <w:r w:rsidRPr="00054DA8">
          <w:rPr>
            <w:rFonts w:ascii="宋体" w:hAnsi="宋体"/>
            <w:noProof/>
            <w:sz w:val="24"/>
          </w:rPr>
          <w:instrText xml:space="preserve"> PAGEREF _Toc234241378 \h </w:instrText>
        </w:r>
        <w:r w:rsidRPr="00054DA8">
          <w:rPr>
            <w:rFonts w:ascii="宋体" w:hAnsi="宋体"/>
            <w:noProof/>
            <w:sz w:val="24"/>
          </w:rPr>
        </w:r>
        <w:r w:rsidRPr="00054DA8">
          <w:rPr>
            <w:rFonts w:ascii="宋体" w:hAnsi="宋体"/>
            <w:noProof/>
            <w:sz w:val="24"/>
          </w:rPr>
          <w:fldChar w:fldCharType="separate"/>
        </w:r>
        <w:r w:rsidRPr="00054DA8">
          <w:rPr>
            <w:rFonts w:ascii="宋体" w:hAnsi="宋体"/>
            <w:noProof/>
            <w:sz w:val="24"/>
          </w:rPr>
          <w:t>168</w:t>
        </w:r>
        <w:r w:rsidRPr="00054DA8">
          <w:rPr>
            <w:rFonts w:ascii="宋体" w:hAnsi="宋体"/>
            <w:noProof/>
            <w:sz w:val="24"/>
          </w:rPr>
          <w:fldChar w:fldCharType="end"/>
        </w:r>
      </w:hyperlink>
    </w:p>
    <w:p w:rsidR="00054DA8" w:rsidRPr="00054DA8" w:rsidRDefault="00054DA8" w:rsidP="00054DA8">
      <w:pPr>
        <w:pStyle w:val="10"/>
        <w:tabs>
          <w:tab w:val="right" w:leader="dot" w:pos="8550"/>
        </w:tabs>
        <w:spacing w:line="360" w:lineRule="auto"/>
        <w:rPr>
          <w:rFonts w:ascii="宋体" w:hAnsi="宋体" w:cstheme="minorBidi"/>
          <w:noProof/>
          <w:sz w:val="24"/>
        </w:rPr>
      </w:pPr>
      <w:hyperlink w:anchor="_Toc234241379" w:history="1">
        <w:r w:rsidRPr="00054DA8">
          <w:rPr>
            <w:rStyle w:val="aa"/>
            <w:rFonts w:ascii="宋体" w:hAnsi="宋体" w:hint="eastAsia"/>
            <w:noProof/>
            <w:sz w:val="24"/>
          </w:rPr>
          <w:t>二十六、备查文件</w:t>
        </w:r>
        <w:r w:rsidRPr="00054DA8">
          <w:rPr>
            <w:rFonts w:ascii="宋体" w:hAnsi="宋体"/>
            <w:noProof/>
            <w:sz w:val="24"/>
          </w:rPr>
          <w:tab/>
        </w:r>
        <w:r w:rsidRPr="00054DA8">
          <w:rPr>
            <w:rFonts w:ascii="宋体" w:hAnsi="宋体"/>
            <w:noProof/>
            <w:sz w:val="24"/>
          </w:rPr>
          <w:fldChar w:fldCharType="begin"/>
        </w:r>
        <w:r w:rsidRPr="00054DA8">
          <w:rPr>
            <w:rFonts w:ascii="宋体" w:hAnsi="宋体"/>
            <w:noProof/>
            <w:sz w:val="24"/>
          </w:rPr>
          <w:instrText xml:space="preserve"> PAGEREF _Toc234241379 \h </w:instrText>
        </w:r>
        <w:r w:rsidRPr="00054DA8">
          <w:rPr>
            <w:rFonts w:ascii="宋体" w:hAnsi="宋体"/>
            <w:noProof/>
            <w:sz w:val="24"/>
          </w:rPr>
        </w:r>
        <w:r w:rsidRPr="00054DA8">
          <w:rPr>
            <w:rFonts w:ascii="宋体" w:hAnsi="宋体"/>
            <w:noProof/>
            <w:sz w:val="24"/>
          </w:rPr>
          <w:fldChar w:fldCharType="separate"/>
        </w:r>
        <w:r w:rsidRPr="00054DA8">
          <w:rPr>
            <w:rFonts w:ascii="宋体" w:hAnsi="宋体"/>
            <w:noProof/>
            <w:sz w:val="24"/>
          </w:rPr>
          <w:t>169</w:t>
        </w:r>
        <w:r w:rsidRPr="00054DA8">
          <w:rPr>
            <w:rFonts w:ascii="宋体" w:hAnsi="宋体"/>
            <w:noProof/>
            <w:sz w:val="24"/>
          </w:rPr>
          <w:fldChar w:fldCharType="end"/>
        </w:r>
      </w:hyperlink>
    </w:p>
    <w:p w:rsidR="00210E5A" w:rsidRPr="00054DA8" w:rsidRDefault="00054DA8" w:rsidP="00054DA8">
      <w:pPr>
        <w:pStyle w:val="ad"/>
        <w:snapToGrid w:val="0"/>
        <w:spacing w:after="240" w:line="360" w:lineRule="auto"/>
        <w:jc w:val="center"/>
        <w:rPr>
          <w:rFonts w:ascii="宋体" w:hAnsi="宋体"/>
          <w:color w:val="000000"/>
          <w:sz w:val="24"/>
        </w:rPr>
      </w:pPr>
      <w:r w:rsidRPr="00054DA8">
        <w:rPr>
          <w:rFonts w:ascii="宋体" w:hAnsi="宋体"/>
          <w:color w:val="000000"/>
          <w:position w:val="-4"/>
          <w:sz w:val="24"/>
          <w:szCs w:val="30"/>
        </w:rPr>
        <w:fldChar w:fldCharType="end"/>
      </w:r>
      <w:bookmarkStart w:id="3" w:name="_GoBack"/>
      <w:bookmarkEnd w:id="3"/>
    </w:p>
    <w:p w:rsidR="00210E5A" w:rsidRDefault="00210E5A">
      <w:pPr>
        <w:autoSpaceDE w:val="0"/>
        <w:autoSpaceDN w:val="0"/>
        <w:adjustRightInd w:val="0"/>
        <w:snapToGrid w:val="0"/>
        <w:spacing w:line="360" w:lineRule="auto"/>
        <w:ind w:left="120" w:rightChars="6" w:right="13"/>
        <w:rPr>
          <w:rFonts w:ascii="宋体" w:hAnsi="宋体"/>
          <w:kern w:val="0"/>
          <w:szCs w:val="24"/>
        </w:rPr>
        <w:sectPr w:rsidR="00210E5A">
          <w:pgSz w:w="11920" w:h="16840"/>
          <w:pgMar w:top="1480" w:right="1680" w:bottom="280" w:left="1680" w:header="0" w:footer="1073" w:gutter="0"/>
          <w:cols w:space="720"/>
        </w:sectPr>
      </w:pPr>
    </w:p>
    <w:p w:rsidR="00210E5A" w:rsidRDefault="00452386">
      <w:pPr>
        <w:pStyle w:val="1"/>
        <w:snapToGrid w:val="0"/>
        <w:spacing w:beforeLines="0" w:before="240" w:after="240"/>
        <w:rPr>
          <w:rFonts w:ascii="宋体" w:hAnsi="宋体"/>
          <w:szCs w:val="30"/>
        </w:rPr>
      </w:pPr>
      <w:bookmarkStart w:id="4" w:name="_Toc234241354"/>
      <w:r>
        <w:rPr>
          <w:rFonts w:ascii="Times New Roman" w:hAnsi="Times New Roman"/>
          <w:sz w:val="30"/>
        </w:rPr>
        <w:lastRenderedPageBreak/>
        <w:t>一、绪言</w:t>
      </w:r>
      <w:bookmarkEnd w:id="4"/>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依据《中华人民共和国证券投资基金法》、《证券投资基金运作管理办法》、《证券投资基金销售管理办法》、《公开募集证券投资基金信息披露管理办法》、《公开募集开放式证券投资基金流动性风险管理规定》（以下简称“《流动性规定》”）和其他相关法律法规的规定以及《交银施罗德增利债券证券投资基金基金合同》（以下简称“基金合同”）编写。</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核准。基金合同是约定基金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45238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10E5A" w:rsidRDefault="00452386">
      <w:pPr>
        <w:pStyle w:val="1"/>
        <w:snapToGrid w:val="0"/>
        <w:spacing w:beforeLines="0" w:before="240" w:after="240"/>
        <w:rPr>
          <w:rFonts w:ascii="宋体" w:hAnsi="宋体"/>
          <w:szCs w:val="30"/>
        </w:rPr>
      </w:pPr>
      <w:bookmarkStart w:id="5" w:name="_Toc234241355"/>
      <w:r>
        <w:rPr>
          <w:rFonts w:ascii="Times New Roman" w:hAnsi="Times New Roman"/>
          <w:sz w:val="30"/>
        </w:rPr>
        <w:lastRenderedPageBreak/>
        <w:t>二、释义</w:t>
      </w:r>
      <w:bookmarkEnd w:id="5"/>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1.基金或本基金：指交银施罗德增利债券证券投资基金；</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2.基金管理人：指交银施罗德基金管理有限公司；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3.基金托管人：指中国建设银行股份有限公司；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4.基金合同：指《交银施罗德增利债券证券投资基金基金合同》及对基金合同的任何有效修订和补充；</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5.托管协议：指基金管理人与基金托管人就本基金签订之《交银施罗德增利债券证券投资基金托管协议》及对该托管协议的任何有效修订和补充；</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6.招募说明书：指《交银施罗德增利债券证券投资基金招募说明书》及其更新；</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7.基金份额发售公告：指《交银施罗德增利债券证券投资基金基金份额发售公告》；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8.基金产品资料概要：指《交银施罗德增利债券证券投资基金基金产品资料概要》及其更新</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10.《证券法》：指2005年10月27日经第十届全国人民代表大会常务委员会第十八次会议通过，自2006年1月1日实施的《中华人民共和国证券法》及颁布机关对其不时做出的修订；</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11.《基金法》：指2003年10月28日经第十届全国人民代表大会常务委员会第五次会议通过，自2004年6月1日起实施的《中华人民共和国证券投资基金法》及颁布机关对其不时做出的修订；</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12.《销售办法》：指中国证监会2011年6月9日颁布、同年10月1日实施的《证券投资基金销售管理办法》及颁布机关对其不时做出的修订；</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13.《信息披露办法》：指中国证监会2019年7月26日颁布、同年9月1日实施的《公开募集证券投资基金信息披露管理办法》及颁布机关对其不时做出的修订；</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14.《运作办法》：指中国证监会2004年6月29日颁布、同年7月1日实施的《证券投资基金运作管理办法》及颁布机关对其不时做出的修订；</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15.《流动性风险规定》:指中国证监会2017年8月31日颁布、同年10月1日实施的《公开募集开放式证券投资基金流动性风险管理规定》及颁布机关对其不时做出的修订</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16.中国：就本招募说明书之目的，指中华人民共和国，但不包括香港特别行政区、澳门特别行政区和台湾地区；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17.中国证监会：指中国证券监督管理委员会；</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18.银行业监督管理机构：指中国人民银行和/或中国银行业监督管理委员会；</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19.基金合同当事人：指受基金合同约束，根据基金合同享有权利并承担义务的法律主体，包括基金管理人、基金托管人和基金份额持有人；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20.个人投资者：指年满18周岁，合法持有现时有效的中华人民共和国居民身份证、军人证件等有效身份证件的中国公民，以及中国证监会批准的其他可投资基金的自然人；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21.机构投资者：指依法可以投资开放式证券投资基金的、在中华人民共和国境内合法注册登记并存续或经有关政府部门批准设立并存续的企业法人、事业法人、社会团体或其他组织；</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22.合格境外机构投资者：指符合现实有效的相关法律法规规定可以投资于中国境内证券市场的中国境外的机构投资者；</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23.投资人：指个人投资者、机构投资者和合格境外机构投资者以及法律法规或中国证监会允许购买证券投资基金的其他投资人的合称；</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24.基金份额持有人：指依基金合同和招募说明书合法取得基金份额的投资人；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25.基金销售业务：指基金管理人或代销机构宣传推介基金，发售基金份额，办理基金份额的申购、赎回、转换、非交易过户、转托管及定期定额投资等业务；</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26.销售机构：指直销机构和代销机构；</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27.直销机构：指交银施罗德基金管理有限公司；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代销机构：指符合《销售办法》和中国证监会规定的其他条件，取得基金代销业务资格并与基金管理人签订了基金销售服务代理协议，代为办理基金销售业务的机构，以及可通过上海证券交易所交易系统办理基金销售服务业务的会员单位；</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29.会员单位：指具有开放式基金代销资格，经上海证券交易所和中国证券登</w:t>
      </w:r>
      <w:r>
        <w:rPr>
          <w:rFonts w:ascii="宋体" w:hAnsi="宋体"/>
          <w:sz w:val="24"/>
        </w:rPr>
        <w:lastRenderedPageBreak/>
        <w:t>记结算有限责任公司认可的、可通过上海证券交易所交易系统办理开放式基金的认购、申购、赎回和转托管等业务的上海证券交易所会员单位；</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30.基金销售网点：指直销机构的直销中心及代销机构的代销网点；</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登记结算业务：指基金登记、存管、过户、清算和结算业务，具体内容包括投资人基金账户的建立和管理、基金份额注册登记、基金销售业务的确认、清算和结算、代理发放红利、建立并保管基金份额持有人名册等；</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32.登记结算机构：指办理登记结算业务的机构。基金的登记结算机构为交银施罗德基金管理有限公司或接受交银施罗德基金管理有限公司委托代为办理登记结算业务的机构；</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33.基金账户：指登记结算机构为投资人开立的、记录其持有的、基金管理人所管理的基金份额余额及其变动情况的账户；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34.基金交易账户：指销售机构为投资人开立的、记录投资人通过该销售机构买卖本基金的基金份额变动及结余情况的账户；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35.基金合同生效日：指基金募集达到法律法规规定及基金合同规定的条件，基金管理人向中国证监会办理基金备案手续完毕，并获得中国证监会书面确认的日期；</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36.基金合同终止日：指基金合同规定的基金合同终止事由出现后，基金财产清算完毕，清算结果报中国证监会备案并予以公告的日期；</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37.基金募集期：指自基金份额发售之日起至发售结束之日止的期间，最长不得超过3个月；</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38.存续期：指基金合同生效至终止之间的不定期期限；</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39.日/天：指公历日；</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40.月：指公历月；</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41.工作日：指上海证券交易所、深圳证券交易所的正常交易日；</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42.T日：指销售机构在规定时间受理投资人申购、赎回或其他业务申请的工作日；</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43.T+n日：指自T日起第n个工作日(不包含T日)；</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44.开放日：指为投资人办理基金份额申购、赎回或其他业务的工作日；</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45.交易时间：指开放日基金接受申购、赎回或其他交易的时间段；</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46.上证所《业务规则》：指2005年7月14日上海证券交易所发布并于2005年7月</w:t>
      </w:r>
      <w:r>
        <w:rPr>
          <w:rFonts w:ascii="宋体" w:hAnsi="宋体"/>
          <w:sz w:val="24"/>
        </w:rPr>
        <w:lastRenderedPageBreak/>
        <w:t>14日起施行的《上海证券交易所开放式基金认购、申购、赎回业务办理规则（试行）》及颁布机关对其不时做出的修订；</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47.《业务规则》：指《交银施罗德基金管理有限公司开放式基金业务规则》，是规范基金管理人所管理的开放式证券投资基金登记结算方面的业务规则，由基金管理人和投资人共同遵守；</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48.认购：指在基金募集期内，投资人申请购买基金份额的行为；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49.申购：指基金合同生效后，投资人根据基金合同和招募说明书的规定申请购买基金份额的行为；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50.赎回：指基金合同生效后，基金份额持有人按基金合同规定的条件要求将基金份额兑换为现金的行为；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51.场外：指不通过上海证券交易所的交易系统办理基金份额认购、申购和赎回等业务的销售机构和场所；</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52.场内：指通过上海证券交易所的交易系统办理基金份额认购、申购和赎回等业务的销售机构和场所；</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53.销售服务费：指从基金资产中计提的，用于本基金市场推广、销售以及基金份额持有人服务的费用；</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基金份额类别：指本基金根据认购/申购费用、赎回费用收取方式的不同，将基金份额分为不同的类别。在投资人认购/申购时收取前端认购/申购费用、赎回时收取赎回费用的，称为A类基金份额；在投资人认购/申购时不收取认购/申购费用、赎回时收取后端认购/申购费用和赎回费用的，称为B类基金份额；在投资人认购/申购时不收取认购/申购费用、赎回时收取赎回费用，并从本类别基金资产中计提销售服务费的，称为C类基金份额；在投资人申购时收取申购费用、赎回时收取赎回费用的，称为D类基金份额；</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基金转换：指基金份额持有人按照本基金合同和基金管理人届时有效公告规定的条件，申请将其持有基金管理人管理的、某一基金的基金份额转换为该基金其他份额（如有）或基金管理人管理的其他基金基金份额的行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56.转托管：指基金份额持有人在本基金的不同销售机构之间实施的变更所持基金份额销售机构的操作；</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57.定期定额投资计划：指投资人通过向有关销售机构提交申请，约定每期申购日、扣款金额及扣款方式，由指定的销售机构在投资人指定资金账户内自动扣款</w:t>
      </w:r>
      <w:r>
        <w:rPr>
          <w:rFonts w:ascii="宋体" w:hAnsi="宋体"/>
          <w:sz w:val="24"/>
        </w:rPr>
        <w:lastRenderedPageBreak/>
        <w:t>并于每期约定申购日提交基金申购申请的一种投资方式；</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58.巨额赎回：指本基金单个开放日，基金净赎回申请(赎回申请份额总数加上基金转换中转出申请份额总数后扣除申购申请份额总数及基金转换中转入申请份额总数后的余额)超过上一开放日基金总份额的10%；</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59.元：指人民币元；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60.基金收益：指基金投资所得红利、股息、债券利息、买卖证券价差、银行存款利息、已实现的其他合法收入及因运用基金财产带来的成本和费用的节约；</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61.基金资产总值：指基金拥有的各类有价证券、银行存款本息、基金应收申购款及其他资产的价值总和；</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62.基金资产净值：指基金资产总值减去基金负债后的价值；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63.基金份额净值：指计算日基金资产净值除以计算日基金份额总数；</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64.基金资产估值：指计算评估基金资产和负债的价值，以确定基金资产净值和基金份额净值的过程；</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66.指定媒介：指中国证监会指定的用以进行信息披露的全国性报刊及指定互联网网站（包括基金管理人网站、基金托管人网站、中国证监会基金电子披露网站）等媒介；</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69.不可抗力：指本基金合同当事人无法预见、无法抗拒、无法避免且在本基金合同由基金管理人、基金托管人签署之日后发生的，使本基金合同当事人无法全</w:t>
      </w:r>
      <w:r>
        <w:rPr>
          <w:rFonts w:ascii="宋体" w:hAnsi="宋体"/>
          <w:sz w:val="24"/>
        </w:rPr>
        <w:lastRenderedPageBreak/>
        <w:t>部或部分履行本基金合同的任何事件，包括但不限于洪水、地震及其他自然灾害、战争、骚乱、火灾、政府征用、没收、恐怖袭击、传染病传播、法律法规变化、突发停电或其他突发事件、证券交易所非正常暂停或停止交易。</w:t>
      </w:r>
    </w:p>
    <w:p w:rsidR="00B439CC" w:rsidRDefault="0045238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10E5A" w:rsidRDefault="00452386">
      <w:pPr>
        <w:pStyle w:val="1"/>
        <w:snapToGrid w:val="0"/>
        <w:spacing w:beforeLines="0" w:before="240" w:after="240"/>
        <w:rPr>
          <w:rFonts w:ascii="宋体" w:hAnsi="宋体"/>
          <w:szCs w:val="30"/>
        </w:rPr>
      </w:pPr>
      <w:bookmarkStart w:id="6" w:name="_Toc234241356"/>
      <w:r>
        <w:rPr>
          <w:rFonts w:ascii="Times New Roman" w:hAnsi="Times New Roman"/>
          <w:sz w:val="30"/>
        </w:rPr>
        <w:lastRenderedPageBreak/>
        <w:t>三、基金管理人</w:t>
      </w:r>
      <w:bookmarkEnd w:id="6"/>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w:t>
      </w:r>
      <w:r>
        <w:rPr>
          <w:rFonts w:ascii="宋体" w:hAnsi="宋体"/>
          <w:sz w:val="24"/>
        </w:rPr>
        <w:lastRenderedPageBreak/>
        <w:t>总行托管部基金业务部内控综合处副处长、资产委托高级经理、保险及养老金高级经理、资产托管部副总经理，交银施罗德基金管理有限公司党委委员、副总经理、首席信息官，交通银行总行养老金融部总经理。</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w:t>
      </w:r>
      <w:r>
        <w:rPr>
          <w:rFonts w:ascii="宋体" w:hAnsi="宋体"/>
          <w:sz w:val="24"/>
        </w:rPr>
        <w:lastRenderedPageBreak/>
        <w:t>理；交通银行总行营运与渠道部副总经理。</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魏玉敏女士:基金经理。厦门大学金融学硕士、学士，14年证券投资行业从业经验。2012年至2013年任招商证券固定收益研究员，2013年至2016年任国信证券固定收益高级分析师。2016年加入交银施罗德基金管理有限公司，曾任固定收益部基金经理，现任混合资产投资部基金经理。曾任交银施罗德丰晟收益债券型证券投资基金(2018年08月29日至2020年10月16日)、交银施罗德纯债债券型发起式证券投资基金(2018年08月29日至2025年01月15日)、交银施罗德裕如纯债债券型证券投资基金(2018年08月29日至2023年09月11日)、交银施罗德丰润收益债券型证券投资基金(2018年11月02日至2021年12月16日)、交银施罗德中债1-3年农发行债券指数证券投资基金(2019年01月23日至2021年12月16日)、交银施罗德裕泰两年定期开放债券型证券投资基金(2019年12月10日至2025年01月07日)、交银施罗德鑫选回报混合型证券投资基金(2021年04月29日至2024年05月22日)、交银施罗德优选回报灵活配置混合型证券投资基金(2025年03月22日至2026年03月28日)的基金经理。现任交银施罗德增利债券证券投资基金(2018年08月29日至今)、交银施罗德增利增强债券型证券投资基金(2018年11月02日至今)、交银施罗德可转债债券型证券投资基金(2019年07月11日至今)、交银施罗德安心收益债券型证券投资基金(2022年01月27日至今)、交银施罗德双利债券证券投资基金(2022年08月18日至今)、交银施罗德强化回报债券型证券投资基金(2023年04月15日至今)、交银施罗德定期支付月月丰债券型证券投资基金(2024年12月27日至今)、交银施罗德180天持有期债券型证券投资基金(2025年07月18日至今)、交银施罗德鸿宁三个月持有期债券型证券投资基金(2026年03月31日至今)、交银施罗德鸿福六个月持有期混合型证券投资基金(2026年04月16日至今)的基金经理。</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李家春先生(2008年03月31日至2014年08月20日)；</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陈晓秋女士(2008年03月31日至2009年10月30日)；</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林洪钧先生(2014年08月04日至2015年05月30日)；</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赵凌琦女士(2015年05月09日至2015年08月28日)；</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孙超先生(2015年07月18日至2017年06月21日)；</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于海颖女士(2017年06月10日至2020年08月21日)；</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张顺晨女士(2023年06月09日至2024年11月23日)。</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1、依法募集基金，办理或者委托经中国证监会认定的其他机构代为办理基金份额的发售、申购、赎回和登记事宜；</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9、召集基金份额持有人大会；</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1、基金管理人承诺不从事违反《证券法》的行为，并承诺建立健全内部控制制度，采取有效措施，防止违反《证券法》行为的发生；</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w:t>
      </w:r>
      <w:r>
        <w:rPr>
          <w:rFonts w:ascii="宋体" w:hAnsi="宋体"/>
          <w:sz w:val="24"/>
        </w:rPr>
        <w:lastRenderedPageBreak/>
        <w:t>控制制度，采取有效措施，防止下列行为的发生：</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（5）依照法律、行政法规有关规定，由中国证监会规定禁止的其他行为。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公司内部部门和岗位的设置应当体现权责分明、相互制衡。</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采取数量化、技术化的风险控制手段，建立数量化的风险管理模型，用以提示指数趋势、行业及个券的风险，以便公司及时采取有效的措施，对风险进行分散、控制和规避，尽可能地减少损失。</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45238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10E5A" w:rsidRDefault="00452386">
      <w:pPr>
        <w:pStyle w:val="1"/>
        <w:snapToGrid w:val="0"/>
        <w:spacing w:beforeLines="0" w:before="240" w:after="240"/>
        <w:rPr>
          <w:rFonts w:ascii="宋体" w:hAnsi="宋体"/>
          <w:szCs w:val="30"/>
        </w:rPr>
      </w:pPr>
      <w:bookmarkStart w:id="7" w:name="_Toc234241357"/>
      <w:r>
        <w:rPr>
          <w:rFonts w:ascii="Times New Roman" w:hAnsi="Times New Roman"/>
          <w:sz w:val="30"/>
        </w:rPr>
        <w:lastRenderedPageBreak/>
        <w:t>四、基金托管人</w:t>
      </w:r>
      <w:bookmarkEnd w:id="7"/>
    </w:p>
    <w:p w:rsidR="00210E5A" w:rsidRDefault="0045238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（一）基金托管人情况</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名称：中国建设银行股份有限公司(简称：中国建设银行)</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住所：北京市西城区金融大街25号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办公地址：北京市西城区闹市口大街1号院1号楼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法定代表人：张金良</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成立时间：2004年09月17日</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注册资本：贰仟陆佰壹拾陆亿零叁拾捌万壹仟肆佰伍拾玖元整</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基金托管资格批文及文号：中国证监会证监基字[1998]12号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联系人：王小飞</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联系电话：(021)6063 7103</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2、主要人员情况</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建设银行总行设资产托管业务部，下设综合处、基金业务处、证券保险业务处、理财信托业务处、全球业务处、养老金业务处、新兴业务处、客户服务与业务协同处、运营管理处、跨境与外包管理处、托管应用系统支持处、内控合规处等12个职能处室，在北京、上海、合肥设有托管运营中心，共有员工300余人。自2007年起，托管部连续聘请外部会计师事务所对托管业务进行内部控制审计，并已经成为常规化的内控工作手段。</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3、基金托管业务经营情况</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国内首批开办证券投资基金托管业务的商业银行，中国建设银行一直秉持“以客户为中心”的经营理念，不断加强风险管理和内部控制，严格履行托管人的各项职责，切实维护资产持有人的合法权益，为资产委托人提供高质量的托管服务。经过多年稳步发展，中国建设银行托管资产规模不断扩大，托管业务品种不断增加，已形成包括证券投资基金、社保基金、保险资金、基本养老个人账户、(R)QFII、(R)QDII、企业年金、存托业务等产品在内的托管业务体系，是目前国内托管业务品种最齐全的商业银行之一。截至2025年末，中国建设银行已托管1,536</w:t>
      </w:r>
      <w:r>
        <w:rPr>
          <w:rFonts w:ascii="宋体" w:hAnsi="宋体"/>
          <w:sz w:val="24"/>
        </w:rPr>
        <w:lastRenderedPageBreak/>
        <w:t>只证券投资基金。中国建设银行专业高效的托管服务能力和业务水平，赢得了业内的高度认同。中国建设银行多次被《全球托管人》、 《财资》、《环球金融》杂志及《中国基金报》评选为“最佳托管银行”、连续多年荣获中央国债登记结算有限责任公司（中债）“优秀资产托管机构”、银行间市场清算所股份有限公司（上清所）“优秀托管银行”奖项、并先后荣获《亚洲银行家》颁发的2017年度“最佳托管系统实施奖”、2019年度“中国年度托管业务科技实施奖”、2021年度“中国最佳数字化资产托管银行”、以及 2020年度、2022年度“中国年度托管银行（大型银行）”奖项。2023年度，荣获《中国基金报》“公募基金25年最佳基金托管银行”奖项。2024年度，荣获《中国基金报》“优秀ETF托管人”、《中国证券报》“ETF金牛生态圈卓越托管机构（银行）”、《环球金融》“中国最佳次托管人”奖项。2025年度，荣获《中国基金报》“指数生态圈英华奖”、《环球金融》“中国最佳次托管人”等奖项。</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（二）基金托管人的内部控制制度</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基金托管人，中国建设银行严格遵守国家有关托管业务的法律法规、行业监管规章和本行内有关管理规定，守法经营、规范运作、严格检查，确保业务的稳健运行，保证基金财产的安全完整，确保有关信息的真实、准确、完整、及时，保护基金份额持有人的合法权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2、内部控制组织结构</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建设银行设有风险内控管理委员会，负责全行风险管理与内部控制工作，对托管业务风险管理和内部控制的有效性进行指导。资产托管业务部配备了专职内控合规人员负责托管业务的内控合规工作，具有独立行使内控合规工作职权和能力。</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3、内部控制制度及措施</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业务部具备系统、完善的制度控制体系，建立了管理制度、控制制度、岗位职责、业务操作流程，可以保证托管业务的规范操作和顺利进行；业务人员具备从业资格；业务管理严格实行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w:t>
      </w:r>
      <w:r>
        <w:rPr>
          <w:rFonts w:ascii="宋体" w:hAnsi="宋体"/>
          <w:sz w:val="24"/>
        </w:rPr>
        <w:lastRenderedPageBreak/>
        <w:t>立。</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（三）基金托管人对基金管理人运作基金进行监督的方法和程序</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1、监督方法</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照《基金法》及其配套法规和基金合同的约定，监督所托管基金的投资运作。利用自行开发的“新一代托管应用监督子系统”，严格按照现行法律法规以及基金合同规定，对基金管理人运作基金的投资比例、投资范围、投资组合等情况进行监督。在日常为基金投资运作所提供的基金清算和核算服务环节中，对基金管理人发送的投资指令、基金管理人对各基金费用的提取与开支情况进行检查监督。</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2、监督流程</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工作日按时通过新一代托管应用监督子系统，对各基金投资运作比例控制等情况进行监控，如发现投资异常情况，向基金管理人进行风险提示，与基金管理人进行情况核实，督促其纠正，如有重大异常事项及时报告中国证监会。</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(2)收到基金管理人的划款指令后，对指令要素等内容进行核查。</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(3)通过技术或非技术手段发现基金涉嫌违规交易，电话或书面要求基金管理人进行解释或举证，如有必要将及时报告中国证监会。</w:t>
      </w:r>
    </w:p>
    <w:p w:rsidR="00B439CC" w:rsidRDefault="0045238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10E5A" w:rsidRDefault="00452386">
      <w:pPr>
        <w:pStyle w:val="1"/>
        <w:snapToGrid w:val="0"/>
        <w:spacing w:beforeLines="0" w:before="240" w:after="240"/>
        <w:rPr>
          <w:rFonts w:ascii="宋体" w:hAnsi="宋体"/>
          <w:szCs w:val="30"/>
        </w:rPr>
      </w:pPr>
      <w:bookmarkStart w:id="8" w:name="_Toc234241358"/>
      <w:r>
        <w:rPr>
          <w:rFonts w:ascii="Times New Roman" w:hAnsi="Times New Roman"/>
          <w:sz w:val="30"/>
        </w:rPr>
        <w:lastRenderedPageBreak/>
        <w:t>五、相关服务机构</w:t>
      </w:r>
      <w:bookmarkEnd w:id="8"/>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个人投资者可以通过基金管理人网上直销交易平台办理开户、本基金的申购、赎回、定期定额投资、转换等业务，具体交易细则请参阅基金管理人网站。</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 fund001.com。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2、其他销售机构</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（1）名称：江苏江南农村商业银行股份有限公司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住所：江苏省常州市和平中路413号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办公地址：江苏省常州市和平中路413号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法定代表人：陆向阳</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电话：0519-80585939</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传真：0519-89995170</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联系人：蒋姣</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客户服务电话：96005</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网址：http://www.jnbank.com.cn</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（2）名称：上海浦东发展银行股份有限公司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住所：上海市中山东一路12 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办公地址：上海市中山东一路12 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法定代表人：郑杨</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电话：（021）61618888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传真：（021）61618888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联系人：朱瑛</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网址：www.spdb.com.cn</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（3）名称：中国建设银行股份有限公司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住所：北京市西城区金融大街25号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办公地址：北京市西城区闹市口大街1号院1号楼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法定代表人：张金良</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电话：（010）66275654</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传真：（010）66275654</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客户服务电话：95533</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网址：www.ccb.com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（4）名称：交通银行股份有限公司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（5）名称：招商银行股份有限公司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传真：（0755）83195109</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（6）名称：上海银行股份有限公司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住所：上海市银城中路168号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办公地址：上海市银城中路168号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法定代表人：金煜</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电话：（021）68475888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传真：（021）68476111</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联系人：张萍</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客户服务电话：（021）962888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网址：www.bankofshanghai.com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（7）名称：中信银行股份有限公司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（8）名称：江苏常熟农村商业银行股份有限公司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住所：江苏省常熟市新世纪大道58号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办公地址：江苏省常熟市新世纪大道58号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法定代表人：宋建明</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联系电话：（0512）52909128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传真：（0512）52909122</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联系人：黄晓</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客户服务电话：962000</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网址：www.csrcbank.com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（9）名称：东莞农村商业银行股份有限公司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住所：东莞市东城区鸿福东路2号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办公地址：东莞市东城区鸿福东路2号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法定代表人：王耀球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电话：（0769）22866254</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传真：（0769）22866282</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联系人：林培珊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客户服务电话：（0769）961122</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网址：www.drcbank.com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（10）名称：中国农业银行股份有限公司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法定代表人：周慕冰</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联系人：贺倩</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客户服务电话：95599</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网址：www.abchina.com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（11）名称：中国银行股份有限公司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住所：北京市北京市复兴门内大街1号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办公地址：北京市西城区复兴门内大街1号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法定代表人：陈四清</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传真：（010）66594853</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客户服务电话：95566</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网址：www.boc.cn</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（12）名称：广发银行股份有限公司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住所：广州市越秀区东风东路713号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法定代表人：杨明生</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联系人：李晓鹏</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客户服务电话：800-830-8003，400-830-8003</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网址：www.gdb.com.cn</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（13）名称：中国民生银行股份有限公司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住所：北京市西城区复兴门内大街2号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法定代表人：洪崎</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电话：（010）58560666</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传真：（010）57092611</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联系人：许野</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95568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网址：www.cmbc.com.cn</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（14）名称：中国光大银行股份有限公司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住所：北京市西城区太平桥大街25号、甲25号中国光大中心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办公地址：北京市西城区太平桥大街25号、甲25号中国光大中心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法定代表人：李晓鹏</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电话：（010）63639681</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传真：（010）63639709</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联系人：刘昭宇</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客户服务电话：95595</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网址：www.cebbank.com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（15）名称：宁波银行股份有限公司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（16）名称：北京银行股份有限公司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住所：北京市西城区金融大街甲17号首层</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办公地址：北京市西城区金融大街甲17号首层</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法定代表人：张东宁</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传真：（010）66226045</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联系人：孔超</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客户服务电话：95526</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网址：www.bankofbeijing.com.cn</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（17）名称：平安银行股份有限公司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注册地址：深圳市罗湖区深南东路5047号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法定代表人：谢永林</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电话：0755-22166574</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传真：0755-82080406</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（18）名称：江苏银行股份有限公司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住所：南京市中华路26号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办公地址：南京市中华路26号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法定代表人：夏平</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电话：（025）58587018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传真：（025）58587038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联系人：田春慧</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客户服务电话：95319</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网址：www.jsbchina.cn</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（19）名称：华夏银行股份有限公司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住所：北京市东城区建国门内大街22号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办公地址：北京市东城区建国门内大街22号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法定代表人：李民吉</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客户服务电话：95577</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网址：www.hxb.com.cn</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（20）名称：杭州银行股份有限公司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住所：杭州市庆春路46号杭州银行大厦</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办公地址：杭州市庆春路46号杭州银行大厦</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法定代表人：陈震山</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电话：（0571）85108195、85120696</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传真：（0571）86475527</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联系人：严峻、夏帆</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客户服务电话:96523</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网址：www.hzbank.com.cn</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（21）名称：中国工商银行股份有限公司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注册地址：北京市西城区复兴门内大街55号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办公地址：北京市西城区复兴门内大街55号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法定代表人：廖林</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网址：www.icbc.com.cn</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（22）名称：中国邮政储蓄银行股份有限公司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法定代表人：李国华</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传真：（010）68858117</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联系人：陈春林</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客户服务电话：95580</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网址：www.psbc.com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（23）名称：兴业银行股份有限公司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注册地址：福建省福州市台江区江滨中大道398号兴业银行大厦</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办公地址：上海市浦东新区银城路 167 号兴业银行大厦</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法定代表人：吕家进</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联系人：蔡宣铭</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联系电话：021-52629999</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客服热线：95561</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网址：www.cib.com.cn</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（24）名称：光大证券股份有限公司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住所：上海市静安区新闸路1508号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办公地址：上海市静安区新闸路1508号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电话：（021）22169999</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传真：（021）22169134</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联系人：刘晨</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10108998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网址：www.ebscn.com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（25）名称：中信证券股份有限公司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（26）名称：中国中金财富证券有限公司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（27）名称：东北证券股份有限公司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住所：长春市自由大路1138号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办公地址：长春市自由大路1138号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法定代表人：矫正中</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电话：（0431）85096709</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联系人：潘锴</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客户服务电话：4006000686，（0431）85096733</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网址：www.nesc.cn</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（28）名称：中银国际证券股份有限公司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住所：上海市银城中路200号39层</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办公地址：中国上海浦东银城中路200号中银大厦39-40层</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法定代表人：许刚</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客户服务电话：400-620-8888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网址：www.bocichina.com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（29）名称：华福证券股份有限公司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住所：福建省福州市鼓楼区鼓屏路27号1#楼3层、4层、5层</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办公地址：福建省福州市鼓楼区鼓屏路27号1#楼3层、4层、5层</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法定代表人：黄德良</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电话：（0591）87383623</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传真：（0591）87383610</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客户服务电话：（0591）95547</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网址：www.hfzq.com.cn</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（30）名称：东兴证券股份有限公司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住所：北京市西城区金融大街5号新盛大厦B座12-15层</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法定代表人：徐勇力</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电话：（010）66555316</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传真：（010）66555246</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联系人：汤漫川</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400-8888-993</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网址：www.dxzq.net</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（31）名称：东方证券股份有限公司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住所：上海市中山南路318号2号楼22层-29层</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法定代表人：王益民</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电话：（021）63325888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传真：（021）63326173</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联系人：吴宇</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客户服务电话：95503</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网址：www.dfzq.com.cn</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（32）名称：方正证券股份有限公司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住所：湖南长沙芙蓉中路二段华侨国际大厦22-24层</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办公地址：湖南长沙芙蓉中路二段华侨国际大厦22-24层</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法定代表人：施华</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电话：（010）68546765</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传真：（010）68546792</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联系人：张达</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客户服务电话：95571</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网址：www.foundersc.com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（33）名称：中国民族证券有限责任公司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住所：北京市西城区金融街5号新盛大厦A座6-9层</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办公地址：北京市西城区金融街5号新盛大厦A座6-9层</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法定代表人：赵大建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客户服务电话：400-889-5618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网址：www.e5618.com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（34）名称：德邦证券股份有限公司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住所：上海市普陀区曹杨路510号南半幢9楼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办公地址：上海市福山路500号城建大厦26楼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法定代表人：姚文平</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电话：（021）68761616</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传真：（021）68767981</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客户服务电话：4008-888-128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网址：www.tebon.com.cn</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（35）名称：国投证券股份有限公司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办公地址：深圳市福田区福田街道福华一路119号安信金融大厦</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（36）名称：国元证券股份有限公司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住所：中国安徽省合肥市梅山路18号安徽国际金融中心A座</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办公地址：中国安徽省合肥市梅山路18号安徽国际金融中心A座</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法定代表人：俞仕新</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联系电话：0551-62207400</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传真：0551-62207148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联系人：汪先哲</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网址：www.gyzq.com.cn</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（37）名称：东莞证券股份有限公司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住所：广东省东莞市莞城区可园南路一号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办公地址：广东省东莞市莞城区可园南路一号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电话：（0769）22115712</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传真：（0769）22115712</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联系人：李荣</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网址：www.dgzq.com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（38）名称：中航证券有限公司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住所：南昌市红谷滩新区红谷中大道1619号国际金融大厦41楼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办公地址：南昌市红谷滩新区红谷中大道1619号国际金融大厦41楼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法定代表人：杜航</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电话：（0791）86768681</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传真：（0791）86770178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联系人：戴蕾</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客户服务电话：400-8895-335</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网址：www.avicsec.com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（39）名称：财通证券股份有限公司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注册地址：杭州市杭大路15号嘉华国际商务中心201、501、502、1103、1601-1615、1701-1716</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办公地址：杭州市杭大路15号嘉华国际商务中心201、501、502、1103、1601-1615、1701-1716</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沈继宁</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电话：0571-87789160</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陶志华</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客户服务电话：95336,40086-96336</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网址：www.ctsec.com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（40）名称：中信建投证券股份有限公司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（41）名称：中国银河证券股份有限公司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（42）名称：申万宏源证券有限公司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办公地址：上海市徐汇区长乐路989号世纪商贸广场45层</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（43）名称：国都证券股份有限公司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住所：北京市东城区东直门南大街3号国华投资大厦9层10层</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办公地址：北京市东城区东直门南大街3号国华投资大厦9层10层</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法定代表人：王少华</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客户服务电话：400-818-8118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网址：www.guodu.com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（44）名称：平安证券股份有限公司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（45）名称：中信证券（山东）有限责任公司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（46）名称：申万宏源西部证券有限公司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（47）名称：中泰证券股份有限公司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注册地址：济南市高新区经十路7000号汉峪金融商务中心五区3号楼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办公地址：济南市高新区经十路7000号汉峪金融商务中心五区3号楼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法定代表人：王洪</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电话：（0531）68889155</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传真：（0531）68889752</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联系人：许曼华</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网址：www.zts.com.cn</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（48）名称：江海证券有限公司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住所：黑龙江省哈尔滨市香坊区赣水路56号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法定代表人：孙名扬</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电话：（0451）85863719</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传真：（0451）82287211</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联系人：刘爽</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客户服务电话：956007</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网址：www.jhzq.com.cn</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（49）名称：中国国际金融股份有限公司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住所：北京建国门外大街1号国贸大厦2座27层及28层</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办公地址：北京建国门外大街1号国贸大厦2座27层及28层</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法定代表人：毕明建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电话：（010）65051166</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传真：（010）85679203</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联系人：杨涵宇</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网址：www.cicc.com.cn</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（50）名称：瑞银证券有限责任公司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住所：北京市西城区金融大街7号英蓝国际金融中心12层、15层</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办公地址：北京市西城区金融大街7号英蓝国际金融中心12层、15层</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法定代表人：程宜荪</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电话：（010）58328112</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传真：（010）58328740</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联系人：牟冲</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客户服务电话：400-887-8827</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网址：www.ubssecurities.com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（51）名称：长城证券有限责任公司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住所：深圳市福田区深南大道6008号特区报业大厦14、16、17层</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法定代表人：黄耀华</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电话：（0755）83516289</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传真：（0755）83516199</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联系人：匡婷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客户服务电话：（0755）33680000，400-6666-888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网址：www.cc168.com.cn</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（52）名称：国金证券股份有限公司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（53）名称：渤海证券股份有限公司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住所：天津经济技术开发区第二大街42号写字楼101室</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办公地址：天津市南开区宾水西道8号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法定代表人：安志勇</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电话：（022）28451991</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传真：（022）28451892</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联系人：蔡霆</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956066</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网址：www.ewww.com.cn</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（54）名称：信达证券股份有限公司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住所：北京市西城区闹市口大街9号院1号楼信达金融中心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办公地址：北京市西城区闹市口大街9号院1号楼信达金融中心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法定代表人：张志刚</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电话：（010）63081000</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传真：（010）63081344</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联系人：尹旭航</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网址：www.cindasc.com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（55）名称：西南证券股份有限公司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住所：重庆市江北区桥北苑8号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办公地址：重庆市江北区桥北苑8号西南证券大厦</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法定代表人：吴坚</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电话：（023）63786141</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传真：（023）63786212</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联系人：张煜</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客户服务电话：95355、400-809-6096</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网址：www.swsc.com.cn</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（56）名称：国新证券股份有限公司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住所：北京市西城区金融大街8号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办公地址：北京市西城区金融大街8号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法定代表人：宋德清</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电话：（010）58568235</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传真：（010）58568062</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联系人：黄恒</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客户服务电话：（010）58568118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网址：www.crsec.com.cn</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（57）名称：粤开证券股份有限公司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注册地址：广州市黄埔区科学大道60号开发区控股中心19、22、23层</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办公地址：广州市黄埔区科学大道60号开发区控股中心19、22、23层</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法定代表人：郭川舟</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客服电话：95564</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网址：www.ykzq.com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（58）名称：华西证券股份有限公司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（59）名称：第一创业证券股份有限公司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住所：深圳市罗湖区笋岗路12号中民时代广场 B 座25、26层</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办公地址：深圳市罗湖区笋岗路12号中民时代广场 B 座25、26层</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法定代表人：刘学民</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电话：（0755）25832852</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传真：（0755）25831718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联系人：崔国良</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客户服务电话：4008881888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网址：www.firstcapital.com.cn</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（60）名称：中信证券华南股份有限公司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（61）名称：国泰海通证券股份有限公司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（62）名称：招商证券股份有限公司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（63）名称：长江证券股份有限公司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住所：武汉市新华路特8号长江证券大厦</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办公地址：武汉市新华路特8号长江证券大厦</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法定代表人：胡运钊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电话：（027）65799999</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传真：（027）85481900</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联系人：李良</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客户服务电话：95579或4008-888-999</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网址：www.95579.com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（64）名称：爱建证券有限责任公司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住所：上海市南京西路758号24楼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办公地址：上海市浦东新区世纪大道1600号32楼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法定代表人：张建华</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电话：（021）32229888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传真：（021）68728703</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联系人：陈敏</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客户服务电话：（021）63340678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网址：www.ajzq.com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（65）名称：大同证券有限责任公司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注册地址：山西省大同市城区迎宾街15号桐城中央21层</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办公地址：太原市长治路 111 号山西世贸中心 A 座 F12、F13</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邮政编码：030600</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法定代表人：董祥</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 话：（0351）4130322</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 真：（0351）7219891</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客服电话：4007121212</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网址：www.dtsbc.com.cn</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（66）名称：长城国瑞证券有限公司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住所：厦门市思明区台北路1号海西金谷广场T2办公楼13-14层</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办公地址：厦门市思明区台北路1号海西金谷广场T2办公楼13-14层</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法定代表人：李鹏</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电话：0592-2079658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传真：0592-5162590</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联系人：陈月月</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客户服务电话：400-0099-886</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网址：www.gwgsc.com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（67）名称：华宝证券股份有限公司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办公地址：中国上海市浦东新区世纪大道100号上海环球金融中心57楼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陈林</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电话：（021）68777222</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传真：（021）68777822</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联系人：赵洁</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客户服务电话：400-820-9898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（68）名称：华龙证券股份有限公司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住所：兰州市城关区东岗西路638号财富中心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办公地址：兰州市城关区东岗西路638号财富中心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法定代表人：李晓安</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电话：（0931）4890208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传真：（0931）4890628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联系人：李昕田</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客户服务电话：4006898888、（0931）4890208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网址：www.hlzqgs.com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（69）名称：广发证券股份有限公司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住所：广州市黄埔区中新广州知识城腾飞一街2号618室</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办公地址：广州市天河区马场路26号广发证券大厦</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法定代表人：林传辉</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电话：（020）66338888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传真：（020）87553600</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联系人：任嘉鹏</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客户服务电话：95575</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网址：www.gf.com.cn</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（70）名称：兴业证券股份有限公司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办公地址：上海市浦东新区长柳路36号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（71）名称：湘财证券股份有限公司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住所：湖南省长沙市黄兴中路63号中山国际大厦12楼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办公地址：湖南省长沙市天心区湘府中路198号标志商务中心11楼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法定代表人：林俊波</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电话：（021）68634518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传真：（021）68865680</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联系人：钟康莺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客户服务电话：400-888-1551</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网址：www.xcsc.com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（72）名称：华泰证券股份有限公司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（73）名称：金融街证券股份有限公司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注册地址：内蒙古自治区呼和浩特市新城区海拉尔东街满世尚都办公商业综合楼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办公地址：内蒙古自治区呼和浩特市新城区海拉尔东街满世尚都办公商业综合</w:t>
      </w:r>
      <w:r>
        <w:rPr>
          <w:rFonts w:ascii="宋体" w:hAnsi="宋体"/>
          <w:sz w:val="24"/>
        </w:rPr>
        <w:lastRenderedPageBreak/>
        <w:t>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法定代表人：祝艳辉</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联系人：熊丽、王捷勋</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联系电话：0471-4968480</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客户服务电话：956088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网址：www.cnht.com.cn</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（74）名称：国信证券股份有限公司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（75）名称：中原证券股份有限公司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住所：郑州市郑东新区商务外环路10号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办公地址：郑州市郑东新区商务外环路10号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法定代表人：菅明军</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联系人：程月艳 李盼盼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电话：0371-69099881/2</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客户服务电话：95377</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网址：https://www.ccnew.com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（76）名称：山西证券股份有限公司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住所：山西省太原市府西街69号山西国际贸易中心东塔楼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办公地址：山西省太原市府西街69号山西国际贸易中心东塔楼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法定代表人：侯巍</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电话：0351—8686815</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联系人：谢武兵</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客户服务电话：400-666-1618、95573</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网址：www.i618.com.cn</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（77）名称：开源证券股份有限公司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注册地址：陕西省西安市高新区锦业路一号都市之门B座5层</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办公地址：陕西省西安市高新区锦业路一号都市之门B座5层</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法定代表人：李刚</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电话：13709210036</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联系人：赵东会</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网址：www.kysec.cn</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（78）名称：西部证券股份有限公司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住所：陕西省西安市新城区东新街 319 号 8 幢 10000 室</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办公地址：陕西省西安市新城区东新街 319 号 8 幢 10000 室</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法定代表人：徐朝晖</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电话：029-87211668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联系人：张吉安</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客户服务电话：95582</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网址：www.west95582.com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（79）名称：国联民生证券股份有限公司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住所：江苏省无锡市金融一街8号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办公地址：江苏省无锡市金融一街8号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法定代表人：顾伟</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联系电话：0510-82832051</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传真：0510-82830162</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客户服务电话：95570</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网址：www.glsc.com.cn</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（80）名称：民生证券股份有限公司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住所：北京市东城区建国门内大街28号民生金融中心A座16层--18层</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办公地址：北京市东城区建国门内大街28号民生金融中心A座16层--18层</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法定代表人：冯鹤年</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电话：（010）85127561</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传真：（010）85127641</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联系人：周照清</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客户服务电话：400-619-8888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网址：www.mszq.com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（81）名称：深圳市新兰德证券投资咨询有限公司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（82）名称：大连网金基金销售有限公司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（83）名称：阳光人寿保险股份有限公司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网址：http://fund.sinosig.com/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（84）名称：玄元保险代理有限公司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（85）名称：京东肯特瑞基金销售有限公司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（86）名称：上海大智慧基金销售有限公司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（87）名称：珠海盈米基金销售有限公司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办公地址：广州市海珠区琶洲大道东1号保利国际广场南塔12楼B1201-1203</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（88）名称：上海华夏财富投资管理有限公司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（89）名称：北京度小满基金销售有限公司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（90）名称：南京苏宁基金销售有限公司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传真：025-66996699</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（91）名称：嘉实财富管理有限公司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（92）名称：北京汇成基金销售有限公司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（93）名称：上海利得基金销售有限公司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网址：www.leadfund.com.cn</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（94）名称：北京虹点基金销售有限公司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住所：北京市朝阳区工人体育场北路甲2号裙房2层222单元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办公地址：北京市朝阳区工人体育场北路甲2号裙房2层222单元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法定代表人：胡伟</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电话：（010）65951887</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传真：（010）65951887</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联系人：姜颖</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客户服务电话：400-618-0707</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网址：www.hongdianfund.com/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（95）名称：上海陆金所基金销售有限公司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（96）名称：上海挖财基金销售有限公司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（97）名称：万家财富基金销售（天津）有限公司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住所：天津自贸区（中心商务区）迎宾大道1988号滨海浙商大厦公寓2-2413室</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（98）名称：上海万得基金销售有限公司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（99）名称：格上富信投资顾问有限公司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住所：北京市朝阳区东三环北路19号楼701内09室</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办公地址：北京市朝阳区东三环北路19号楼701内09室</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传真：（010）65983333</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（100）名称：深圳市金斧子基金销售有限公司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电话：（0755）66892301</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（101）名称：北京雪球基金销售有限公司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（102）名称：北京新浪仓石基金销售有限公司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（103）名称：上海证达通基金销售有限公司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 潘梦茹</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（104）名称：北京创金启富基金销售有限公司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（105）名称：奕丰基金销售有限公司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（106）名称：上海天天基金销售有限公司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网址：www.1234567.com.cn</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（107）名称：和讯信息科技有限公司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住所：北京市朝阳区朝外大街22号泛利大厦10层</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电话：（021）20835789</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联系人：周轶</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客户服务电话：4009200022</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网址：http://licaike.hexun.com/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（108）名称：诺亚正行基金销售有限公司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（109）名称：上海好买基金销售有限公司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（110）名称：上海长量基金销售有限公司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法定代表人：张跃伟</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（111）名称：深圳众禄基金销售股份有限公司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（112）名称：蚂蚁（杭州）基金销售有限公司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（113）名称：中信期货有限公司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电话：010-60833754</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（114）名称：天相投资顾问有限公司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住所：北京市西城区金融街19号富凯大厦B座701</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办公地址：北京市西城区新街口外大街28号C座5层</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法定代表人：林义相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电话：（010）66045529</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传真：（010）66045518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联系人：尹伶</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客户服务电话：（010）66045678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网址：http://www.txsec.com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（115）名称：上海基煜基金销售有限公司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（116）名称：浙江同花顺基金销售有限公司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联系人：吴强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（117）名称：宜信普泽（北京）基金销售有限公司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（118）名称：上海联泰基金销售有限公司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（119）名称：泛华普益基金销售有限公司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（120）名称：北京展恒基金销售股份有限公司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（121）名称：和耕传承基金销售有限公司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（122）名称：腾安基金销售（深圳）有限公司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（123）名称：中国人寿保险股份有限公司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住所：中国北京市西城区金融大街16号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办公地址：北京市西城区金融大街16号中国人寿广场A座</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法定代表人：王滨</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客户服务电话：95519</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www.e-chinalife.com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（124）名称：济安财富（北京）基金销售有限公司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（125）名称：博时财富基金销售有限公司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（126）名称：上海中欧财富基金销售有限公司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公司网址：https://www.zocaifu.com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（127）名称：深圳前海微众银行股份有限公司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（128）名称：北京广源达信基金销售有限公司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注册地址：北京市西城区新街口外大街28号C座六层605室</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办公地址：北京市顺义区天祥路6号院北京东航中心T1A-304B室</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法定代表人：齐剑辉</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电话：400-616-7531</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联系人：赵明锦</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客户服务电话：400-616-7531</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网址：https://www.niuniufund.com/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基金管理人可根据有关法律法规的要求，选择其它符合要求的机构代理销售本基金，并在管理人网站公示。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（三）出具法律意见书的律师事务所</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名称：上海源泰律师事务所</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住所：上海浦东南路256号华夏银行大厦1405室</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办公地址：上海浦东南路256号华夏银行大厦1405室</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负责人：廖海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电话：（021）51150298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传真：（021）51150398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联系人：廖海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经办律师：梁丽金、刘佳</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名称：安永华明会计师事务所（特殊普通合伙）</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住所：北京市东城区东长安街1号东方广场安永大楼17层</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办公地址：北京市东城区东长安街1号东方广场安永大楼17层</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执行事务合伙人：毛鞍宁</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电话：（010）58153000</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传真：（010）85188298</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联系人：蒋燕华</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经办注册会计师：蒋燕华、费泽旭</w:t>
      </w:r>
    </w:p>
    <w:p w:rsidR="00B439CC" w:rsidRDefault="0045238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10E5A" w:rsidRDefault="00452386">
      <w:pPr>
        <w:pStyle w:val="1"/>
        <w:snapToGrid w:val="0"/>
        <w:spacing w:beforeLines="0" w:before="240" w:after="240"/>
        <w:rPr>
          <w:rFonts w:ascii="宋体" w:hAnsi="宋体"/>
          <w:szCs w:val="30"/>
        </w:rPr>
      </w:pPr>
      <w:bookmarkStart w:id="9" w:name="_Toc234241359"/>
      <w:r>
        <w:rPr>
          <w:rFonts w:ascii="Times New Roman" w:hAnsi="Times New Roman"/>
          <w:sz w:val="30"/>
        </w:rPr>
        <w:lastRenderedPageBreak/>
        <w:t>六、基金的募集</w:t>
      </w:r>
      <w:bookmarkEnd w:id="9"/>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本基金由基金管理人依照《基金法》、《运作办法》、《销售办法》、基金合同及其他有关规定，并经2008年2月5日中国证券监督管理委员会证监许可【2008】239号文批准募集发售。</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本基金为契约型开放式债券型基金。基金存续期间为不定期。</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本基金于2008年3月3日进行发售。本基金设立募集期共募集10,322,807,118.45份基金份额，有效认购户数为70,477户。</w:t>
      </w:r>
    </w:p>
    <w:p w:rsidR="00B439CC" w:rsidRDefault="0045238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10E5A" w:rsidRDefault="00452386">
      <w:pPr>
        <w:pStyle w:val="1"/>
        <w:snapToGrid w:val="0"/>
        <w:spacing w:beforeLines="0" w:before="240" w:after="240"/>
        <w:rPr>
          <w:rFonts w:ascii="宋体" w:hAnsi="宋体"/>
          <w:szCs w:val="30"/>
        </w:rPr>
      </w:pPr>
      <w:bookmarkStart w:id="10" w:name="_Toc234241360"/>
      <w:r>
        <w:rPr>
          <w:rFonts w:ascii="Times New Roman" w:hAnsi="Times New Roman"/>
          <w:sz w:val="30"/>
        </w:rPr>
        <w:lastRenderedPageBreak/>
        <w:t>七、基金合同的生效</w:t>
      </w:r>
      <w:bookmarkEnd w:id="10"/>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根据有关规定，本基金满足基金合同生效条件，基金合同已于2008年3月31日正式生效。自基金合同生效之日起，本基金管理人正式开始管理本基金。</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合同生效后，基金份额持有人数量不满两百人或者基金资产净值低于五千万元的，基金管理人应当及时报告中国证监会；连续20个工作日出现上述情形的，基金管理人应向中国证监会说明原因并报送解决方案。</w:t>
      </w:r>
    </w:p>
    <w:p w:rsidR="00B439CC" w:rsidRDefault="0045238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10E5A" w:rsidRDefault="00452386">
      <w:pPr>
        <w:pStyle w:val="1"/>
        <w:snapToGrid w:val="0"/>
        <w:spacing w:beforeLines="0" w:before="240" w:after="240"/>
        <w:rPr>
          <w:rFonts w:ascii="宋体" w:hAnsi="宋体"/>
          <w:szCs w:val="30"/>
        </w:rPr>
      </w:pPr>
      <w:bookmarkStart w:id="11" w:name="_Toc234241361"/>
      <w:r>
        <w:rPr>
          <w:rFonts w:ascii="Times New Roman" w:hAnsi="Times New Roman"/>
          <w:sz w:val="30"/>
        </w:rPr>
        <w:lastRenderedPageBreak/>
        <w:t>八、基金份额的申购与赎回</w:t>
      </w:r>
      <w:bookmarkEnd w:id="11"/>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（一）申购和赎回的场所</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本基金直销机构为本公司以及本公司的网上直销交易平台。</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个人投资者可以通过本公司网上直销交易平台办理开户、本基金A类、C类和D类基金份额的申购、赎回、转换及定期定额投资等业务，具体交易细则请参阅本公司网站。网上直销交易平台网址：www.fund001.com。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2、通过上海证券交易所交易系统办理相关业务的上海证券交易所会员单位，目前场内交易只支持A类基金份额的申购。具体名单详见上海证券交易所网站。</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3、不通过上海证券交易所交易系统办理相关业务的场外代销机构的代销网点</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本基金的场外代销机构的代销网点请见本招募说明书“五、相关服务机构”章节或拨打本公司客户服务电话进行咨询。</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投资人可通过上述场所按照规定的方式进行申购或赎回。本基金管理人可根据情况增减基金代销机构，并在管理人网站公示。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若基金管理人或其指定的代销机构开通电话、传真或网上等交易方式，投资人可以通过上述方式进行申购与赎回。</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（二）申购和赎回的开放日及时间</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基金的开放日是指为投资人办理基金申购、赎回等业务的证券交易所交易日（基金管理人根据法律法规、中国证监会要求或基金合同的规定公告暂停申购、赎</w:t>
      </w:r>
      <w:r>
        <w:rPr>
          <w:rFonts w:ascii="宋体" w:hAnsi="宋体"/>
          <w:sz w:val="24"/>
        </w:rPr>
        <w:lastRenderedPageBreak/>
        <w:t>回时除外）。代销网点在开放日的具体业务办理时间为上海证券交易所、深圳证券交易所正常交易日的交易时间。</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若出现新的证券交易市场、证券交易所交易时间变更或其他特殊情况，基金管理人将视情况对前述开放日及开放时间进行相应的调整，但应在实施日前依照《信息披露办法》的有关规定在指定媒介上公告。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投资人在基金合同约定之外的日期和时间提出申购、赎回或转换申请的，其基金份额申购、赎回价格为下次办理基金份额申购、赎回时间所在开放日的价格。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2、申购、赎回的开始日及业务办理时间</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本基金A/B/C类基金份额已于2008年5月9日开放场内、场外日常申购、赎回业务。</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本基金D类基金份额于2025年3月31日起开放申购、赎回业务。</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（三）申购和赎回的原则</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1、“未知价”原则，即申购、赎回价格以申请当日收市后计算的各类基金份额净值为基准进行计算；</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3、投资人申购基金份额时，必须全额交付申购款项，投资人交付款项后，申购申请方为有效；</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4、赎回遵循“先进先出”原则，即按照投资人认购、申购的先后次序进行顺序赎回；</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5、当日的申购与赎回申请可以在基金管理人规定的时间以内撤销。</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基金管理人可根据基金运作的实际情况依法对上述原则进行调整。基金管理人必须在新规则开始实施前依照《信息披露办法》的有关规定在指定媒介上公告。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（四）申购和赎回的数额限定</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场外申购时，代销网点每个账户申购最低金额为单笔1元，如果代销机构业务规则规定的最低单笔申购金额高于1元，以代销机构的规定为准。</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中心每个账户首次申购的最低金额为单笔100万元，追加申购的最低金额为单笔10万元；已在直销中心有认购或申购过本基金管理人管理的任一基金（包括本基金）记录的投资人不受首次申购最低金额的限制。通过本公司网上直销交易平台办理基金申购业务的不受直销中心单笔申购最低金额的限制，申购最低金额为单</w:t>
      </w:r>
      <w:r>
        <w:rPr>
          <w:rFonts w:ascii="宋体" w:hAnsi="宋体"/>
          <w:sz w:val="24"/>
        </w:rPr>
        <w:lastRenderedPageBreak/>
        <w:t>笔1元。本基金直销中心单笔申购最低金额可由基金管理人酌情调整。</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场内申购时，每笔申购金额最低为100元人民币，同时每笔申购必须是100元的整数倍，并且单笔申购最高不超过99,999,900元。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场外赎回时，赎回的最低份额为1 份基金份额，如果其他销售机构业务规则规定的单笔最低赎回份额高于1份，以该销售机构的规定为准。场内赎回时，赎回的最低份额为50 份基金份额，同时赎回份额必须是整数份额，并且单笔赎回最多不超过99,999,999份基金份额。</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3、最低保留余额的限制</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每个工作日投资人在单个交易账户保留的本基金份额余额少于1份时，若当日该账户同时有份额减少类业务（如赎回、转换出等）被确认，则基金管理人有权将投资人在该账户保留的本基金份额一次性全部赎回。</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根据市场情况，在法律法规允许的情况下，调整申购的金额、赎回的份额以及最低保留余额的数量限制，基金管理人必须在调整前依照《信息披露办法》的有关规定在指定的媒体上刊登公告并报中国证监会备案。</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（五）申购和赎回的程序</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投资人必须根据基金销售机构规定的程序，在开放日的业务办理时间向基金销售机构提出申购或赎回的申请。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投资人在申购本基金时须按销售机构规定的方式备足申购资金，否则所提交的申购申请无效而不予成交。</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投资人在提交赎回申请时，必须持有足够的基金份额余额，否则所提交的赎回申请无效而不予成交。</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2、申购和赎回申请的确认</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基金管理人应以交易时间结束前受理申购和赎回申请的当天作为申购或赎回申请日(T日)，正常情况下，本基金登记结算机构在T+1日内对该交易的有效性进行确</w:t>
      </w:r>
      <w:r>
        <w:rPr>
          <w:rFonts w:ascii="宋体" w:hAnsi="宋体"/>
          <w:sz w:val="24"/>
        </w:rPr>
        <w:lastRenderedPageBreak/>
        <w:t>认。T日提交的有效申请，投资人可在T+2日后（包括该日）到销售网点柜台或以销售机构规定的其他方式查询申请的确认情况。</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3、申购和赎回的款项支付</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申购采用全额缴款方式，若申购资金在规定时间内未全额到账，则申购不成功，若申购不成功或无效，基金管理人或基金管理人指定的代销机构将投资人已缴付的申购款项本金退还给投资人。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赎回申请成功后，基金管理人将指示基金托管人在T＋7日（包括该日）内从托管账户将赎回款项划出，经销售机构划往基金份额持有人银行账户。在发生巨额赎回时，款项的支付办法参照基金合同的有关条款处理。</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4、申购和赎回基金份额的份额注册登记</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投资人申购基金成功后，登记结算机构在T+1日为投资人登记权益并办理份额注册登记手续，投资人自T+2日（含该日）后有权赎回该部分基金份额。</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投资人赎回基金成功后，登记结算机构在T+1日为投资人办理扣除权益的份额注册登记手续。</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基金管理人可以在法律法规允许的范围内，对上述份额注册登记办理时间进行调整，但不得影响投资人实质的合法权益，并依照《信息披露办法》的有关规定于开始实施前在指定媒介上公告。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（六）基金的申购费和赎回费</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A类基金份额、D类基金份额收取前端申购费用，即在申购时支付申购费用，申购费率按每笔申购申请单独计算。投资人申购B类基金份额收取后端申购费用，即在赎回时才支付相应的申购费用，该费用随基金份额的持有时间递减。投资人申购C类基金份额不收取申购费用，而是从该类别基金资产中计提销售服务费。目前场内交易只支持A类基金份额的申购。</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A/B/D类基金份额的申购费用由A/B/D类基金份额申购人承担，不列入基金财产，主要用于本基金的市场推广、销售、登记结算等各项费用。</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本基金A类基金份额（非养老金客户）的申购费率如下：</w:t>
      </w:r>
    </w:p>
    <w:tbl>
      <w:tblPr>
        <w:tblW w:w="5000" w:type="pct"/>
        <w:tblCellMar>
          <w:left w:w="0" w:type="dxa"/>
          <w:right w:w="0" w:type="dxa"/>
        </w:tblCellMar>
        <w:tblLook w:val="0000" w:firstRow="0" w:lastRow="0" w:firstColumn="0" w:lastColumn="0" w:noHBand="0" w:noVBand="0"/>
      </w:tblPr>
      <w:tblGrid>
        <w:gridCol w:w="2167"/>
        <w:gridCol w:w="6503"/>
      </w:tblGrid>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类基金份额前端申购费率</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0.3%</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万元（含）以上</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本基金B类基金份额（非养老金客户）的申购费率如下：</w:t>
      </w:r>
    </w:p>
    <w:tbl>
      <w:tblPr>
        <w:tblW w:w="5000" w:type="pct"/>
        <w:tblCellMar>
          <w:left w:w="0" w:type="dxa"/>
          <w:right w:w="0" w:type="dxa"/>
        </w:tblCellMar>
        <w:tblLook w:val="0000" w:firstRow="0" w:lastRow="0" w:firstColumn="0" w:lastColumn="0" w:noHBand="0" w:noVBand="0"/>
      </w:tblPr>
      <w:tblGrid>
        <w:gridCol w:w="2167"/>
        <w:gridCol w:w="6503"/>
      </w:tblGrid>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持有时间</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r>
              <w:rPr>
                <w:rFonts w:ascii="Times New Roman" w:hAnsi="Times New Roman"/>
                <w:color w:val="000000"/>
                <w:kern w:val="0"/>
                <w:sz w:val="25"/>
                <w:szCs w:val="24"/>
              </w:rPr>
              <w:t>类基金份额后端申购费率</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年以内（含）</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年至</w:t>
            </w:r>
            <w:r>
              <w:rPr>
                <w:rFonts w:ascii="Times New Roman" w:hAnsi="Times New Roman"/>
                <w:color w:val="000000"/>
                <w:kern w:val="0"/>
                <w:sz w:val="25"/>
                <w:szCs w:val="24"/>
              </w:rPr>
              <w:t>3</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r>
              <w:rPr>
                <w:rFonts w:ascii="Times New Roman" w:hAnsi="Times New Roman"/>
                <w:color w:val="000000"/>
                <w:kern w:val="0"/>
                <w:sz w:val="25"/>
                <w:szCs w:val="24"/>
              </w:rPr>
              <w:t>年至</w:t>
            </w:r>
            <w:r>
              <w:rPr>
                <w:rFonts w:ascii="Times New Roman" w:hAnsi="Times New Roman"/>
                <w:color w:val="000000"/>
                <w:kern w:val="0"/>
                <w:sz w:val="25"/>
                <w:szCs w:val="24"/>
              </w:rPr>
              <w:t>5</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0.4%</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r>
              <w:rPr>
                <w:rFonts w:ascii="Times New Roman" w:hAnsi="Times New Roman"/>
                <w:color w:val="000000"/>
                <w:kern w:val="0"/>
                <w:sz w:val="25"/>
                <w:szCs w:val="24"/>
              </w:rPr>
              <w:t>年以上</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0.0%</w:t>
            </w:r>
          </w:p>
        </w:tc>
      </w:tr>
    </w:tbl>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本基金D类基金份额（非养老金客户）的申购费率如下：</w:t>
      </w:r>
    </w:p>
    <w:tbl>
      <w:tblPr>
        <w:tblW w:w="5000" w:type="pct"/>
        <w:tblCellMar>
          <w:left w:w="0" w:type="dxa"/>
          <w:right w:w="0" w:type="dxa"/>
        </w:tblCellMar>
        <w:tblLook w:val="0000" w:firstRow="0" w:lastRow="0" w:firstColumn="0" w:lastColumn="0" w:noHBand="0" w:noVBand="0"/>
      </w:tblPr>
      <w:tblGrid>
        <w:gridCol w:w="2167"/>
        <w:gridCol w:w="6503"/>
      </w:tblGrid>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r>
              <w:rPr>
                <w:rFonts w:ascii="Times New Roman" w:hAnsi="Times New Roman"/>
                <w:color w:val="000000"/>
                <w:kern w:val="0"/>
                <w:sz w:val="25"/>
                <w:szCs w:val="24"/>
              </w:rPr>
              <w:t>类基金份额申购费率</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0.9%</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0.7%</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0.4%</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万元（含）以上</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1200</w:t>
            </w:r>
            <w:r>
              <w:rPr>
                <w:rFonts w:ascii="Times New Roman" w:hAnsi="Times New Roman"/>
                <w:color w:val="000000"/>
                <w:kern w:val="0"/>
                <w:sz w:val="25"/>
                <w:szCs w:val="24"/>
              </w:rPr>
              <w:t>元</w:t>
            </w:r>
          </w:p>
        </w:tc>
      </w:tr>
    </w:tbl>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持有A/B/D类基金份额的投资人因红利自动再投资而产生的A/B/D类基金份额，不收取相应的申购费用。</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本基金对通过本公司直销柜台申购本基金A类基金份额、D类基金份额的养老金客户实施特定申购费率。</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全国社会保障基金、可以投资基金的地方社会保障基金、企业年金单一计划以及集合计划。如将来出现经养老基金监管部门认可的新的养老基金类型，本公司将发布临时公告将其纳入养老金客户范围，并按规定向中国证监会备案。</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通过本公司直销柜台申购本基金A类基金份额的养老金客户特定申购费率如下</w:t>
      </w:r>
      <w:r>
        <w:rPr>
          <w:rFonts w:ascii="宋体" w:hAnsi="宋体"/>
          <w:sz w:val="24"/>
        </w:rPr>
        <w:lastRenderedPageBreak/>
        <w:t>表：</w:t>
      </w:r>
    </w:p>
    <w:tbl>
      <w:tblPr>
        <w:tblW w:w="5000" w:type="pct"/>
        <w:tblCellMar>
          <w:left w:w="0" w:type="dxa"/>
          <w:right w:w="0" w:type="dxa"/>
        </w:tblCellMar>
        <w:tblLook w:val="0000" w:firstRow="0" w:lastRow="0" w:firstColumn="0" w:lastColumn="0" w:noHBand="0" w:noVBand="0"/>
      </w:tblPr>
      <w:tblGrid>
        <w:gridCol w:w="1238"/>
        <w:gridCol w:w="3716"/>
        <w:gridCol w:w="3716"/>
      </w:tblGrid>
      <w:tr w:rsidR="00210E5A">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特定申购费率（</w:t>
            </w:r>
            <w:r>
              <w:rPr>
                <w:rFonts w:ascii="Times New Roman" w:hAnsi="Times New Roman"/>
                <w:color w:val="000000"/>
                <w:kern w:val="0"/>
                <w:sz w:val="25"/>
                <w:szCs w:val="24"/>
              </w:rPr>
              <w:t>A</w:t>
            </w:r>
            <w:r>
              <w:rPr>
                <w:rFonts w:ascii="Times New Roman" w:hAnsi="Times New Roman"/>
                <w:color w:val="000000"/>
                <w:kern w:val="0"/>
                <w:sz w:val="25"/>
                <w:szCs w:val="24"/>
              </w:rPr>
              <w:t>类基金份额）</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类基金份额特定申购费率</w:t>
            </w:r>
          </w:p>
        </w:tc>
      </w:tr>
      <w:tr w:rsidR="00210E5A">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10E5A" w:rsidRDefault="00210E5A">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0.32%</w:t>
            </w:r>
          </w:p>
        </w:tc>
      </w:tr>
      <w:tr w:rsidR="00210E5A">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10E5A" w:rsidRDefault="00210E5A">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0.18%</w:t>
            </w:r>
          </w:p>
        </w:tc>
      </w:tr>
      <w:tr w:rsidR="00210E5A">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10E5A" w:rsidRDefault="00210E5A">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0.10%</w:t>
            </w:r>
          </w:p>
        </w:tc>
      </w:tr>
      <w:tr w:rsidR="00210E5A">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10E5A" w:rsidRDefault="00210E5A">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0.06%</w:t>
            </w:r>
          </w:p>
        </w:tc>
      </w:tr>
      <w:tr w:rsidR="00210E5A">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10E5A" w:rsidRDefault="00210E5A">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通过基金管理人直销柜台申购本基金D类基金份额的养老金客户特定申购费率如下表：</w:t>
      </w:r>
    </w:p>
    <w:tbl>
      <w:tblPr>
        <w:tblW w:w="5000" w:type="pct"/>
        <w:tblCellMar>
          <w:left w:w="0" w:type="dxa"/>
          <w:right w:w="0" w:type="dxa"/>
        </w:tblCellMar>
        <w:tblLook w:val="0000" w:firstRow="0" w:lastRow="0" w:firstColumn="0" w:lastColumn="0" w:noHBand="0" w:noVBand="0"/>
      </w:tblPr>
      <w:tblGrid>
        <w:gridCol w:w="2167"/>
        <w:gridCol w:w="6503"/>
      </w:tblGrid>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r>
              <w:rPr>
                <w:rFonts w:ascii="Times New Roman" w:hAnsi="Times New Roman"/>
                <w:color w:val="000000"/>
                <w:kern w:val="0"/>
                <w:sz w:val="25"/>
                <w:szCs w:val="24"/>
              </w:rPr>
              <w:t>类基金份额特定申购费率</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0.36%</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0.21%</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0.12%</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0.08%</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1200</w:t>
            </w:r>
            <w:r>
              <w:rPr>
                <w:rFonts w:ascii="Times New Roman" w:hAnsi="Times New Roman"/>
                <w:color w:val="000000"/>
                <w:kern w:val="0"/>
                <w:sz w:val="25"/>
                <w:szCs w:val="24"/>
              </w:rPr>
              <w:t>元</w:t>
            </w:r>
          </w:p>
        </w:tc>
      </w:tr>
    </w:tbl>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有关养老金客户实施特定申购费率的具体规定以及活动时间如有变化，敬请投资人留意本公司发布的相关公告。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由各类基金份额赎回人承担，赎回费用的25%归基金财产，其余用于支付登记结算费和其他必要的手续费。投资人赎回各类基金份额收取赎回费用，该费用随基金份额的持有时间递减。其中，对持续持有期少于7日的基金份额持有人收取不低于1.5%的赎回费并全额计入基金财产。</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本基金A/B类基金份额的赎回费率如下：</w:t>
      </w:r>
    </w:p>
    <w:tbl>
      <w:tblPr>
        <w:tblW w:w="5000" w:type="pct"/>
        <w:tblCellMar>
          <w:left w:w="0" w:type="dxa"/>
          <w:right w:w="0" w:type="dxa"/>
        </w:tblCellMar>
        <w:tblLook w:val="0000" w:firstRow="0" w:lastRow="0" w:firstColumn="0" w:lastColumn="0" w:noHBand="0" w:noVBand="0"/>
      </w:tblPr>
      <w:tblGrid>
        <w:gridCol w:w="2167"/>
        <w:gridCol w:w="6503"/>
      </w:tblGrid>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持有期限</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A/B</w:t>
            </w:r>
            <w:r>
              <w:rPr>
                <w:rFonts w:ascii="Times New Roman" w:hAnsi="Times New Roman"/>
                <w:color w:val="000000"/>
                <w:kern w:val="0"/>
                <w:sz w:val="25"/>
                <w:szCs w:val="24"/>
              </w:rPr>
              <w:t>类基金份额赎回费率</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日（含）至</w:t>
            </w:r>
            <w:r>
              <w:rPr>
                <w:rFonts w:ascii="Times New Roman" w:hAnsi="Times New Roman"/>
                <w:color w:val="000000"/>
                <w:kern w:val="0"/>
                <w:sz w:val="25"/>
                <w:szCs w:val="24"/>
              </w:rPr>
              <w:t>1</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0.1%</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w:t>
            </w:r>
            <w:r>
              <w:rPr>
                <w:rFonts w:ascii="Times New Roman" w:hAnsi="Times New Roman"/>
                <w:color w:val="000000"/>
                <w:kern w:val="0"/>
                <w:sz w:val="25"/>
                <w:szCs w:val="24"/>
              </w:rPr>
              <w:t>年至</w:t>
            </w:r>
            <w:r>
              <w:rPr>
                <w:rFonts w:ascii="Times New Roman" w:hAnsi="Times New Roman"/>
                <w:color w:val="000000"/>
                <w:kern w:val="0"/>
                <w:sz w:val="25"/>
                <w:szCs w:val="24"/>
              </w:rPr>
              <w:t>2</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0.05%</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r>
              <w:rPr>
                <w:rFonts w:ascii="Times New Roman" w:hAnsi="Times New Roman"/>
                <w:color w:val="000000"/>
                <w:kern w:val="0"/>
                <w:sz w:val="25"/>
                <w:szCs w:val="24"/>
              </w:rPr>
              <w:t>年以上</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0.0%</w:t>
            </w:r>
          </w:p>
        </w:tc>
      </w:tr>
    </w:tbl>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本基金C/D类基金份额的赎回费率如下：</w:t>
      </w:r>
    </w:p>
    <w:tbl>
      <w:tblPr>
        <w:tblW w:w="5000" w:type="pct"/>
        <w:tblCellMar>
          <w:left w:w="0" w:type="dxa"/>
          <w:right w:w="0" w:type="dxa"/>
        </w:tblCellMar>
        <w:tblLook w:val="0000" w:firstRow="0" w:lastRow="0" w:firstColumn="0" w:lastColumn="0" w:noHBand="0" w:noVBand="0"/>
      </w:tblPr>
      <w:tblGrid>
        <w:gridCol w:w="2167"/>
        <w:gridCol w:w="6503"/>
      </w:tblGrid>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持有期限</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C/D</w:t>
            </w:r>
            <w:r>
              <w:rPr>
                <w:rFonts w:ascii="Times New Roman" w:hAnsi="Times New Roman"/>
                <w:color w:val="000000"/>
                <w:kern w:val="0"/>
                <w:sz w:val="25"/>
                <w:szCs w:val="24"/>
              </w:rPr>
              <w:t>类基金份额赎回费率</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日以上（含）</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根据法律法规及基金合同的规定调整基金份额的申购费率和赎回费率，最新的申购费率和赎回费率在更新的招募说明书中列示。费率如发生变更，基金管理人最迟应于新的费率开始实施日前依照《信息披露办法》的有关规定在指定媒介上公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（七）申购和赎回的数额和价格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份额余额的处理方式：场外申购时，申购的有效份额为按实际确认的申购金额在扣除相应的费用后，以申请当日A/B/D类基金份额净值为基准计算，四舍五入保留到小数点后两位，由此误差产生的收益或损失由基金财产承担；场内申购时，申购的有效份额为按实际确认的申购金额在扣除相应的费用后，以申请当日A/B类基金份额净值为基准计算，保留到整数位，非整数份额部分对应金额返回投资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的处理方式：赎回金额为按实际确认的各类基金份额的有效赎回份额乘以申请当日该类基金份额净值并扣除相应的费用，四舍五入保留到小数点后两位，由此误差产生的收益或损失由基金财产承担。</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w:t>
      </w:r>
      <w:r w:rsidR="00054DA8">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8.75pt;height:65.25pt">
            <v:imagedata r:id="rId15" o:title="1521256610242020828"/>
          </v:shape>
        </w:pic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例一：某投资人投资4万元申购本基金的A类基金份额，申购费率为0.8%，假设申购当日A/B类基金份额净值为1.0400元，则其可得到的申购份额为：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申购总金额＝40,000元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净申购金额=40,000/（1+0.8%）=39,682.54元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申购费用=40,000-39,682.54=317.46元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申购份额=（40,000-317.46）/1.0400=38,156.29份</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如果投资人是场内申购，申购份额为38,156份，其余0.29份对应金额返回给投资人。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（2）B类基金份额的申购</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w:t>
      </w:r>
      <w:r w:rsidR="00054DA8">
        <w:rPr>
          <w:rFonts w:ascii="宋体" w:hAnsi="宋体"/>
          <w:kern w:val="0"/>
          <w:sz w:val="24"/>
        </w:rPr>
        <w:pict>
          <v:shape id="_x0000_i1026" type="#_x0000_t75" style="width:288.75pt;height:65.25pt">
            <v:imagedata r:id="rId16" o:title="1521256610242020828"/>
          </v:shape>
        </w:pic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当投资人提出赎回时，后端认购费用的计算方法为：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后端申购费用＝赎回份额×T日A/B类基金份额净值×后端申购费率</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例二：某投资人投资4万元申购本基金的B类基金份额，假设申购当日A/B类基金份额净值为1.0400元，则其可得到的申购份额为：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申购份额＝40,000/1.0400＝38,461.54份</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即：投资人投资4万元申购本基金的B类基金份额，假设申购当日A/B类基金份额净值为1.0400元，则可得到38,461.54份B类基金份额，但其在赎回时需根据其持有时间按对应的后端申购费率交纳后端申购费用。</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（3）C类基金份额的申购</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如果投资人选择申购C类基金份额，则申购份额的计算方法如下：</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例三：某投资人投资4万元申购本基金的C类基金份额，假设申购当日C类基金份额净值为1.0400元，则其可得到的申购份额为：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申购份额＝40,000/1.0400＝38,461.54份</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即：投资人投资4万元申购本基金的C类基金份额，假设申购当日C类基金份额净值为1.0400元，则其可得到38,461.54 份C类基金份额。</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（4）D类基金份额的申购</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如果投资者选择申购D类基金份额，则申购份额的计算方法如下：</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申购总金额=申请总金额</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申购份额=净申购金额/T日D类基金份额净值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例四：某投资者（非养老金客户）投资10万元申购本基金的D类基金份额，假设申购当日D类基金份额净值为1.0400元，申购费率为0.9%，则其可得到的申购份额为：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净申购金额=100,000/（1+0.9%）=99,108.03元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申购费用=100,000-99,108.03=891.97元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申购份额=99,108.03/1.0400=95,296.18份</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即：某投资者（非养老金客户）投资10万元申购本基金D类基金份额，假设申购当日D类基金份额净值为1.0400元，则其可得到95,296.18份D类基金份额。</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赎回金额为按实际确认的各类基金份额有效赎回份额乘以当日该类基金份额净值并扣除相应的费用，赎回金额单位为元，计算结果保留到小数点后两位，第三位四舍五入。</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（1）A类基金份额的赎回</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如果投资人赎回A类基金份额，则赎回金额的计算方法如下：</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赎回费用=赎回份额×T日A/B类基金份额净值×赎回费率</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赎回金额=赎回份额×T日A/B类基金份额净值-赎回费用</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例五：某投资人赎回1万份A类基金份额，对应的赎回费率为0.10%，假设赎回当日A/B类基金份额净值是1.0160元，则其可得到的赎回金额为：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 = 10,000×1.0160×0.10%＝10.16元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 = 10,000×1.0160-10.16＝10,149.84元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即：投资人赎回本基金1万份A类基金份额，假设赎回当日A/B类基金份额净值是1.0160元，则其可得到的赎回金额为10,149.84元。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（2）B类基金份额的赎回</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如果投资人赎回B类基金份额，则赎回金额的计算方法如下：</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赎回总额＝赎回份额×T日A/B类基金份额净值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后端认（申）购费用＝赎回份额×认（申）购日A/B类基金份额净值×后端认（申）购费率</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赎回费用＝赎回总额×赎回费率</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赎回金额＝赎回总额－后端认（申）购费用－赎回费用</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例六：某投资人赎回1万份B类基金份额，对应的赎回费率为0.05%，假设赎回当日A/B类基金份额净值是1.0160元，投资人对应的后端申购费是0.6%，申购时的A/B类基金份额净值为1.0100元，则其可得到的赎回金额为：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赎回总额=10,000×1.0160=10,160元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后端申购费用=10,000×1.0100×0.6%=60.60元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赎回费用=10,160×0.05%=5.80元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赎回金额=10,160-60.60-5.80=10,093.60元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人赎回本基金1万份B类基金份额，对应的赎回费率为0.05%，假设赎回当日A/B类基金份额净值是1.0160元，投资人对应的后端申购费是0.6%，申购时的A/B类基金份额净值为1.0100元，则其可得到的赎回金额为10,093.60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（3）C类基金份额的赎回</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投资人赎回C类基金份额，赎回金额的计算方法如下：</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赎回金额=赎回份数×赎回当日C类基金份额净值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例七：某投资人赎回本基金1万份C类基金份额，持有期限为30日，对应的赎回费率为0，假设赎回当日C类基金份额净值是1.2500元，则其可得到的赎回金额为：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赎回费用=10,000×1.2500×0＝0元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赎回金额=10,000×1.2500-0=12,500 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即：投资人赎回本基金1万份C类基金份额，对应的赎回费率为0，假设赎回当日C类基金份额净值是1.2500元，则其可得到的赎回金额为12,500元。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（4）D类基金份额的赎回</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投资人赎回D类基金份额，赎回金额的计算方法如下：</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赎回金额=赎回份数×赎回当日D类基金份额净值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例八：某投资人赎回本基金1万份D类基金份额，持有期限为30日，对应的赎回费率为0，假设赎回当日D类基金份额净值是1.2500元，则其可得到的赎回金额为：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赎回费用=10,000×1.2500×0＝0元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赎回金额=10,000×1.2500-0=12,500 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即：投资人赎回本基金1万份D类基金份额，对应的赎回费率为0，假设赎回当日D类基金份额净值是1.2500元，则其可得到的赎回金额为12,500元。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A/B类基金份额净值＝A/B类基金份额的基金资产净值/发售在外的A/B类基金份额总数。</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C类基金份额净值＝C类基金份额的基金资产净值/发售在外的C类基金份额总数。</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D类基金份额净值＝D类基金份额的基金资产净值/发售在外的D类基金份额总数。</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本基金不同类别基金份额T日的基金份额净值在当天收市后分别计算，并在T＋1日分别公告。遇特殊情况，经中国证监会同意，可以适当延迟计算或公告。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（八）拒绝或暂停申购的情形及处理方式</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2、证券交易场所在交易时间非正常停市，导致基金管理人无法计算当日的基金资产净值；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3、发生基金合同规定的暂停基金资产估值情况；</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4、基金管理人认为接受某笔或某些申购申请可能会影响或损害现有基金份额持有人利益时；</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5、基金财产规模过大，使基金管理人无法找到合适的投资品种，或其他可能对基金业绩产生负面影响，从而损害现有基金份额持有人利益的情形；</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6.当前一估值日基金资产净值50%以上的资产出现无可参考的活跃市场价格且采用估值技术仍导致公允价值存在重大不确定性时，经与基金托管人协商确认后，基金管理人应当暂停接受基金申购申请。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7.基金管理人接受某笔或者某些申购申请有可能导致单一投资者持有基金份额的比例超过50%，或者变相规避50%集中度的情形。出现上述情形时，基金管理人有权将上述申购申请全部或部分确认失败。</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8、法律法规规定或中国证监会认定的其他可暂停申购的情形。</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发生上述第1项至第3项以及第5项、第6项、第8项所述情形时，基金管理人应当根据有关规定在指定媒介上刊登暂停申购公告。如果投资人的申购申请被拒绝，</w:t>
      </w:r>
      <w:r>
        <w:rPr>
          <w:rFonts w:ascii="宋体" w:hAnsi="宋体"/>
          <w:sz w:val="24"/>
        </w:rPr>
        <w:lastRenderedPageBreak/>
        <w:t>被拒绝的申购款项将全额退还投资人。在暂停申购的情况消除时，基金管理人应及时恢复申购业务的办理。</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（九）暂停赎回或者延缓支付赎回款项的情形及处理方式</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2、证券交易场所交易时间非正常停市，导致基金管理人无法计算当日基金资产净值；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3、连续两个或两个以上开放日发生巨额赎回；</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4、发生基金合同规定的暂停基金资产估值情况；</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6、法律法规规定或中国证监会认定的其他情形。</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时，基金管理人应在当日报中国证监会备案，已接受的赎回申请，基金管理人应足额支付；如暂时不能足额支付，应将可支付部分按单个账户申请量占申请总量的比例分配给赎回申请人，未支付部分可延期支付，并以后续开放日的各类基金份额净值为依据计算赎回金额，若连续两个或两个以上开放日发生巨额赎回，延期支付最长不得超过20个工作日，并在指定媒介上公告。投资人在申请赎回时可事先选择将当日可能未获受理部分予以撤销。在暂停赎回的情况消除时，基金管理人应及时恢复赎回业务的办理并予以公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暂停基金的赎回，基金管理人应根据《信息披露办法》的有关规定及时在指定媒介上刊登暂停赎回公告。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（十）巨额赎回的情形及处理方式</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单个开放日内的基金净赎回申请份额（赎回申请份额总数加上基金转换中转出申请份额份额总数扣除申购申请份额总数及基金转换中转入申请份额总数后的余额）超过上一日基金总份额的10%时，即认为发生了巨额赎回。</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当基金出现巨额赎回时，基金管理人可以根据本基金当时的资产组合状况决定</w:t>
      </w:r>
      <w:r>
        <w:rPr>
          <w:rFonts w:ascii="宋体" w:hAnsi="宋体"/>
          <w:sz w:val="24"/>
        </w:rPr>
        <w:lastRenderedPageBreak/>
        <w:t>全额赎回或部分延期赎回。</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各类基金份额净值为基础计算赎回金额，以此类推，直到全部赎回为止。如投资人在提交赎回申请时未作明确选择，投资人未能赎回部分作自动延期赎回处理。</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（3）当出现巨额赎回时，基金转换中转出份额的申请的处理方式遵照相关的业务规则及届时开展转换业务的公告。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（4）暂停赎回：连续2日以上(含本数)发生巨额赎回，如基金管理人认为有必要，可暂停接受基金的赎回申请；已经接受的赎回申请可以延缓支付赎回款项，但不得超过20个工作日，并应当在指定媒介上进行公告。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当发生巨额赎回并延期赎回时，基金管理人应通过邮寄、传真、刊登公告或者通知代销机构代为告知等方式，在3个交易日内通知基金份额持有人，说明有关处理方法，并在2日内在指定媒介上刊登公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（十一）暂停申购或赎回的公告和重新开放申购或赎回的公告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1、发生上述暂停申购或赎回情况的，基金管理人应在规定期限内在指定媒介</w:t>
      </w:r>
      <w:r>
        <w:rPr>
          <w:rFonts w:ascii="宋体" w:hAnsi="宋体"/>
          <w:sz w:val="24"/>
        </w:rPr>
        <w:lastRenderedPageBreak/>
        <w:t>上刊登暂停公告。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2、如发生暂停的时间为1日，基金管理人应于重新开放日，在指定媒介上刊登基金重新开放申购或赎回公告，并公布最近1个开放日的各类基金份额净值。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3、如发生暂停的时间超过1日，暂停结束，基金重新开放申购或赎回时，基金管理人应提前2日在指定媒介上刊登基金重新开放申购或赎回公告，并公告最近1个开放日的各类基金份额净值。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（十二）转托管</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目前实行份额托管的交易制度。基金份额持有人可办理已持有基金份额在不同销售机构之间的转托管，对A类基金份额而言包括在上证所场内不同会员营业部之间进行转指定，也包括在上证所场内系统和场外系统之间进行跨市场转托管。</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进行份额转托管时，基金份额持有人可以将其某个交易账户下的基金份额全部或部分转托管。办理转托管业务的基金份额持有人需在转出方办理基金份额转出手续，在转入方办理基金账户注册手续。</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（十三）定期定额投资计划</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本基金2008年5月7日刊登公告自2008年5月9日起开通A/B类、C类基金份额的定期定额投资计划业务，本基金2025年3月28日刊登公告自2025年3月31日起增设D类基金份额并开通D类基金份额的定期定额投资计划业务，具体开通销售机构名单和业务规则参见相关公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（十四）基金的非交易过户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结算机构受理继承、捐赠和司法强制执行而产生的非交易过户以及登记结算机构认可、符合法律法规的其它非交易过户。无论在上述何种情况下，接受划转的主体必须是依法可以持有本基金基金份额的投资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w:t>
      </w:r>
      <w:r>
        <w:rPr>
          <w:rFonts w:ascii="宋体" w:hAnsi="宋体"/>
          <w:sz w:val="24"/>
        </w:rPr>
        <w:lastRenderedPageBreak/>
        <w:t>额强制划转给其他自然人、法人或其他组织。办理非交易过户必须提供基金登记结算机构要求提供的相关资料，对于符合条件的非交易过户申请按基金登记结算机构的规定办理，并按基金登记结算机构规定的标准收费。</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（十五）基金的冻结和解冻</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基金登记结算机构只受理国家有权机关依法要求的基金份额的冻结与解冻，以及登记结算机构认可、符合法律法规的其他情况下的基金份额的冻结与解冻。</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（十六）实施侧袋机制期间本基金的申购与赎回</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B439CC" w:rsidRDefault="0045238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10E5A" w:rsidRDefault="00452386">
      <w:pPr>
        <w:pStyle w:val="1"/>
        <w:snapToGrid w:val="0"/>
        <w:spacing w:beforeLines="0" w:before="240" w:after="240"/>
        <w:rPr>
          <w:rFonts w:ascii="宋体" w:hAnsi="宋体"/>
          <w:szCs w:val="30"/>
        </w:rPr>
      </w:pPr>
      <w:bookmarkStart w:id="12" w:name="_Toc234241362"/>
      <w:r>
        <w:rPr>
          <w:rFonts w:ascii="Times New Roman" w:hAnsi="Times New Roman"/>
          <w:sz w:val="30"/>
        </w:rPr>
        <w:lastRenderedPageBreak/>
        <w:t>九、基金的转换</w:t>
      </w:r>
      <w:bookmarkEnd w:id="12"/>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（一）基金转换</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基金转换是指开放式基金份额持有人将其持有某只基金的部分或全部份额转换为该基金其他份额（如有）或同一基金管理人管理的另一只开放式基金份额。基金转换只能在同一销售机构进行。</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（二）转换业务办理时间</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2008年5月22日刊登公告自2008年5月23日起开放A/B类、C类基金份额的日常转换业务，本基金2025年3月28日刊登公告自2025年3月31日起增设D类基金份额并开通D类基金份额的日常转换业务。本基金2026年3月3日刊登公告自2026年3月3日起开放开通同一基金不同类别基金份额转换业务。</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（三）基金转换的程序</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（四）基金转换的数额限制</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基金转换以份额为单位进行申请，申请转换份额精确到小数点后两位，小数点后两位以后的部分四舍五入，误差部分归基金财产。</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（五）基金转换费用</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转出基金的赎回费用及归入基金资产的比例按照各基金最新的更新招募说明书及相关公告规定的赎回费率和计费方式收取。</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w:t>
      </w:r>
      <w:r>
        <w:rPr>
          <w:rFonts w:ascii="宋体" w:hAnsi="宋体"/>
          <w:sz w:val="24"/>
        </w:rPr>
        <w:lastRenderedPageBreak/>
        <w:t>的后端申购费；从后端申购费用高的基金向后端申购费用低的基金或不收取申购费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6、基金管理人可以根据法律法规及基金合同的规定对上述收费方式和费率进行调整，并应于调整后的收费方式和费率在实施前依照《信息披露办法》的有关规定在中国证监会规定媒介上公告。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（六）基金转换份额的计算公式</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w:t>
      </w:r>
      <w:r>
        <w:rPr>
          <w:rFonts w:ascii="宋体" w:hAnsi="宋体"/>
          <w:sz w:val="24"/>
        </w:rPr>
        <w:lastRenderedPageBreak/>
        <w:t>五入，误差部分归基金财产。</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w:t>
      </w:r>
      <w:r>
        <w:rPr>
          <w:rFonts w:ascii="宋体" w:hAnsi="宋体"/>
          <w:sz w:val="24"/>
        </w:rPr>
        <w:lastRenderedPageBreak/>
        <w:t>元，交银货币的基金份额净值为1.00元。若该投资者将100,000份交银货币A级基金份额转换为交银增利A类基金份额，则转入确认的交银增利A类基金份额为：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w:t>
      </w:r>
      <w:r>
        <w:rPr>
          <w:rFonts w:ascii="宋体" w:hAnsi="宋体"/>
          <w:sz w:val="24"/>
        </w:rPr>
        <w:lastRenderedPageBreak/>
        <w:t>一年半，转换申请当日交银先锋的A类基金份额净值为1.2500元，交银货币的基金份额净值为1.00元。若该投资者将100,000份交银先锋后端A类基金份额转换为交银货币，则转入交银货币的基金份额为：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（七）业务规则</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代理的同一基金管理人管理的、在同一注册登记机构处注册登记的基金。投资人办理基金转换业务时，转出方的基金必须处于可赎回状态，转入方的基金必须处于可</w:t>
      </w:r>
      <w:r>
        <w:rPr>
          <w:rFonts w:ascii="宋体" w:hAnsi="宋体"/>
          <w:sz w:val="24"/>
        </w:rPr>
        <w:lastRenderedPageBreak/>
        <w:t>申购状态。</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货币市场基金、债券基金C类基金份额与其他基金之间的转换不受上述收费模式的限制。</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（八）暂停基金转换</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情形和公告的有关规定一般也适用于暂停基金转换，具体暂停或恢复基金转换的相关业务请详见届时本基金管理人发布的相关公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单个开放日，基金净赎回申请份额（该基金赎回申请总份额加上基金转换中转出申请总份额后扣除申购申请总份额及基金转换中转入申请总份额后的余额）超过上一日基金总份额的10%时，即认为发生了巨额赎回。发生巨额赎回时，基金转出与基金赎回具有相同的优先级，基金管理人可根据基金资产组合情况，决定全额转出或部分转出，并且对于基金转出和基金赎回，将采取相同的比例确认；但在转出申请得到部分确认的情况下，未确认部分的转出申请将自动予以撤销，不再视为下一开放日的基金转换申请。</w:t>
      </w:r>
    </w:p>
    <w:p w:rsidR="00B439CC" w:rsidRDefault="0045238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10E5A" w:rsidRDefault="00452386">
      <w:pPr>
        <w:pStyle w:val="1"/>
        <w:snapToGrid w:val="0"/>
        <w:spacing w:beforeLines="0" w:before="240" w:after="240"/>
        <w:rPr>
          <w:rFonts w:ascii="宋体" w:hAnsi="宋体"/>
          <w:szCs w:val="30"/>
        </w:rPr>
      </w:pPr>
      <w:bookmarkStart w:id="13" w:name="_Toc234241363"/>
      <w:r>
        <w:rPr>
          <w:rFonts w:ascii="Times New Roman" w:hAnsi="Times New Roman"/>
          <w:sz w:val="30"/>
        </w:rPr>
        <w:lastRenderedPageBreak/>
        <w:t>十、基金的投资</w:t>
      </w:r>
      <w:bookmarkEnd w:id="13"/>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 投资理念</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收益是源于对风险的合理预期和有效管理。本基金在坚持一贯的价值投资理念基础上，通过专业化的研究分析，追求和挖掘经过有效风险管理的持续投资收益。该理念至少包含以下三方面的含义：</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1、风险与收益是匹配的；</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2、风险又是可预期和管理的；</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3、通过对风险进行有效预期和管理，追求风险调整后的稳健收益。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（二）投资目标</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根据宏观经济运行状况和金融市场的运行趋势，自上而下进行宏观分析，自下而上精选个券，在控制信用风险、利率风险、流动性风险前提下，主要通过投资承担一定信用风险、具有较高息票率的债券，实现基金资产的长期稳定增长。</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（三）投资范围</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债券、股票、权证以及法律法规或中国证监会允许基金投资的其他金融工具，其中股票投资仅限于参与新股认购和可转债转股获得的股票，权证投资仅限于参与可分离转债申购而获得的权证，即本基金不从二级市场购买股票或权证。本基金通过新股认购策略所认购新发行股票，在其上市后持有时间不超60个交易日，所持可转换债券转股后的股票持有时间不超过5个交易日，通过可转债认购所获得的权证，在其上市后持有时间不超过20个交易日。本基金的投资对象重点为承载一定信用风险、具有较高息票率的债券，包括企业债、公司债、短期融资券、次级债、资产支持证券（含资产收益计划）、可转换债券等以企业为主体发行的债券。如法律法规或监管机构以后允许基金投资的其他品种，基金管理人在履行适当程序后，可以将其纳入投资范围。</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（四）投资对象</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组合比例为：固定收益类资产（包括国债、金融债、央行票据、企业债、公司债、短期融资券、资产支持证券、次级债、可转换债券等）占基金资产的比例为80%-100%，其中次级债、资产支持证券（含资产收益计划）和可转换债</w:t>
      </w:r>
      <w:r>
        <w:rPr>
          <w:rFonts w:ascii="宋体" w:hAnsi="宋体"/>
          <w:sz w:val="24"/>
        </w:rPr>
        <w:lastRenderedPageBreak/>
        <w:t>券占基金资产的比例为0-40%，基金保留的现金以及投资于到期日在一年以内的政府债券的比例合计不低于基金资产净值的5%，其中现金不包括结算备付金、存出保证金和应收申购款等；股票、权证等资产占基金资产的比例为0-20%，其中权证资产占基金资产净值的比例为0-3%。在基金实际管理过程中，本基金具体配置比例由基金管理人根据中国宏观经济情况和证券市场的阶段性变化做主动调整，以求基金资产在各类资产的投资中达到风险和收益的最佳平衡，但比例不超出基金合同约定的限定范围。</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表一：资产类别和配置比例</w:t>
      </w:r>
    </w:p>
    <w:tbl>
      <w:tblPr>
        <w:tblW w:w="5000" w:type="pct"/>
        <w:tblCellMar>
          <w:left w:w="0" w:type="dxa"/>
          <w:right w:w="0" w:type="dxa"/>
        </w:tblCellMar>
        <w:tblLook w:val="0000" w:firstRow="0" w:lastRow="0" w:firstColumn="0" w:lastColumn="0" w:noHBand="0" w:noVBand="0"/>
      </w:tblPr>
      <w:tblGrid>
        <w:gridCol w:w="2167"/>
        <w:gridCol w:w="6503"/>
      </w:tblGrid>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资产类别</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资产配置比例</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固定收益类资产</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80-100%</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其中：次级债、资产支持证券（含资产收益计划）、可转换债券</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0-40%</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股票、权证</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0-20%</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其中：权证</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0-3%</w:t>
            </w:r>
          </w:p>
        </w:tc>
      </w:tr>
    </w:tbl>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（五）业绩比较基准</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本基金的整体业绩比较基准采用：</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中债企业债总指数</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本基金采用中央国债登记公司编制的中债企业债总指数作为业绩比较基准主要基于以下原因：</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1、中央国债登记公司编制的中债企业债总指数，虽然其编制的时间不长，但其很好地反映了我国企业债券市场整体状况、已经具有较高权威和市场代表性。</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2、该指数科学地反应了我国企业债券市场的变化，投资人可以方便地从国债网、货币网等互联网中获取。</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3、本基金的主要投资对象是承载一定信用风险的企业债券（含公司债、企业短期融资券），因此中央国债登记公司编制的中债企业债总指数是衡量本基金投资业绩的理想基准。</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本基金管理人将视情况经与本基金托管人协商同意后调整本基金的业绩评价基准并报中国证监会备案,并及时公告，但不需要召开基金份额持有人大会。</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（六）投资策略</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将严谨、规范化的基本面研究分析与积极主动的投资风格相结合，在分析和判断宏观经济运行状况和金融市场运行趋势的基础上，动态调整大类金融资产比例，自上而下决定债券组合久期、期限结构配置及债券类别配置；同时在对企业债券进行信用评级的基础上，综合考量企业债券（含公司债、企业短期融资券）的信用评级以及包括其它券种在内的债券流动性、供求关系、收益率水平等因素，自下而上地配置债券类属和精选个券。通过综合运用骑乘操作、套利操作、新股认购等策略，提高投资组合收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1、资产配置策略</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自上而下”的多因素分析决策支持系统，结合定性分析和定量分析，形成对不同类属市场的预测和判断，确定债权类证券、股权类证券和货币市场工具的配置比例，并随着各类证券风险收益特征的相对变化，动态调整类属资产的投资比例，以规避或控制市场风险，提高基金收益率。</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2、久期管理策略</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久期管理策略是债券型基金最基本的投资策略。久期管理策略在本质上是一种自上而下的策略，其目的在于通过合理的久期控制实现对利率风险的有效管理。</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做出判断，密切跟踪CPI、PPI、汇率、M2等利率敏感指标，运用数量化工具，对未来市场利率趋势进行分析与预测，并据此确定合理的债券组合久期。</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具体而言，基金管理人通过以下几方面的分析来确定债券组合的目标久期：</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宏观经济环境分析：通过对宏观经济数据如月度、季度进出口增长率、消费增长率、投资增长率等的跟踪与分析，预测宏观经济运行趋势，合理预期当前经济运行在经济周期中所处的阶段；针对当前的经济运行存在的问题，合理预期中央政府的财政与货币政策取向以及当前利率在利率周期中所处的阶段。</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市场利率变动趋势分析：基于利率周期运行阶段的预期，密切关注月度CPI、PPI等物价指数、准备金比率、货币供应量、信贷、汇率等金融运行数据、投资、贸易顺差、工业增加值等实体经济运行数据以及就业数据等等央行货币政策所监控的目标数据的变化，预测法定利率在时间与空间上的变动与趋势。根据法定利率的变化，分析投资人心理与市场供求关系以及流动性等的变化，合理预期市场利率、债券收益率在时间与空间上的可能变动。</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目标久期分析：根据法定利率与市场利率的变动趋势、所处利率周期的阶段，结合当期的债券收益率水平，确定组合目标久期。原则上，在利率上行通道中，通过缩短目标久期规避利率风险；在利率下行通道中，通过延长目标久期分享债券价格上涨的收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3、企业债投资策略</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企业债投资策略是一种自上而下的利率风险管理与自下而上的信用风险管理相结合的策略，是本基金最主要的投资策略。本基金所指企业债券，包括公司债和企业短期融资券。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通过宏观经济运行、企业发展前景、企业偿债能力、建设项目质量等多重因素的综合考量对企业债券进行信用评级，并在信用评级的基础上，建立企业债债券池；然后基于既定的目标久期、信用利差精选个券进行投资。</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具体而言，主要通过以下几个步骤来对企业债券进行投资管理：</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信用评级分析：本基金首先将企业债划分成短期企业债券（含企业短期融资券）和中长期企业债券（含中长期公司债），分别建立短期企业债券和中长期企业债券的信用评级指标体系，然后再利用信用评级指标体系给发行主体和标的债券打分，给出企业债基于其综合得分的信用评级等级。</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筛选企业债券：本基金将企业债的信用评级分成五级（见下表），而仅将信用评级在3级以上的债券纳入备选债券池（其中国债、央行票据、政策性金融债和银行担保的信用评级为AAA级或等同于AAA级的债券，自动纳入备选债券池）。本基金基金经理可直接按流程、按权限从备选债券池中选择债券进行投资。备选债券池外债券，信用评级为2级的企业债在信用评级没有改善迹象前限制投资，在投资评级出现改善趋势时，可以按流程、按权限少量投资；信用评级为1级的企业债禁止投资。</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信用评级</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综合得分</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定义</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投资建议</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w:t>
            </w:r>
            <w:r>
              <w:rPr>
                <w:rFonts w:ascii="Times New Roman" w:hAnsi="Times New Roman"/>
                <w:color w:val="000000"/>
                <w:kern w:val="0"/>
                <w:sz w:val="25"/>
                <w:szCs w:val="24"/>
              </w:rPr>
              <w:t>90</w:t>
            </w:r>
            <w:r>
              <w:rPr>
                <w:rFonts w:ascii="Times New Roman" w:hAnsi="Times New Roman"/>
                <w:color w:val="000000"/>
                <w:kern w:val="0"/>
                <w:sz w:val="25"/>
                <w:szCs w:val="24"/>
              </w:rPr>
              <w:t>，</w:t>
            </w:r>
            <w:r>
              <w:rPr>
                <w:rFonts w:ascii="Times New Roman" w:hAnsi="Times New Roman"/>
                <w:color w:val="000000"/>
                <w:kern w:val="0"/>
                <w:sz w:val="25"/>
                <w:szCs w:val="24"/>
              </w:rPr>
              <w:t>100</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信用风险小</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可投资</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w:t>
            </w:r>
            <w:r>
              <w:rPr>
                <w:rFonts w:ascii="Times New Roman" w:hAnsi="Times New Roman"/>
                <w:color w:val="000000"/>
                <w:kern w:val="0"/>
                <w:sz w:val="25"/>
                <w:szCs w:val="24"/>
              </w:rPr>
              <w:t>80</w:t>
            </w:r>
            <w:r>
              <w:rPr>
                <w:rFonts w:ascii="Times New Roman" w:hAnsi="Times New Roman"/>
                <w:color w:val="000000"/>
                <w:kern w:val="0"/>
                <w:sz w:val="25"/>
                <w:szCs w:val="24"/>
              </w:rPr>
              <w:t>，</w:t>
            </w:r>
            <w:r>
              <w:rPr>
                <w:rFonts w:ascii="Times New Roman" w:hAnsi="Times New Roman"/>
                <w:color w:val="000000"/>
                <w:kern w:val="0"/>
                <w:sz w:val="25"/>
                <w:szCs w:val="24"/>
              </w:rPr>
              <w:t>90</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信用风险较小</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可投资</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w:t>
            </w:r>
            <w:r>
              <w:rPr>
                <w:rFonts w:ascii="Times New Roman" w:hAnsi="Times New Roman"/>
                <w:color w:val="000000"/>
                <w:kern w:val="0"/>
                <w:sz w:val="25"/>
                <w:szCs w:val="24"/>
              </w:rPr>
              <w:t>60</w:t>
            </w:r>
            <w:r>
              <w:rPr>
                <w:rFonts w:ascii="Times New Roman" w:hAnsi="Times New Roman"/>
                <w:color w:val="000000"/>
                <w:kern w:val="0"/>
                <w:sz w:val="25"/>
                <w:szCs w:val="24"/>
              </w:rPr>
              <w:t>，</w:t>
            </w:r>
            <w:r>
              <w:rPr>
                <w:rFonts w:ascii="Times New Roman" w:hAnsi="Times New Roman"/>
                <w:color w:val="000000"/>
                <w:kern w:val="0"/>
                <w:sz w:val="25"/>
                <w:szCs w:val="24"/>
              </w:rPr>
              <w:t>80</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信用风险中</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可投资</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w:t>
            </w:r>
            <w:r>
              <w:rPr>
                <w:rFonts w:ascii="Times New Roman" w:hAnsi="Times New Roman"/>
                <w:color w:val="000000"/>
                <w:kern w:val="0"/>
                <w:sz w:val="25"/>
                <w:szCs w:val="24"/>
              </w:rPr>
              <w:t>40</w:t>
            </w:r>
            <w:r>
              <w:rPr>
                <w:rFonts w:ascii="Times New Roman" w:hAnsi="Times New Roman"/>
                <w:color w:val="000000"/>
                <w:kern w:val="0"/>
                <w:sz w:val="25"/>
                <w:szCs w:val="24"/>
              </w:rPr>
              <w:t>，</w:t>
            </w:r>
            <w:r>
              <w:rPr>
                <w:rFonts w:ascii="Times New Roman" w:hAnsi="Times New Roman"/>
                <w:color w:val="000000"/>
                <w:kern w:val="0"/>
                <w:sz w:val="25"/>
                <w:szCs w:val="24"/>
              </w:rPr>
              <w:t>60</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信用风险大</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限制投资</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w:t>
            </w:r>
            <w:r>
              <w:rPr>
                <w:rFonts w:ascii="Times New Roman" w:hAnsi="Times New Roman"/>
                <w:color w:val="000000"/>
                <w:kern w:val="0"/>
                <w:sz w:val="25"/>
                <w:szCs w:val="24"/>
              </w:rPr>
              <w:t>0</w:t>
            </w:r>
            <w:r>
              <w:rPr>
                <w:rFonts w:ascii="Times New Roman" w:hAnsi="Times New Roman"/>
                <w:color w:val="000000"/>
                <w:kern w:val="0"/>
                <w:sz w:val="25"/>
                <w:szCs w:val="24"/>
              </w:rPr>
              <w:t>，</w:t>
            </w:r>
            <w:r>
              <w:rPr>
                <w:rFonts w:ascii="Times New Roman" w:hAnsi="Times New Roman"/>
                <w:color w:val="000000"/>
                <w:kern w:val="0"/>
                <w:sz w:val="25"/>
                <w:szCs w:val="24"/>
              </w:rPr>
              <w:t>40</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信用风险很大</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禁止投资</w:t>
            </w:r>
          </w:p>
        </w:tc>
      </w:tr>
    </w:tbl>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3）信用利差分析：鉴于发达国家成熟市场“信用利差之谜”现象的广泛存</w:t>
      </w:r>
      <w:r>
        <w:rPr>
          <w:rFonts w:ascii="宋体" w:hAnsi="宋体"/>
          <w:sz w:val="24"/>
        </w:rPr>
        <w:lastRenderedPageBreak/>
        <w:t>在，信用产品本金损失率对信用利差解释力不高。本基金将根据中国企业债市场处于发展初级阶段，市场效率不高的现状，密切关注供求关系、税收、利率、投资人结构与行为以及市场的深度、广度和制度建设等因素对信用利差的影响，对个券进行有效的信用利差交易。</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4、资产支持证券（含资产收益计划）投资策略</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宏观经济、提前偿还率、资产池结构以及资产池资产所在行业景气变化等因素的研究，预测资产池未来现金流变化；通过研究标的证券发行条款，预测提前偿还率变化对标的证券的久期与收益率的影响，同时密切关注流动性对标的证券收益率的影响。综合运用久期管理、收益率曲线、个券选择以及把握市场交易机会等积极策略，在严格控制风险的情况下，结合信用研究和流动性管理，选择风险调整后收益高的品种进行投资，以期获得长期稳定收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5、可转换债券投资策略</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可转换债券是介于股票和债券之间的投资品种，兼具股性和债性的双重特征。一方面，本基金可转换债券股性的研究将完全依托于公司投研团队对标的股票的研究，在此基础上结合金融工程师的可转债定价模型，充分考虑转债发行后目标转债标的股票股价波动率可能出现的变化，对目标转债的股性进行合理定价。另一方面，对于本基金可转换债券债性的研究，将通过引进公司企业债券信用评级指标体系，对可转换债券的发行主体及标的债券进行信用评级，并在信用评级的基础上对其进行合理定价。通过对标的转债股性与债性的合理定价，力求选择被市场低估的品种，来构建本基金可转换债券的投资组合。</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6、股票投资策略</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本基金股票投资策略包括新股认购策略和可转换债券转股策略。</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（1）新股认购策略</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本基金认为股票一、二级市场之间存在一定的价差是暂时现象，因此，股票投资策略只是一种阶段性投资策略。</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分析影响股票一级市场资金面的相关市场风险收益特征的变化、股票发行政策取向（如扩容节奏、发行市盈率与二级市场市盈率的差距），预测新股一级市场供求关系的变化，并据此进一步预测认购新股中签率和新股的收益率变动趋势；同时，借助公司投资平台行业研究员的研究建议，预测拟认购新股的中签率和认购收益率，确定合理规模的资金、精选个股认购，实现新股认购收益率的最</w:t>
      </w:r>
      <w:r>
        <w:rPr>
          <w:rFonts w:ascii="宋体" w:hAnsi="宋体"/>
          <w:sz w:val="24"/>
        </w:rPr>
        <w:lastRenderedPageBreak/>
        <w:t>大化。</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（2）可转换债券转股策略</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进行可转换债券投资时，面对可能出现可转换债券与正股之间存在套利机会的现象或者出现可转换债券流动性暂时不足的现象，采用可转换债券转股策略，即将持有的可转换债券在转换期内转股抛售，以更好的保护基金投资人利益、实现基金可转换债券投资收益最大化。</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本基金通过新股认购策略所认购新发行股票，在其上市后持有时间不超60个交易日，所持可转换债券转股后的股票持有时间不超过5个交易日；本基金累计持有股票余额不超过基金资产净值的20%。</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7、权证投资策略</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与新股认购策略一样，本基金认为权证投资策略也是一种阶段性投资策略。</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权证投资以权证的市场价值分析为基础，配以权证定价模型寻求其合理估值水平，以主动的科学投资管理为手段，充分考虑权证资产的收益性、流动性及风险收益特征，通过资产配置、品种与类属选择，追求当期稳定的基金资产收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本基金通过可转债认购所获得的权证，在其上市后持有时间不超过20个交易日。</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（七）投资程序</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为了保证整个投资组合计划的顺利贯彻与实施，本基金遵循以下投资决策依据以及具体的决策程序：</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1、投资决策依据</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（1）国家有关法律法规和本基金合同的有关规定；</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（2）宏观经济发展态势、证券市场运行环境和走势；</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（3）投资对象的风险和预期收益的匹配关系，本基金将在承担适度风险的前提下，选择风险和预期收益配比最佳的品种进行投资。</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2、决策和交易机制</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本基金实行投资决策委员会领导下的基金经理小组负责制，投资总监、固定收益部总经理是投资决策委员会的执行代表。</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投资决策委员会、投资总监、固定收益部总经理的主要职责是确定基金的资产配置政策，审批重大单项投资决定等。</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基金经理的主要职责是在投资决策委员会确定的资产配置范围内，构建和调整投资组合，并向中央交易室下达投资指令。</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中央交易室负责交易执行和一线监控。通过严格的交易制度和实时的一线监控功能，保证基金经理的投资指令在合法、合规的前提下得到高效的执行。</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3、投资流程</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投资决策委员会是本基金的最高决策机构，投资决策委员会定期就投资管理业务的重大问题进行讨论。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基金经理、研究员、交易员在投资管理过程中既密切合作，又责任明确，在各自职责内按照业务程序独立工作并合理地相互制衡。</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具体的投资管理流程如下：</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（1）投资决策委员会每月召开投资决策会议，决定基金的资产配置比例和股票、债券的投资重点等；</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（2）研究部策略分析师、固定收益产品分析师、定量分析师各自独立完成相应的研究报告，为投资决策提供依据；</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（3）固定收益部总经理每周召集固定收益业务投资例会，根据投资决策委员会的决定，结合市场和公司基本面的变化，决定具体的投资策略；</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经理依据策略分析师的宏观经济分析和策略建议、固定收益产品分析师的债券市场研究和券种选择、定量分析师的定量投资策略研究，结合本基金产品定位及风险控制的要求，在权限范围内制定具体的投资组合方案；</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（5）基金经理小组根据基金投资组合方案，向中央交易室下达交易指令；</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（6）中央交易室执行基金经理小组的交易指令，对交易情况及时反馈；</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（7）定量分析师负责完成有关投资风险监控报告及内部基金业绩评估报告。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投资决策委员会有权根据市场变化和实际情况的需要，对上述投资管理程序做出调整。</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（八）投资组合限制</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本基金投资组合遵循如下投资限制：</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1、本基金持有一家企业发行的债券，其市值不超过基金资产净值的10%；</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2、本基金持有一家上市公司的股票，其市值不超过基金资产净值的10%；</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3、基金管理人管理的全部基金持有一家公司发行的证券，不超过该证券的10%；</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4、基金管理人管理的全部基金持有的同一权证，不得超过该权证的10%；</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5、本基金进入全国银行间同业市场进行债券回购的资金余额不得超过基金资产净值的40%；</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的投资组合比例为：固定收益类资产（包括国债、金融债、央行票据、企业债、公司债、短期融资券、资产支持证券、次级债、可转换债券等）占基金资产的比例为80%-100%，其中次级债、资产支持证券（含资产收益计划）和可转换债券占基金资产的比例为0-40%；股票、权证等资产占基金资产的比例为0-20%，其中权证资产占基金资产净值的比例为0-3%；</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7、基金保留的现金以及投资于到期日在一年以内的政府债券的比例合计不低于基金资产净值的5%，其中现金不包括结算备付金、存出保证金和应收申购款等;</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8、本基金投资于同一原始权益人的各类资产支持证券的比例，不得超过基金资产净值的10%；</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9、本基金持有的全部资产支持证券，其市值不得超过基金资产净值的20%；</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10、本基金持有的同一（指同一信用级别）资产支持证券的比例，不得超过该资产支持证券规模的10%；</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11、本基金管理人管理的全部基金投资于同一原始权益人的各类资产支持证券，不得超过其各类资产支持证券合计规模的10%；</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12、本基金应投资于信用级别评级为BBB以上（含BBB）的资产支持证券。基金持有资产支持证券期间，如果其信用等级下降、不再符合投资标准，应在评级报告发布之日起3个月内予以全部卖出；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13、基金财产参与股票发行申购，本基金所申报的股票数量不超过拟发行股票公司本次发行股票的总量；</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14、本基金在任何交易日买入权证的总金额，不得超过上一交易日基金资产净值的0.5%；</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15、当本基金所持有的中签未卖出的新股市值占基金资产净值的比例达到或超过18%时，本基金将暂停进行新股申购，当该比例降低到18%以下时方可继续进行新股申购；</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16、当本基金所持有的因网下申购而有锁定期限的股票的未流通市值占基金资产净值比例达到或超过5%时，本基金将暂停申购任何有锁定期的新股，当该比例降低到5%以下时方可继续进行有锁定期的新股申购；</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17、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19、本基金与私募类证券资管产品及中国证监会认定的其他主体为交易对手开展逆回购交易的，可接受质押品的资质要求应当与基金合同约定的投资范围保持一致；</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20、如果法律法规对本基金合同约定投资组合比例限制进行变更的，以变更后的规定为准。法律法规或监管部门取消上述限制，如适用于本基金，则本基金投资不再受相关限制。</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7、12、18、19项外，因证券市场波动、上市公司合并、基金规模变动、股权分置改革中支付对价等基金管理人之外的因素致使基金投资比例不符合上述规定的投资比例的，基金管理人应当在10个交易日内进行调整。法律法规或监管部门另有规定的，从其规定。</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除投资资产配置比例外，基金托管人对基金的投资比例的监督与检查自本基金的基金合同生效之日起开始。</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（九）禁止行为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2、向他人贷款或者提供担保；</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4、买卖其他基金份额，但是国务院另有规定的除外；</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5、向其基金管理人、基金托管人出资或者买卖基金托管人、基金管理人发行的股票或债券；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6、买卖与其基金管理人、基金托管人有控股关系的股东或者与其基金管理人、基金托管人有其他重大利害关系的公司发行的证券或承销期内承销的证券；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7、从事内幕交易、操纵证券交易价格及其他不正当的证券交易活动；</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8、法律法规、中国证监会及基金合同规定禁止的其他活动。</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法律法规或监管部门取消上述禁止性规定，如适用于本基金，则本基金不受相关限制。</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（十）风险收益特征</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债券型基金，在证券投资基金中属于中等风险的品种，其长期平均风险和预期收益高于货币市场基金，低于股票型基金。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（十一）基金管理人代表基金行使股东及债权人权利的处理原则及方法</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1、基金管理人按照国家有关规定代表基金独立行使股东及债权人权利，保护基金份额持有人的利益；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2、不谋求对上市公司的控股，不参与所投资上市公司的经营管理；</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（十二）基金的融资、融券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本基金可以按照国家的有关规定进行融资、融券。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（十三）侧袋机制的实施和投资运作安排</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w:t>
      </w:r>
      <w:r>
        <w:rPr>
          <w:rFonts w:ascii="宋体" w:hAnsi="宋体"/>
          <w:sz w:val="24"/>
        </w:rPr>
        <w:lastRenderedPageBreak/>
        <w:t>定。</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（十四）基金投资组合报告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本基金托管人中国建设银行根据本基金合同规定,于2026年04月20日复核了本报告中的财务指标、净值表现和投资组合报告等内容,保证复核内容不存在虚假记载、误导性陈述或者重大遗漏。</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本报告期为2026年01月01日起至03月31日。本报告财务资料未经审计师审计。</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7,544,561,622.18</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70.58</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7,544,561,622.18</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70.58</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18,000,000.00</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0.17</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45,080,021.87</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0.42</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3,082,437,820.11</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28.83</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10,690,079,464.16</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605,019,479.00</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6.77</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2,560,699,735.67</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28.66</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1,411,355,149.92</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15.80</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450,165,192.34</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5.04</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3,458,758,489.90</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38.71</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469,918,725.27</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5.26</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7,544,561,622.18</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84.44</w:t>
            </w:r>
          </w:p>
        </w:tc>
      </w:tr>
    </w:tbl>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250206</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国开</w:t>
            </w:r>
            <w:r>
              <w:rPr>
                <w:rFonts w:ascii="Times New Roman" w:hAnsi="Times New Roman"/>
                <w:color w:val="000000"/>
                <w:kern w:val="0"/>
                <w:sz w:val="25"/>
                <w:szCs w:val="24"/>
              </w:rPr>
              <w:t>06</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4,000,000</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406,143,123.29</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4.55</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260401</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26</w:t>
            </w:r>
            <w:r>
              <w:rPr>
                <w:rFonts w:ascii="Times New Roman" w:hAnsi="Times New Roman"/>
                <w:color w:val="000000"/>
                <w:kern w:val="0"/>
                <w:sz w:val="25"/>
                <w:szCs w:val="24"/>
              </w:rPr>
              <w:t>农发</w:t>
            </w:r>
            <w:r>
              <w:rPr>
                <w:rFonts w:ascii="Times New Roman" w:hAnsi="Times New Roman"/>
                <w:color w:val="000000"/>
                <w:kern w:val="0"/>
                <w:sz w:val="25"/>
                <w:szCs w:val="24"/>
              </w:rPr>
              <w:t>01</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4,000,000</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401,677,260.27</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4.50</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019785</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国债</w:t>
            </w: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2,999,020</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302,753,944.76</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3.39</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019792</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国债</w:t>
            </w: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3,000,000</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302,265,534.24</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3.38</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250211</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国开</w:t>
            </w: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2,000,000</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201,810,246.58</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2.26</w:t>
            </w:r>
          </w:p>
        </w:tc>
      </w:tr>
    </w:tbl>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9、报告期末本基金投资的国债期货交易情况说明</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本期国债期货投资政策</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报告期末本基金投资的国债期货持仓和损益明细</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无。</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9.3 本期国债期货投资评价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10、投资组合报告附注</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本基金投资的前十名证券的发行主体本期是否出现被监管部门立案调查，或在报告编制日前一年内受到公开谴责、处罚的情形</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2026年03月05日,国家外汇管理局北京市分局公示京汇罚[2026]14号行政处罚决定书,给予中国进出口银行罚没共计221.24万元人民币的行政处罚。</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2025年12月31日,国家金融监督管理总局宁波监管局公示行政处罚决定书,给予中国民生银行股份有限公司220万元人民币的行政处罚。</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2025年10月31日,国家金融监督管理总局公示行政处罚决定书,给予中国民生银行股份有限公司5865万元人民币的行政处罚。</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2025年09月30日,央行公示银罚决字[2025]66号行政处罚决定书,给予国家开发银行123万元人民币的行政处罚。</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2025年09月12日,金融监管总局公示行政处罚决定书,给予中国民生银行股份有限公司590万元人民币的行政处罚。</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2025年09月12日,国家金融监督管理总局公示行政处罚决定书,给予中国进出口银行130万元人民币的行政处罚。</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2025年09月12日,国家金融监督管理总局公示行政处罚决定书,给予恒丰银行股份有限公司6150万元人民币的行政处罚。</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2025年08月01日,国家金融监督管理总局公示行政处罚决定书,给予中国农业发展银行1020万元人民币的行政处罚。</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2025年07月25日,国家外汇管理局北京市分局公示京汇罚[2025]30号行政处罚决定书,给予国家开发银行罚没共计1394.42万元人民币的行政处罚。</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2025年06月27日,国家金融监督管理总局公示行政处罚决定书,给予中国进出口银行1810万元人民币的行政处罚。</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本基金管理人对证券投资决策程序的说明如下：本基金管理人对证券投资特别是重仓证券的投资有严格的投资决策流程控制，对上述主体发行证券的投资决</w:t>
      </w:r>
      <w:r>
        <w:rPr>
          <w:rFonts w:ascii="宋体" w:hAnsi="宋体"/>
          <w:sz w:val="24"/>
        </w:rPr>
        <w:lastRenderedPageBreak/>
        <w:t>策程序符合公司投资制度的规定。</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除上述主体外，本基金投资的前十名证券的其他发行主体本期没有出现被监管部门立案调查，或在报告编制日前一年内受到公开谴责、处罚的情形。</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基金投资的前十名股票是否超出基金合同规定的备选股票库</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97,888.26</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8,001,036.44</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3,074,338,895.41</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3,082,437,820.11</w:t>
            </w:r>
          </w:p>
        </w:tc>
      </w:tr>
    </w:tbl>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10.4 报告期末持有的处于转股期的可转换债券明细</w:t>
      </w:r>
    </w:p>
    <w:tbl>
      <w:tblPr>
        <w:tblW w:w="5000" w:type="pct"/>
        <w:tblCellMar>
          <w:left w:w="0" w:type="dxa"/>
          <w:right w:w="0" w:type="dxa"/>
        </w:tblCellMar>
        <w:tblLook w:val="0000" w:firstRow="0" w:lastRow="0" w:firstColumn="0" w:lastColumn="0" w:noHBand="0" w:noVBand="0"/>
      </w:tblPr>
      <w:tblGrid>
        <w:gridCol w:w="667"/>
        <w:gridCol w:w="2000"/>
        <w:gridCol w:w="2001"/>
        <w:gridCol w:w="2001"/>
        <w:gridCol w:w="2001"/>
      </w:tblGrid>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123158</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宙邦转债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17,632,248.08</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0.20</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127061</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美锦转债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15,564,349.12</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0.17</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118005</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天奈转债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15,446,889.40</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0.17</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127092</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运机转债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13,721,406.53</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0.15</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123254</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亿纬转债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13,249,708.90</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0.15</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110085</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通</w:t>
            </w:r>
            <w:r>
              <w:rPr>
                <w:rFonts w:ascii="Times New Roman" w:hAnsi="Times New Roman"/>
                <w:color w:val="000000"/>
                <w:kern w:val="0"/>
                <w:sz w:val="25"/>
                <w:szCs w:val="24"/>
              </w:rPr>
              <w:t>22</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12,584,356.64</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0.14</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118050</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航宇转债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12,513,028.04</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0.14</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127049</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希望转</w:t>
            </w: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12,280,108.06</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0.14</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123216</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科顺转债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12,080,327.62</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0.14</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113677</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华懋转债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11,051,973.07</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0.12</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118034</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晶能转债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10,670,700.60</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0.12</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111023</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利柏转债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10,195,866.47</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0.11</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113042</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上银转债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10,179,991.72</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0.11</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118020</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芳源转债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9,924,151.03</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0.11</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110081</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闻泰转债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9,808,166.21</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0.11</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113670</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w:t>
            </w:r>
            <w:r>
              <w:rPr>
                <w:rFonts w:ascii="Times New Roman" w:hAnsi="Times New Roman"/>
                <w:color w:val="000000"/>
                <w:kern w:val="0"/>
                <w:sz w:val="25"/>
                <w:szCs w:val="24"/>
              </w:rPr>
              <w:t>23</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8,664,828.88</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0.10</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118051</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皓元转债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8,522,466.56</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0.10</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18</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113056</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重银转债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8,458,913.92</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0.09</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118031</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天</w:t>
            </w:r>
            <w:r>
              <w:rPr>
                <w:rFonts w:ascii="Times New Roman" w:hAnsi="Times New Roman"/>
                <w:color w:val="000000"/>
                <w:kern w:val="0"/>
                <w:sz w:val="25"/>
                <w:szCs w:val="24"/>
              </w:rPr>
              <w:t>23</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8,119,644.76</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0.09</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111018</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华康转债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7,988,674.67</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0.09</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21</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127037</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银轮转债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7,682,243.41</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0.09</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22</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118018</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瑞科转债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7,477,793.05</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0.08</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23</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127103</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东南转债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7,386,024.18</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0.08</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113052</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兴业转债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7,199,889.08</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0.08</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110086</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精工转债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6,931,908.03</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0.08</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26</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118030</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睿创转债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6,819,397.00</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0.08</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27</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132026</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r>
              <w:rPr>
                <w:rFonts w:ascii="Times New Roman" w:hAnsi="Times New Roman"/>
                <w:color w:val="000000"/>
                <w:kern w:val="0"/>
                <w:sz w:val="25"/>
                <w:szCs w:val="24"/>
              </w:rPr>
              <w:t>三峡</w:t>
            </w:r>
            <w:r>
              <w:rPr>
                <w:rFonts w:ascii="Times New Roman" w:hAnsi="Times New Roman"/>
                <w:color w:val="000000"/>
                <w:kern w:val="0"/>
                <w:sz w:val="25"/>
                <w:szCs w:val="24"/>
              </w:rPr>
              <w:t>EB2</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6,756,331.51</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0.08</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28</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127089</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晶澳转债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6,704,536.09</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0.08</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29</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113644</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艾迪转债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6,499,478.28</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0.07</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113666</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爱玛转债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6,055,227.32</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0.07</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31</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123113</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仙乐转债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5,938,555.69</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0.07</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32</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113691</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和邦转债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5,829,755.29</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0.07</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33</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113694</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清源转债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5,727,457.10</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0.06</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34</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113655</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欧</w:t>
            </w:r>
            <w:r>
              <w:rPr>
                <w:rFonts w:ascii="Times New Roman" w:hAnsi="Times New Roman"/>
                <w:color w:val="000000"/>
                <w:kern w:val="0"/>
                <w:sz w:val="25"/>
                <w:szCs w:val="24"/>
              </w:rPr>
              <w:t>22</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5,694,237.68</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0.06</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35</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118035</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国力转债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5,465,023.72</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0.06</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36</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123144</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裕兴转债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5,370,295.01</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0.06</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37</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113652</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伟</w:t>
            </w:r>
            <w:r>
              <w:rPr>
                <w:rFonts w:ascii="Times New Roman" w:hAnsi="Times New Roman"/>
                <w:color w:val="000000"/>
                <w:kern w:val="0"/>
                <w:sz w:val="25"/>
                <w:szCs w:val="24"/>
              </w:rPr>
              <w:t>22</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5,030,900.70</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0.06</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38</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118013</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道通转债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4,994,368.67</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0.06</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39</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123237</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佳禾转债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4,932,075.73</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0.06</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40</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123107</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温氏转债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4,790,120.73</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0.05</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41</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123176</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精测转</w:t>
            </w: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4,441,072.55</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0.05</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42</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113679</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芯能转债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4,424,278.08</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0.05</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43</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113697</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应流转债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3,803,379.59</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0.04</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44</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110087</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天业转债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3,475,708.13</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0.04</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45</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123171</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共同转债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3,408,860.17</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0.04</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46</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127060</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湘佳转债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3,401,804.83</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0.04</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47</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111010</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立昂转债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3,338,785.83</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0.04</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48</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113678</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中贝转债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3,266,755.85</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0.04</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49</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123168</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惠云转债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3,160,998.09</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0.04</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50</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123109</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昌红转债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3,124,200.00</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51</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113647</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禾丰转债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3,099,931.42</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52</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123247</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万凯转债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2,859,596.49</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53</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118056</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路维转债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2,780,203.19</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54</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127070</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大中转债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2,754,376.85</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55</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111015</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东亚转债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2,735,998.21</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56</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123258</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胜蓝转</w:t>
            </w:r>
            <w:r>
              <w:rPr>
                <w:rFonts w:ascii="Times New Roman" w:hAnsi="Times New Roman"/>
                <w:color w:val="000000"/>
                <w:kern w:val="0"/>
                <w:sz w:val="25"/>
                <w:szCs w:val="24"/>
              </w:rPr>
              <w:t>02</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2,717,432.14</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57</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127108</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太能转债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2,616,270.14</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58</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113673</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岱美转债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2,511,399.75</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59</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123129</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锦鸡转债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2,448,119.99</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60</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127079</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华亚转债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2,421,009.28</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61</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113053</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隆</w:t>
            </w:r>
            <w:r>
              <w:rPr>
                <w:rFonts w:ascii="Times New Roman" w:hAnsi="Times New Roman"/>
                <w:color w:val="000000"/>
                <w:kern w:val="0"/>
                <w:sz w:val="25"/>
                <w:szCs w:val="24"/>
              </w:rPr>
              <w:t>22</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2,391,477.24</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62</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113615</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金诚转债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2,385,321.07</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63</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118049</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汇成转债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2,327,356.24</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64</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127090</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兴瑞转债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2,209,201.73</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123165</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回天转债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2,202,469.78</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66</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128127</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文科转债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2,202,467.35</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67</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127068</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顺博转债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2,155,606.05</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68</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111017</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蓝天转债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2,083,111.32</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69</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123211</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阳谷转债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1,949,291.31</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70</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110092</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三房转债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1,912,666.29</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71</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118025</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奕瑞转债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1,841,341.26</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72</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123133</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佩蒂转债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1,827,816.53</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73</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118010</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洁特转债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1,823,356.25</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74</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113636</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甬金转债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1,753,062.22</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75</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111005</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富春转债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1,747,195.96</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76</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118042</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奥维转债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1,579,330.74</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77</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123071</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天能转债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1,414,115.01</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78</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113048</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晶科转债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1,413,592.47</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79</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127024</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盈峰转债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1,393,466.44</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80</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111009</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盛泰转债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1,268,254.97</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81</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113686</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泰瑞转债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1,225,066.53</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82</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128134</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鸿路转债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1,074,293.51</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83</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113625</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江山转债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920,720.35</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84</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111000</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起帆转债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835,578.30</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85</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123104</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卫宁转债</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591,324.43</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r>
    </w:tbl>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10.5 报告期末前十名股票中存在流通受限情况的说明</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10.6 投资组合报告附注的其他文字描述部分</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452386"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210E5A" w:rsidRDefault="00452386">
      <w:pPr>
        <w:pStyle w:val="1"/>
        <w:snapToGrid w:val="0"/>
        <w:spacing w:beforeLines="0" w:before="240" w:after="240"/>
        <w:rPr>
          <w:rFonts w:ascii="宋体" w:hAnsi="宋体"/>
          <w:szCs w:val="30"/>
        </w:rPr>
      </w:pPr>
      <w:bookmarkStart w:id="14" w:name="_Toc234241364"/>
      <w:r>
        <w:rPr>
          <w:rFonts w:ascii="Times New Roman" w:hAnsi="Times New Roman"/>
          <w:sz w:val="30"/>
        </w:rPr>
        <w:lastRenderedPageBreak/>
        <w:t>十一、基金的业绩</w:t>
      </w:r>
      <w:bookmarkEnd w:id="14"/>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下述基金业绩指标不包括持有人认购或交易基金的各项费用，计入费用后实际收益水平要低于所列数字。</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（1）交银增利债券A/B</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210E5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210E5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1.15%</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0.10%</w:t>
            </w:r>
          </w:p>
        </w:tc>
      </w:tr>
      <w:tr w:rsidR="00210E5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4.81%</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-1.94%</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6.75%</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r>
      <w:tr w:rsidR="00210E5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5.32%</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1.15%</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4.17%</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r>
      <w:tr w:rsidR="00210E5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3.53%</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2.38%</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1.15%</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r>
      <w:tr w:rsidR="00210E5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-1.15%</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-1.44%</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r>
      <w:tr w:rsidR="00210E5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9.15%</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1.12%</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8.03%</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r>
      <w:tr w:rsidR="00210E5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4.86%</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-1.17%</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6.03%</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r>
      <w:tr w:rsidR="00210E5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6.90%</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1.13%</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5.77%</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r>
      <w:tr w:rsidR="00210E5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7.94%</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2.35%</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5.59%</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r>
      <w:tr w:rsidR="00210E5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-0.26%</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-9.85%</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9.59%</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rsidR="00210E5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-1.72%</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-7.89%</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6.17%</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210E5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2015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9.60%</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1.57%</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8.03%</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r>
      <w:tr w:rsidR="00210E5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2014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19.84%</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0.24%</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5.92%</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13.92%</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r>
      <w:tr w:rsidR="00210E5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2013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0.24%</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0.31%</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-2.96%</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3.20%</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r>
      <w:tr w:rsidR="00210E5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2012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10.74%</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2.90%</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7.84%</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r>
      <w:tr w:rsidR="00210E5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2011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-5.74%</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0.33%</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-0.78%</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-4.96%</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r>
      <w:tr w:rsidR="00210E5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2010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5.57%</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0.35%</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0.10%</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5.06%</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0.25%</w:t>
            </w:r>
          </w:p>
        </w:tc>
      </w:tr>
      <w:tr w:rsidR="00210E5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2009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6.97%</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0.43%</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-3.45%</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10.42%</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r>
      <w:tr w:rsidR="00210E5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2008</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2008</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13.04%</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9.84%</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0.30%</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3.20%</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-0.10%</w:t>
            </w:r>
          </w:p>
        </w:tc>
      </w:tr>
    </w:tbl>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（2）交银增利债券C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210E5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210E5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0.91%</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1.06%</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r>
      <w:tr w:rsidR="00210E5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4.39%</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-1.94%</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6.33%</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r>
      <w:tr w:rsidR="00210E5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4.91%</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1.15%</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3.76%</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r>
      <w:tr w:rsidR="00210E5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3.13%</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2.38%</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0.75%</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r>
      <w:tr w:rsidR="00210E5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-1.55%</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-1.44%</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r>
      <w:tr w:rsidR="00210E5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8.74%</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1.12%</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7.62%</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r>
      <w:tr w:rsidR="00210E5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4.44%</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-1.17%</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5.61%</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r>
      <w:tr w:rsidR="00210E5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6.47%</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1.13%</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5.34%</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r>
      <w:tr w:rsidR="00210E5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7.49%</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2.35%</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5.14%</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r>
      <w:tr w:rsidR="00210E5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-0.69%</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-9.85%</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9.16%</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rsidR="00210E5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-2.13%</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-7.89%</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5.76%</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210E5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2015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9.13%</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1.57%</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7.56%</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r>
      <w:tr w:rsidR="00210E5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2014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19.35%</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0.24%</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5.92%</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13.43%</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r>
      <w:tr w:rsidR="00210E5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2013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0.31%</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-2.96%</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2.75%</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r>
      <w:tr w:rsidR="00210E5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2012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10.24%</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2.90%</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7.34%</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r>
      <w:tr w:rsidR="00210E5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2011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-6.13%</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0.33%</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-0.78%</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-5.35%</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r>
      <w:tr w:rsidR="00210E5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2010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5.11%</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0.35%</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0.10%</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4.60%</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0.25%</w:t>
            </w:r>
          </w:p>
        </w:tc>
      </w:tr>
      <w:tr w:rsidR="00210E5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2009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6.50%</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0.43%</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-3.45%</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9.95%</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r>
      <w:tr w:rsidR="00210E5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2008</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2008</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12.66%</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9.84%</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0.30%</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2.82%</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-0.10%</w:t>
            </w:r>
          </w:p>
        </w:tc>
      </w:tr>
    </w:tbl>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（3）交银增利债券D</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210E5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210E5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1.15%</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0.10%</w:t>
            </w:r>
          </w:p>
        </w:tc>
      </w:tr>
      <w:tr w:rsidR="00210E5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年度（自基金份额类别首次确认起至</w:t>
            </w:r>
            <w:r>
              <w:rPr>
                <w:rFonts w:ascii="Times New Roman" w:hAnsi="Times New Roman"/>
                <w:color w:val="000000"/>
                <w:kern w:val="0"/>
                <w:sz w:val="25"/>
                <w:szCs w:val="24"/>
              </w:rPr>
              <w:t>2025</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3.97%</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0.10%</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-1.19%</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5.16%</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r>
    </w:tbl>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注：本基金的业绩比较基准为中债企业债总指数。</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210E5A" w:rsidRDefault="00452386">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交银施罗德增利债券证券投资基金</w:t>
      </w:r>
    </w:p>
    <w:p w:rsidR="00210E5A" w:rsidRDefault="00452386">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份额累计净值增长率与业绩比较基准收益率的历史走势对比图</w:t>
      </w:r>
    </w:p>
    <w:p w:rsidR="00210E5A" w:rsidRDefault="00452386">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（2008年3月31日至2026年03月31日）</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1．交银增利债券A/B</w:t>
      </w:r>
    </w:p>
    <w:p w:rsidR="00210E5A" w:rsidRDefault="00054DA8">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 id="_x0000_i1027" type="#_x0000_t75" style="width:439.5pt;height:268.5pt">
            <v:imagedata r:id="rId17" o:title="1521256610242020828"/>
          </v:shape>
        </w:pic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2．交银增利债券C</w:t>
      </w:r>
    </w:p>
    <w:p w:rsidR="00210E5A" w:rsidRDefault="00054DA8">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8" type="#_x0000_t75" style="width:439.5pt;height:268.5pt">
            <v:imagedata r:id="rId18" o:title="1521256610242020828"/>
          </v:shape>
        </w:pic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3．交银增利债券D</w:t>
      </w:r>
    </w:p>
    <w:p w:rsidR="00210E5A" w:rsidRDefault="00054DA8">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 id="_x0000_i1029" type="#_x0000_t75" style="width:439.5pt;height:268.5pt">
            <v:imagedata r:id="rId19" o:title="1521256610242020828"/>
          </v:shape>
        </w:pic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注：1、本基金建仓期为自基金合同生效日起的6个月。截至建仓期结束，本基金各项资产配置比例符合基金合同及招募说明书有关投资比例的约定。 　　2、本基金自2025年3月31日起，开始销售D类份额，投资者提交的申购申请于2025年4月1日被确认并将有效份额登记在册。</w:t>
      </w:r>
    </w:p>
    <w:p w:rsidR="00B439CC" w:rsidRDefault="0045238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10E5A" w:rsidRDefault="00452386">
      <w:pPr>
        <w:pStyle w:val="1"/>
        <w:snapToGrid w:val="0"/>
        <w:spacing w:beforeLines="0" w:before="240" w:after="240"/>
        <w:rPr>
          <w:rFonts w:ascii="宋体" w:hAnsi="宋体"/>
          <w:szCs w:val="30"/>
        </w:rPr>
      </w:pPr>
      <w:bookmarkStart w:id="15" w:name="_Toc234241365"/>
      <w:r>
        <w:rPr>
          <w:rFonts w:ascii="Times New Roman" w:hAnsi="Times New Roman"/>
          <w:sz w:val="30"/>
        </w:rPr>
        <w:lastRenderedPageBreak/>
        <w:t>十二、基金的财产</w:t>
      </w:r>
      <w:bookmarkEnd w:id="15"/>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（一）基金资产总值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基金资产总值是指基金拥有的各类有价证券、银行存款本息、基金应收申购款以及其他资产的价值总和。</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（二）基金资产净值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（三）基金财产的账户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以基金名义开立银行存款账户，以基金托管人的名义开立证券交易清算资金的结算备付金账户，并以基金托管人和“交银施罗德增利债券证券投资基金”联名的方式开立基金证券账户，以“交银施罗德增利债券证券投资基金”的名义开立银行间债券托管账户并报中国人民银行备案。开立的基金专用账户与基金管理人、基金托管人、基金代销机构和基金登记结算机构自有的财产账户以及其他基金财产账户相独立。</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（四）基金财产的保管与处分</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独立于基金管理人、基金托管人和代销机构的固有财产，并由基金托管人保管。基金管理人、基金托管人因基金财产的管理、运用或者其他情形而取得的财产和收益归入基金财产。基金管理人、基金托管人可以按基金合同的约定收取管理费、托管费以及其他基金合同约定的费用。基金财产的债权、不得与基金管理人、基金托管人固有财产的债务相抵销，不同基金财产的债权债务，不得相互抵销。基金管理人、基金托管人以其自有资产承担法律责任，其债权人不得对基金财产行使请求冻结、扣押和其他权利。</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除依据《基金法》、基金合同及其他有关规定处分外，基金财产不得被处分。非因基金财产本身承担的债务，不得对基金财产强制执行。</w:t>
      </w:r>
    </w:p>
    <w:p w:rsidR="00B439CC" w:rsidRDefault="0045238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10E5A" w:rsidRDefault="00452386">
      <w:pPr>
        <w:pStyle w:val="1"/>
        <w:snapToGrid w:val="0"/>
        <w:spacing w:beforeLines="0" w:before="240" w:after="240"/>
        <w:rPr>
          <w:rFonts w:ascii="宋体" w:hAnsi="宋体"/>
          <w:szCs w:val="30"/>
        </w:rPr>
      </w:pPr>
      <w:bookmarkStart w:id="16" w:name="_Toc234241366"/>
      <w:r>
        <w:rPr>
          <w:rFonts w:ascii="Times New Roman" w:hAnsi="Times New Roman"/>
          <w:sz w:val="30"/>
        </w:rPr>
        <w:lastRenderedPageBreak/>
        <w:t>十三、基金资产的估值</w:t>
      </w:r>
      <w:bookmarkEnd w:id="16"/>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（一）估值目的</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基金资产估值的目的是客观、准确地反映基金财产是否保值、增值，依据经基金资产估值后确定的基金资产净值计算出的基金份额净值，是计算基金申购与赎回价格的基础。</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（二）估值日</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本基金的估值日为本基金相关的证券交易场所的正常营业日以及国家法律法规规定需要对外披露基金净值的非营业日。</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（三）估值方法</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1.股票估值方法：</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(1)上市流通股票按估值日其所在证券交易所的收盘价估值；估值日无交易的，以最近交易日的收盘价估值。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(2)未上市股票的估值：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1)首次发行未上市的股票，按成本计量；</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2)送股、转增股、配股和公开增发新股等发行未上市的股票，按估值日在证券交易所挂牌的同一股票的市价估值；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3)首次公开发行有明确锁定期的股票，同一股票在交易所上市后，按交易所上市的同一股票的市价估值；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4)非公开发行有明确锁定期的流通受限股票，按监管机构或行业协会有关规定确定公允价值；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任何情况下，基金管理人如采用本项第(1)－(2)小项规定的方法对基金资产进行估值，均应被认为采用了适当的估值方法。但是，如果基金管理人认为按本项第(1)－(2)小项规定的方法对基金资产进行估值不能客观反映其公允价值的，基金管理人可根据具体情况，并与基金托管人商定后，按最能反映公允价值的价格估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(4)国家有最新规定的，按其规定进行估值。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2.债券估值方法：</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交易所市场上市交易或挂牌转让的固定收益品种（另有规定的除外），选取第三方估值机构提供的相应品种当日的估值净价进行估值；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(2)证券交易所市场未实行净价交易的债券按估值日收盘价减去债券收盘价中所含的应收利息得到的净价进行估值，估值日没有交易的，以最近交易日的收盘净价估值；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(3)发行未上市债券采用估值技术确定公允价值，在估值技术难以可靠计量公允价值的情况下，按成本进行后续计量；</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(4)在全国银行间债券市场交易的债券、资产支持证券等固定收益品种，采用估值技术确定公允价值；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(5)同一债券同时在两个或两个以上市场交易的，按债券所处的市场分别估值；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任何情况下，基金管理人如采用本项第(1)－(5)小项规定的方法对基金资产进行估值，均应被认为采用了适当的估值方法。但是，如果基金管理人认为按本项第(1)－(5)小项规定的方法对基金资产进行估值不能客观反映其公允价值的，基金管理人在综合考虑市场成交价、市场报价、流动性、收益率曲线等多种因素基础上形成的债券估值，基金管理人可根据具体情况与基金托管人商定后，按最能反映公允价值的价格估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(7)国家有最新规定的，按其规定进行估值。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3.权证估值方法：</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(1)基金持有的权证，从持有确认日起到卖出日或行权日止，上市交易的权证按估值日在证券交易所挂牌的该权证的收盘价估值；估值日没有交易的，按最近交易日的收盘价估值；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未上市交易的权证采用估值技术确定公允价值；在估值技术难以可靠计量公允价值的情况下，按成本计量；</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任何情况下，基金管理人如采用本项第(1)小项规定的方法对基金资产进行估值，均应被认为采用了适当的估值方法。但是，如果基金管理人认为按本项第(1)小项规定的方法对基金资产进行估值不能客观反映其公允价值的，基金管理人可根据具体情况，并与基金托管人商定后，按最能反映公允价值的价格估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(3)国家有最新规定的，按其规定进行估值。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4.如基金管理人或基金托管人发现基金估值违反基金合同订明的估值方法、程序及相关法律法规的规定或者未能充分维护基金份额持有人利益时，应立即通知对方，共同查明原因，双方协商解决。</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（四）估值对象</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本基金所拥有的股票、权证、债券和银行存款本息、应收款项、其它投资等资产。</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（五）估值程序</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1、各类基金份额净值是按照每个开放日闭市后，基金资产净值除以当日基金份额的余额数量计算，均精确到0.0001元，小数点后第五位四舍五入。国家另有规定的，从其规定。</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每个工作日分别计算本基金各类基金份额的基金资产净值及基金份额净值，并按规定分别公告。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本基金各类基金份额的基金资产估值。基金管理人每个开放日对本基金各类基金份额的基金资产估值后，将该类基金份额的基金份额净值结果发送基金托管人，经基金托管人复核无误后，由基金管理人对外公布。月末、年中和年末估值复核与基金会计账目的核对同时进行。</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（六）估值错误的处理</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基金管理人和基金托管人将采取必要、适当、合理的措施确保基金资产估值的准确性、及时性。当任一类基金份额净值小数点后4位以内(含第4位)发生差错时，视为该类基金份额净值错误。</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本基金合同的当事人应按照以下约定处理：</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1.差错类型</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结算机构、或代销机构、或投资人自身的过错造成差错，导致其他当事人遭受损失的，过错的责任人应当对由于该差错遭受损失的当事人(“受损方”)按下述“差错处理原则”给予赔偿，承担赔偿责任。</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差错的主要类型包括但不限于：资料申报差错、数据传输差错、数据计算差错、系统故障差错、下达指令差错等；对于因技术原因引起的差错，若系同行业现有技术水平不能预见、不能避免、不能克服，则属不可抗力，按照下述规定执</w:t>
      </w:r>
      <w:r>
        <w:rPr>
          <w:rFonts w:ascii="宋体" w:hAnsi="宋体"/>
          <w:sz w:val="24"/>
        </w:rPr>
        <w:lastRenderedPageBreak/>
        <w:t>行。</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由于不可抗力原因造成投资人的交易资料灭失或被错误处理或造成其他差错，因不可抗力原因出现差错的当事人不对其他当事人承担赔偿责任，但因该差错取得不当得利的当事人仍应负有返还不当得利的义务。</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2.差错处理原则</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差错已发生，但尚未给当事人造成损失时，差错责任方应及时协调各方，及时进行更正，因更正差错发生的费用由差错责任方承担；由于差错责任方未及时更正已产生的差错，给当事人造成损失的，由差错责任方承担赔偿责任；若差错责任方已经积极协调，并且有协助义务的当事人有足够的时间进行更正而未更正，则其应当承担相应赔偿责任。差错责任方应对更正的情况向有关当事人进行确认，确保差错已得到更正。</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(2)差错的责任方对有关当事人的直接损失负责，不对间接损失负责，并且仅对差错的有关直接当事人负责，不对第三方负责。</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差错而获得不当得利的当事人负有及时返还不当得利的义务。但差错责任方仍应对差错负责。如果由于获得不当得利的当事人不返还或不全部返还不当得利造成其他当事人的利益损失(“受损方”)，则差错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差错责任方。</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(4)差错调整采用尽量恢复至假设未发生差错的正确情形的方式。</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差错责任方拒绝进行赔偿时，如果因基金管理人过错造成基金财产损失时，基金托管人应为基金的利益向基金管理人追偿，如果因基金托管人过错造成基金财产损失时，基金管理人应为基金的利益向基金托管人追偿。基金管理人和托管人之外的第三方造成基金财产的损失，并拒绝进行赔偿时，由基金管理人负责向差错方追偿；追偿过程中产生的有关费用，应列入基金费用，从基金资产中支付。</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如果出现差错的当事人未按规定对受损方进行赔偿，并且依据法律法规、基金合同或其他规定，基金管理人自行或依据法院判决、仲裁裁决对受损方承担了赔偿责任，则基金管理人有权向出现差错的当事人进行追索，并有权要求其赔偿或补偿由此发生的费用和遭受的损失。</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(7)按法律法规规定的其他原则处理差错。</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3.差错处理程序</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差错被发现后，有关的当事人应当及时进行处理，处理的程序如下：</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(1)查明差错发生的原因，列明所有的当事人，并根据差错发生的原因确定差错的责任方；</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(2)根据差错处理原则或当事人协商的方法对因差错造成的损失进行评估；</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(3)根据差错处理原则或当事人协商的方法由差错的责任方进行更正和赔偿损失；</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(4)根据差错处理的方法，需要修改基金登记结算机构交易数据的，由基金登记结算机构进行更正，并就差错的更正向有关当事人进行确认。</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4.基金份额净值差错处理的原则和方法如下：</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(2)错误偏差达到该类基金份额净值的0.25%时，基金管理人应当通报基金托管人并报中国证监会备案；错误偏差达到该类基金份额净值的0.5%时，基金管理人应当公告。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(3)因基金份额净值计算错误，给基金或基金份额持有人造成损失的，应由基金管理人先行赔付，基金管理人按差错情形，有权向其他当事人追偿。</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(4)基金管理人和基金托管人由于各自技术系统设置而产生的净值计算尾差，以基金管理人计算结果为准。</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(5)前述内容如法律法规或监管机关另有规定的，从其规定处理。</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(七)暂停估值的情形</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1.基金投资所涉及的证券交易市场遇法定节假日或因其他原因暂停营业时；</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2.因不可抗力或其它情形致使基金管理人、基金托管人无法准确评估基金资产价值时；</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3.如果出现基金管理人认为属于紧急事故的任何情况，导致基金管理人不能出售或评估基金资产时；</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4.当特定资产占前一估值日基金资产净值50%以上的，经与基金托管人协商确认后，基金管理人应当暂停估值；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5.中国证监会和基金合同认定的其它情形。</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(八)基金净值的确认</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用于基金信息披露的基金资产净值和各类基金份额净值由基金管理人负责计算，基金托管人负责进行复核。基金管理人应于每个开放日交易结束后计算当日的基金资产净值并发送给基金托管人。基金托管人对净值计算结果复核确认后发送给基金管理人，由基金管理人对基金净值予以公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(九)特殊情况的处理</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1.基金管理人或基金托管人按股票估值方法的第(3)项、债券估值方法的第(6)项或权证估值方法的第(2)项进行估值时，所造成的误差不作为基金资产估值错误处理。</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交易所及登记结算公司发送的数据错误，或国家会计政策变更、市场规则变更等等，基金管理人和基金托管人虽然已经采取必要、适当、合理的措施进行检查，但未能发现错误的，由此造成的基金资产估值错误，基金管理人和基金托管人免除赔偿责任。但基金管理人应当积极采取必要的措施消除由此造成的影响。</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（十）实施侧袋机制期间的基金资产估值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45238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10E5A" w:rsidRDefault="00452386">
      <w:pPr>
        <w:pStyle w:val="1"/>
        <w:snapToGrid w:val="0"/>
        <w:spacing w:beforeLines="0" w:before="240" w:after="240"/>
        <w:rPr>
          <w:rFonts w:ascii="宋体" w:hAnsi="宋体"/>
          <w:szCs w:val="30"/>
        </w:rPr>
      </w:pPr>
      <w:bookmarkStart w:id="17" w:name="_Toc234241367"/>
      <w:r>
        <w:rPr>
          <w:rFonts w:ascii="Times New Roman" w:hAnsi="Times New Roman"/>
          <w:sz w:val="30"/>
        </w:rPr>
        <w:lastRenderedPageBreak/>
        <w:t>十四、基金的收益与分配</w:t>
      </w:r>
      <w:bookmarkEnd w:id="17"/>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（一）基金收益的构成</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1、买卖证券差价；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2、基金投资所得红利、股息、债券利息；</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3、银行存款利息；</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4、已实现的其他合法收入；</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5、持有期间产生的公允价值变动；</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因运用基金财产带来的成本或费用的节约应计入收益。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（二）基金净收益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基金净收益为基金收益扣除按照有关规定可以在基金收益中扣除的费用后的余额。</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（三）基金收益分配原则</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本基金收益分配应遵循下列原则：</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1、由于本基金A类、B类和D类基金份额不收取销售服务费，C类基金份额收取销售服务费，各基金份额类别对应的可分配收益将有所不同，本基金同一基金份额类别内的每一份基金份额享有同等分配权；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收益分配时所发生的银行转账或其他手续费用由投资人自行承担。当投资人的现金红利小于一定金额，不足以支付银行转账或其他手续费用时，基金登记结算机构可将投资人的现金红利按红利发放日的基金份额净值自动转为对应类别基金份额；</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3、本基金每年收益分配次数最多为12次，基金年度收益分配比例不低于年度可分配收益的90%；</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4、若基金合同生效不满3个月则可不进行收益分配；</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收益分配方式分为两种：现金分红与红利再投资，投资人可选择现金红利或将现金红利按红利除息日的基金份额净值自动转为对应类别基金份额进行再投资；若投资人不选择，本基金默认的收益分配方式是现金分红；</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可对各类基金份额分别选择不同的分红方式。选择采取红利再投资形式的，同一类别基金份额的分红资金将按除息日该类别的基金份额净值转成相应的同一类别的基金份额，持有A/B/D类基金份额的投资人选择红利再投</w:t>
      </w:r>
      <w:r>
        <w:rPr>
          <w:rFonts w:ascii="宋体" w:hAnsi="宋体"/>
          <w:sz w:val="24"/>
        </w:rPr>
        <w:lastRenderedPageBreak/>
        <w:t>资，红利再投资的份额免收申购费；</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7、基金投资当期出现净亏损，则不进行收益分配；</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8、基金当期收益应先弥补上期亏损后，方可进行当期收益分配；</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9、基金收益分配后各类基金份额净值不能低于初始面值；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10、在符合有关基金分红条件的前提下，本基金收益每年至少分配两次；</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11、法律法规或监管机构另有规定的从其规定。</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（四）收益分配方案</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基金收益分配方案中应载明基金收益分配对象、分配时间、分配数额及比例、分配方式、支付方式等内容。由于不同基金份额类别对应的可分配收益不同，基金管理人可相应制定不同的收益分配方案。</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（五）收益分配方案的确定、公告与实施</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收益分配方案由基金管理人拟定，并由基金托管人复核，依照《信息披露办法》的有关规定在指定媒介上分别就不同基金份额类别的基金收益分配方案进行公告。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在收益分配方案公布后，基金管理人依据具体方案的规定就支付的现金红利向基金托管人发送划款指令，基金托管人按照基金管理人的指令及时进行分红资金的划付。</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（六）基金收益分配中发生的费用</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现金红利分配时所发生的银行转账或其他手续费用由投资人自行承担。当投资人的现金红利小于一定金额，不足于支付银行转账或其他手续费用时，基金登记结算机构可将投资人的现金红利按红利发放日的基金份额净值自动转为基金份额。红利再投资的计算方法，依照交银施罗德基金管理有限公司开放式基金有关业务规定执行。</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（七）收益分配方式的修改</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不同的交易账户可设置不同的收益分配方式。投资者同一日多次申报分红方式变更的，按照《业务规则》执行，最终确认的分红方式以登记结算机构记录为准。</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（八）实施侧袋机制期间的收益分配</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45238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10E5A" w:rsidRDefault="00452386">
      <w:pPr>
        <w:pStyle w:val="1"/>
        <w:snapToGrid w:val="0"/>
        <w:spacing w:beforeLines="0" w:before="240" w:after="240"/>
        <w:rPr>
          <w:rFonts w:ascii="宋体" w:hAnsi="宋体"/>
          <w:szCs w:val="30"/>
        </w:rPr>
      </w:pPr>
      <w:bookmarkStart w:id="18" w:name="_Toc234241368"/>
      <w:r>
        <w:rPr>
          <w:rFonts w:ascii="Times New Roman" w:hAnsi="Times New Roman"/>
          <w:sz w:val="30"/>
        </w:rPr>
        <w:lastRenderedPageBreak/>
        <w:t>十五、基金的费用与税收</w:t>
      </w:r>
      <w:bookmarkEnd w:id="18"/>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（一）基金费用的种类</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3、基金财产拨划支付的银行费用；</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4、基金合同生效后的基金信息披露费用；</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6、基金合同生效后与基金相关的会计师费和律师费；</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7、基金的证券交易费用；</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8、本基金从C类基金份额的基金财产中计提销售服务费；</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9、依法可以在基金财产中列支的其他费用。</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上述基金费用由基金管理人在法律规定的范围内参照公允的市场价格确定，法律法规另有规定时从其规定。</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本基金基金合同终止基金财产清算时所发生费用，按实际支出额从基金财产总值中扣除。</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（二）基金费用计提方法、计提标准和支付方式</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在通常情况下，基金管理费按前一日基金资产净值的0.3%的年费率计提。管理费的计算方法如下：</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H＝E×年管理费率÷当年天数</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E为前一日基金资产净值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按月支付。由基金管理人向基金托管人发送基金管理费划付指令，经基金托管人复核后于次月首日起3个工作日内从基金财产中一次性支付给基金管理人，若遇法定节假日、休息日，支付日期顺延。</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在通常情况下，基金的托管费按前一日基金资产净值的0.1%的年费率计提。托管费的计算方法如下：</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H＝E×年托管费率÷当年天数</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E为前一日基金资产净值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按月支付。由基金管理人向基金托管人发送基金托管费划付指令，经基金托管人复核后于次月首日起3个工作日内从基金财产中一次性支付给基金托管人，若遇法定节假日、休息日，支付日期顺延。</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（3）除管理费和托管费之外的基金费用由基金托管人根据其他有关法规及相应协议的规定，按费用实际支出金额支付，列入或摊入当期基金费用。</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（3）转换费</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本基金转换费的费率水平、计算公式和收取方式详见“基金的转换”一章。</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（4）销售服务费</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本基金A类、B类和D类基金份额不收取销售服务费，C类基金份额的销售服务费按前一日C类基金资产净值的0.4%年费率计提。计算方法如下：</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H＝E×年销售费率÷当年天数</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服务费每日计提，按月支付。由基金管理人向基金托管人发送销售服务费划付指令，基金托管人复核后于次月首日起3个工作日内从基金财产中一次性支付给基金管理人，若遇法定节假日、休息日等，支付日期顺延。</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本基金销售服务费将专门用于本基金的销售与基金份额持有人服务，基金管理人将在基金年度报告中对该项费用的列支情况作专项说明。</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（三）不列入基金费用的项目</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基金管理人和基金托管人因未履行或未完全履行义务导致的费用支出或基金财</w:t>
      </w:r>
      <w:r>
        <w:rPr>
          <w:rFonts w:ascii="宋体" w:hAnsi="宋体"/>
          <w:sz w:val="24"/>
        </w:rPr>
        <w:lastRenderedPageBreak/>
        <w:t>产的损失，以及处理与基金运作无关的事项发生的费用等不列入基金费用。</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基金合同生效前所发生的信息披露费、会计师费、律师费及其他费用，不得从基金财产中列支。</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（四）基金管理费、托管费和销售服务费的调整</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可根据基金发展情况协商调整基金管理费率、基金托管费率和销售服务费率等相关费率或改变收费模式。降低基金管理费率、基金托管费率和销售服务费率等相关费率或在不提高整体费率水平的情况下改变收费模式，此项调整不需要基金份额持有人大会决议通过。</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基金管理人必须最迟于新的费率或收费模式实施日前依照《信息披露办法》的有关规定在指定媒介上公告。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（五）实施侧袋机制期间的基金费用</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（六）基金税收</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基金和基金份额持有人根据国家法律法规的规定，履行纳税义务。</w:t>
      </w:r>
    </w:p>
    <w:p w:rsidR="00B439CC" w:rsidRDefault="0045238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10E5A" w:rsidRDefault="00452386">
      <w:pPr>
        <w:pStyle w:val="1"/>
        <w:snapToGrid w:val="0"/>
        <w:spacing w:beforeLines="0" w:before="240" w:after="240"/>
        <w:rPr>
          <w:rFonts w:ascii="宋体" w:hAnsi="宋体"/>
          <w:szCs w:val="30"/>
        </w:rPr>
      </w:pPr>
      <w:bookmarkStart w:id="19" w:name="_Toc234241369"/>
      <w:r>
        <w:rPr>
          <w:rFonts w:ascii="Times New Roman" w:hAnsi="Times New Roman"/>
          <w:sz w:val="30"/>
        </w:rPr>
        <w:lastRenderedPageBreak/>
        <w:t>十六、基金的会计与审计</w:t>
      </w:r>
      <w:bookmarkEnd w:id="19"/>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（一）基金会计政策</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3、本基金的会计核算以人民币为记账本位币，以人民币元为记账单位；</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6、基金管理人保留完整的会计账目、凭证并进行日常的会计核算，按照有关规定编制基金会计报表；</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7、基金托管人定期与基金管理人就基金的会计核算、报表编制等进行核对并书面确认。</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（二）基金的审计</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1、基金管理人聘请具有证券、期货相关从业资格的会计师事务所及其注册会计师对本基金的年度财务报表及其他规定事项进行审计。会计师事务所及其注册会计师与基金管理人、基金托管人相互独立。</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2、会计师事务所更换经办注册会计师时，应事先征得基金管理人同意。</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3、基金管理人（或基金托管人）认为有充足理由更换会计师事务所，经基金托管人（或基金管理人）同意后可以更换。更换会计师事务所，基金管理人应当依照《信息披露办法》的有关规定在指定媒介上公告。</w:t>
      </w:r>
    </w:p>
    <w:p w:rsidR="00B439CC" w:rsidRDefault="0045238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10E5A" w:rsidRDefault="00452386">
      <w:pPr>
        <w:pStyle w:val="1"/>
        <w:snapToGrid w:val="0"/>
        <w:spacing w:beforeLines="0" w:before="240" w:after="240"/>
        <w:rPr>
          <w:rFonts w:ascii="宋体" w:hAnsi="宋体"/>
          <w:szCs w:val="30"/>
        </w:rPr>
      </w:pPr>
      <w:bookmarkStart w:id="20" w:name="_Toc234241370"/>
      <w:r>
        <w:rPr>
          <w:rFonts w:ascii="Times New Roman" w:hAnsi="Times New Roman"/>
          <w:sz w:val="30"/>
        </w:rPr>
        <w:lastRenderedPageBreak/>
        <w:t>十七、基金的信息披露</w:t>
      </w:r>
      <w:bookmarkEnd w:id="20"/>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的信息披露应符合《基金法》、《运作办法》、《信息披露办法》、《流动性规定》、基金合同及其他有关规定。基金管理人、基金托管人和其他基金信息披露义务人应当以保护基金份额持有人利益为根本出发点，依法披露基金信息，并保证所披露信息的真实性、准确性、完整性、及时性、简明性和易得性。</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（二）信息披露义务人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法规和中国证监会规定的自然人、法人和非法人组织。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（三）本基金信息披露义务人承诺公开披露的基金信息，不得有下列行为：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4、诋毁其他基金管理人、基金托管人或者基金份额发售机构；</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（四）本基金公开披露的信息应采用中文文本。同时采用外文文本的，基金信息披露义务人应保证不同文本的内容一致。不同文本之间发生歧义的，以中文文本为准。</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（五）公开披露的基金信息</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1、招募说明书</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招募说明书是基金向社会公开销售时对基金情况进行说明的法律文件。</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基金合同》生效后，基金招募说明书的信息发生重大变更的，基金管理人应当</w:t>
      </w:r>
      <w:r>
        <w:rPr>
          <w:rFonts w:ascii="宋体" w:hAnsi="宋体"/>
          <w:sz w:val="24"/>
        </w:rPr>
        <w:lastRenderedPageBreak/>
        <w:t>在三个工作日内，更新基金招募说明书并登载在指定网站上；基金招募说明书其他信息发生变更的，基金管理人至少每年更新一次。基金终止运作的，基金管理人不再更新基金招募说明书。</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2、基金合同、托管协议</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基金管理人应在基金份额发售的3日前，将基金合同摘要登载在指定报刊和网站上；基金管理人、基金托管人应将基金合同、托管协议登载在各自网站上。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3、基金产品资料概要</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4、基金份额发售公告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基金管理人将按照《基金法》、《信息披露办法》的有关规定，就基金份额发售的具体事宜编制基金份额发售公告，并在披露招募说明书的当日登载于指定报刊和网站上。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5、基金合同生效公告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基金管理人将在基金合同生效的次日在指定报刊和网站上登载基金合同生效公告。基金合同生效公告中将说明基金募集情况。</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6、基金净值信息</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1）《基金合同》生效后，在开始办理基金份额申购或者赎回前，基金管理人应当至少每周在指定网站披露一次各类基金份额所对应的基金份额净值和基金份额累计净值；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2）在开始办理基金份额申购或者赎回后，基金管理人应当在不晚于每个开放日的次日，通过指定网站、销售机构网站或者营业网点披露开放日的各类基金份额所对应的基金份额净值和基金份额累计净值；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3）基金管理人应当在不晚于半年度和年度最后一日的次日，在指定网站披露半年度和年度最后一日的各类基金份额所对应的基金份额净值和基金份额累计净值。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7、基金份额申购、赎回价格公告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基金管理人应当在《基金合同》、招募说明书等信息披露文件上载明基金份额申购、赎回价格的计算方式及有关申购、赎回费率，并保证投资者能够在基金销售机构网站或营业网点查阅或者复制前述信息资料。</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8、基金年度报告、基金中期报告、基金季度报告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2）基金管理人应当在上半年结束之日起两个月内，编制完成基金中期报告，将中期报告登载在指定网站上，并将中期报告提示性公告登载在指定报刊上；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3）基金管理人应当在季度结束之日起15个工作日内，编制完成基金季度报告，将季度报告登载在指定网站上，并将季度报告提示性公告登载在指定报刊上；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4）《基金合同》生效不足2个月的，基金管理人可以不编制当期季度报告、中期报告或者年度报告。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6）基金管理人应当在基金年度报告和中期报告中披露基金组合资产情况及其流动性风险分析等。</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9、临时报告与公告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在基金运作过程中发生如下可能对基金份额持有人权益或者基金份额的价格产生重大影响的事件时，有关信息披露义务人应当在2日内编制临时报告书，登载在指定报刊和指定网站上：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w:t>
      </w:r>
      <w:r>
        <w:rPr>
          <w:rFonts w:ascii="宋体" w:hAnsi="宋体"/>
          <w:sz w:val="24"/>
        </w:rPr>
        <w:lastRenderedPageBreak/>
        <w:t>项，基金托管人委托基金服务机构代为办理基金的核算、估值、复核等事项；</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15）管理费、托管费、销售服务费、申购费、赎回费等费用计提标准、计提方式和费率发生变更；</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22）基金信息披露义务人认为可能对基金份额持有人权益或者基金份额的价格产生重大影响的其他事项或中国证监会规定的其他事项。</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10、澄清公告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w:t>
      </w:r>
      <w:r>
        <w:rPr>
          <w:rFonts w:ascii="宋体" w:hAnsi="宋体"/>
          <w:sz w:val="24"/>
        </w:rPr>
        <w:lastRenderedPageBreak/>
        <w:t>有人权益的，相关信息披露义务人知悉后应当立即对该消息进行公开澄清，并将有关情况立即报告中国证监会。</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11、基金份额持有人大会决议</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12、清算报告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《基金合同》终止的，基金管理人应当依法组织基金财产清算小组对基金财产进行清算并作出清算报告。基金财产清算小组应当将清算报告登载在指定网站上，并将清算报告提示性公告登载在指定报刊上。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13、信息披露事务管理</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基金信息披露义务人公开披露基金信息，应当符合中国证监会相关基金信息披露内容与格式准则等法规规定。</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各类基金份额净值、基金份额申购赎回价格、基金定期报告、更新的招募说明书、基金产品资料概要、基金清算报告等公开披露的相关基金信息进行复核、审查，并向基金管理人进行书面或电子确认。</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14、实施侧袋机制期间的信息披露</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15、中国证监会规定的其他信息</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（六）信息披露文件的存放与查阅</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依法必须披露的信息发布后，基金管理人、基金托管人应当按照相关法律法规规定将信息置备于各自住所，供社会公众查阅、复制。</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（七）本基金信息披露事项以法律法规规定及本章节约定的内容为准。</w:t>
      </w:r>
    </w:p>
    <w:p w:rsidR="00B439CC" w:rsidRDefault="0045238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10E5A" w:rsidRDefault="00452386">
      <w:pPr>
        <w:pStyle w:val="1"/>
        <w:snapToGrid w:val="0"/>
        <w:spacing w:beforeLines="0" w:before="240" w:after="240"/>
        <w:rPr>
          <w:rFonts w:ascii="宋体" w:hAnsi="宋体"/>
          <w:szCs w:val="30"/>
        </w:rPr>
      </w:pPr>
      <w:bookmarkStart w:id="21" w:name="_Toc234241371"/>
      <w:r>
        <w:rPr>
          <w:rFonts w:ascii="Times New Roman" w:hAnsi="Times New Roman"/>
          <w:sz w:val="30"/>
        </w:rPr>
        <w:lastRenderedPageBreak/>
        <w:t>十八、侧袋机制</w:t>
      </w:r>
      <w:bookmarkEnd w:id="21"/>
    </w:p>
    <w:p w:rsidR="00210E5A" w:rsidRDefault="0045238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1、本基金实施侧袋机制的，管理费和托管费按主袋账户基金资产净值作为基数计提。</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452386"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210E5A" w:rsidRDefault="00452386">
      <w:pPr>
        <w:pStyle w:val="1"/>
        <w:snapToGrid w:val="0"/>
        <w:spacing w:beforeLines="0" w:before="240" w:after="240"/>
        <w:rPr>
          <w:rFonts w:ascii="宋体" w:hAnsi="宋体"/>
          <w:szCs w:val="30"/>
        </w:rPr>
      </w:pPr>
      <w:bookmarkStart w:id="22" w:name="_Toc234241372"/>
      <w:r>
        <w:rPr>
          <w:rFonts w:ascii="Times New Roman" w:hAnsi="Times New Roman"/>
          <w:sz w:val="30"/>
        </w:rPr>
        <w:lastRenderedPageBreak/>
        <w:t>十九、风险揭示</w:t>
      </w:r>
      <w:bookmarkEnd w:id="22"/>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交易日基金的净赎回申请超过基金总份额的百分之十时，投资人将可能无法及时赎回持有的全部基金份额。</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基金分为股票基金、混合基金、债券基金、货币市场基金等不同类型，投资人投资不同类型的基金将获得不同的收益预期，也将承担不同程度的风险。一般来说，基金的收益预期越高，投资人承担的风险也越大。</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封转开、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担。</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基金份额持有人须了解并承受以下风险：</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（一）市场风险</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2、经济周期风险。证券市场受宏观经济运行的影响，而经济运行具有周期性的特点，而宏观经济运行状况将对证券市场的收益水平产生影响，从而对基金收益造成影响。</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（二）管理风险</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（三）流动性风险</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申购和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w:t>
      </w:r>
      <w:r>
        <w:rPr>
          <w:rFonts w:ascii="宋体" w:hAnsi="宋体"/>
          <w:sz w:val="24"/>
        </w:rPr>
        <w:lastRenderedPageBreak/>
        <w:t>影响基金份额净值。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行业和个券方面未有高集中度的特征，综合评估在正常市场环境下本基金的流动性风险适中。</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各类基金份额净值为基础计算赎回金额，以此类推，直到全部赎回为止。如投资人在提交赎回申请时未作明确选择，投资人未能赎回部分作自动延期赎回处理。</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基金管理人将根据主袋账户运作情况合理确定申购政策，因此实施侧袋机制后</w:t>
      </w:r>
      <w:r>
        <w:rPr>
          <w:rFonts w:ascii="宋体" w:hAnsi="宋体"/>
          <w:sz w:val="24"/>
        </w:rPr>
        <w:lastRenderedPageBreak/>
        <w:t>主袋账户份额存在暂停申购的可能。</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（四）信用风险</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基金在交易过程发生交收违约，或者基金所投资债券之发行人出现违约、拒绝支付到期本息，都可能导致基金资产损失和收益变化，从而产生风险。</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（五）本基金投资策略所特有的风险</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本基金属于债券型基金，将维持较高的债券持仓比例。如果债券市场出现整体下跌，本基金的净值表现将受到影响。</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通过投资于承担一定信用风险、具有较高息票率的债券，实现基金资产的长期稳定增长。在债券投资中，本基金特有的风险主要来自两个方面：一是对宏观经济趋势、政策以及债券市场基本面研究是否准确、深入。二是对企业债券的优选和判断是否科学、准确。基本面研究及企业债券分析的错误均可能导致所选择的证券不能完全符合本基金的预期目标。三是本基金所投资的企业债券承载的信用风险要高于高信用等级的债券（如国债），若债券发行人出现违约、不能按时或全额支付本金和利息，将导致基金资产损失，发生信用风险。</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（六）本基金法律文件风险收益特征表述与销售机构基金风险评价可能不一致的风险</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（七）其他风险</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3、因人为因素而产生的风险、如内幕交易、欺诈行为等产生的风险；</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45238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10E5A" w:rsidRDefault="00452386">
      <w:pPr>
        <w:pStyle w:val="1"/>
        <w:snapToGrid w:val="0"/>
        <w:spacing w:beforeLines="0" w:before="240" w:after="240"/>
        <w:rPr>
          <w:rFonts w:ascii="宋体" w:hAnsi="宋体"/>
          <w:szCs w:val="30"/>
        </w:rPr>
      </w:pPr>
      <w:bookmarkStart w:id="23" w:name="_Toc234241373"/>
      <w:r>
        <w:rPr>
          <w:rFonts w:ascii="Times New Roman" w:hAnsi="Times New Roman"/>
          <w:sz w:val="30"/>
        </w:rPr>
        <w:lastRenderedPageBreak/>
        <w:t>二十、基金合同的终止与基金财产的清算</w:t>
      </w:r>
      <w:bookmarkEnd w:id="23"/>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（一）基金合同的终止</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有下列情形之一的，基金合同经中国证监会核准后将终止：</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2、基金管理人因解散、破产、撤销等事由，不能继续担任基金管理人的职务，而在6个月内无其他适当的基金管理公司承接其原有权利义务；</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3、基金托管人因解散、破产、撤销等事由，不能继续担任基金托管人的职务，而在6个月内无其他适当的托管机构承接其原有权利义务；</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4、中国证监会规定的其他情况。</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基金合同终止时，基金管理人应予公告并组织清算小组对基金财产进行清算。</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（二）基金财产的清算</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3、基金财产清算小组职责：基金财产清算小组负责基金财产的保管、清理、估价、变现和分配。基金财产清算小组可以依法以基金的名义进行必要的民事活动。</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基金合同终止，应当按法律法规和本基金合同的有关规定对基金财产进行清算。基金财产清算程序主要包括：</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（1）基金合同终止后，发布基金财产清算公告；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（2）基金合同终止时，由基金清算小组统一接管基金财产；</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（3）对基金财产进行清理和确认；</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（4）对基金财产进行估价和变现；</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（5）聘请会计师事务所对清算报告进行审计；</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（6）聘请律师事务所出具法律意见书；</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（7）将基金清算结果报告中国证监会；</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（8）参加与基金财产有关的民事诉讼；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（9）公布基金财产清算结果；</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（10）对基金剩余财产进行分配。</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（四）清算费用</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（五）基金财产的清偿、分配顺序</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基金财产按照下列顺序清偿和分配：</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（1）支付清算费用；</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（2）交纳所欠税款；</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（3）清偿基金债务；</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（4）按基金份额持有人持有的基金份额比例进行分配。</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基金财产未按前款（1）、（2）、（3）项规定清偿前，不分配给基金份额持有人。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（六）基金财产清算的公告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公告于基金合同终止并报中国证监会备案后5个工作日内由基金财产清算组公告；清算过程中的有关重大事项须及时公告；基金财产清算报告经会计师事务所审计，律师事务所出具法律意见书后，由基金财产清算组报中国证监会备案并公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（七）基金财产清算账册及文件的保存</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45238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10E5A" w:rsidRDefault="00452386">
      <w:pPr>
        <w:pStyle w:val="1"/>
        <w:snapToGrid w:val="0"/>
        <w:spacing w:beforeLines="0" w:before="240" w:after="240"/>
        <w:rPr>
          <w:rFonts w:ascii="宋体" w:hAnsi="宋体"/>
          <w:szCs w:val="30"/>
        </w:rPr>
      </w:pPr>
      <w:bookmarkStart w:id="24" w:name="_Toc234241374"/>
      <w:r>
        <w:rPr>
          <w:rFonts w:ascii="Times New Roman" w:hAnsi="Times New Roman"/>
          <w:sz w:val="30"/>
        </w:rPr>
        <w:lastRenderedPageBreak/>
        <w:t>二十一、基金合同内容摘要</w:t>
      </w:r>
      <w:bookmarkEnd w:id="24"/>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（一）基金合同当事人及权利义务</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根据《基金法》及其他有关法律法规，基金管理人的权利为：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（1）自本基金合同生效之日起，依照有关法律法规和本基金合同的规定独立运用基金财产；</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（2）依照基金合同获得基金管理费以及法律法规规定或监管部门批准的其他收入；</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（3）发售基金份额；</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（4）依照有关规定行使因基金财产投资于证券所产生的权利；</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符合有关法律法规的前提下，制订和调整有关基金认购、申购、赎回、转换、非交易过户、转托管等业务的规则，在法律法规和本基金合同规定的范围内决定和调整基金的除调高托管费率和管理费率之外的相关费率结构和收费方式；</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根据本基金合同及有关规定监督基金托管人，对于基金托管人违反了本基金合同或有关法律法规规定的行为，对基金财产、其他当事人的利益造成重大损失的情形，应及时呈报中国证监会，并采取必要措施保护基金及相关当事人的利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（7）在基金合同约定的范围内，拒绝或暂停受理申购和赎回申请；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（8）在法律法规允许的前提下，为基金的利益依法为基金进行融资、融券；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（9）自行担任或选择、更换登记结算机构，获取基金份额持有人名册，并对登记结算机构的代理行为进行必要的监督和检查；</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（10）选择、更换代销机构，并依据基金销售服务代理协议和有关法律法规，对其行为进行必要的监督和检查；</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（11）选择、更换律师、审计师、证券经纪商或其他为基金提供服务的外部机构；</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（12）在基金托管人更换时，提名新的基金托管人；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（13）依法召集基金份额持有人大会；</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（14）法律法规和基金合同规定的其他权利。</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根据《基金法》及其他有关法律法规，基金管理人的义务为：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（1）依法募集基金，办理或者委托经中国证监会认定的其他机构代为办理基金份额的发售、申购、赎回和登记事宜；</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（3）自基金合同生效之日起，以诚实信用、勤勉尽责的原则管理和运用基金财产；</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（5）建立健全内部风险控制、监察与稽核、财务管理及人事管理等制度，保证所管理的基金财产和管理人的财产相互独立，对所管理的不同基金分别管理，分别记账，进行证券投资；</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（6）除依据《基金法》、基金合同及其他有关规定外，不得为自己及任何第三人谋取利益，不得委托第三人运作基金财产；</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（8）计算并公告基金净值信息，确定基金份额申购、赎回价格；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（9）采取适当合理的措施使计算基金份额认购、申购、赎回和注销价格的方法符合基金合同等法律文件的规定；</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（10）按规定受理申购和赎回申请，及时、足额支付赎回款项；</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（11）进行基金会计核算并编制基金财务会计报告；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（12）编制季度报告、中期报告和年度报告；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（13）严格按照《基金法》、基金合同及其他有关规定，履行信息披露及报告义务；</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（14）保守基金商业秘密，不得泄露基金投资计划、投资意向等，除《基金法》、基金合同及其他有关规定另有规定外，在基金信息公开披露前应予保密，不得向他人泄露；</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（15）按照基金合同的约定确定基金收益分配方案，及时向基金份额持有人分配收益；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（16）依据《基金法》、基金合同及其他有关规定召集基金份额持有人大会或配合基金托管人、基金份额持有人依法召集基金份额持有人大会；</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（17）保存基金财产管理业务活动的记录、账册、报表和其他相关资料；</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（18）以基金管理人名义，代表基金份额持有人利益行使诉讼权利或者实施其他法律行为；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（19）组织并参加基金财产清算小组，参与基金财产的保管、清理、估价、变现和分配；</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（20）因违反基金合同导致基金财产的损失或损害基金份额持有人合法权益，应当承担赔偿责任，其赔偿责任不因其退任而免除；</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（21）基金托管人违反基金合同造成基金财产损失时，应为基金份额持有人利益向基金托管人追偿；</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（22）按规定向基金托管人提供基金份额持有人名册资料；</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（23）面临解散、依法被撤销或者被依法宣告破产时，及时报告中国证监会并通知基金托管人；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（24）执行生效的基金份额持有人大会决议；</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（25）不从事任何有损基金及其他基金当事人利益的活动；</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（26）依照法律法规为基金的利益对被投资公司行使股东权利，为基金的利益行使因基金财产投资于证券所产生的权利，不谋求对上市公司的控股和直接管理；</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（27）法律法规、中国证监会和基金合同规定的其他义务。</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根据《基金法》及其他有关法律法规，基金托管人的权利为：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（1）依基金合同约定获得基金托管费以及法律法规规定或监管部门批准的其他收入；</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（2）监督基金管理人对本基金的投资运作；</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（3）自本基金合同生效之日起，依法保管基金资产；</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（4）在基金管理人更换时，提名新任基金管理人；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根据本基金合同及有关规定监督基金管理人，对于基金管理人违反本基金合同或有关法律法规规定的行为，对基金资产、其他当事人的利益造成重大损失的情形，应及时呈报中国证监会，并采取必要措施保护基金及相关当事人的利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（6）依法召集基金份额持有人大会；</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（7）按规定取得基金份额持有人名册资料；</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（8）法律法规和基金合同规定的其他权利。</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根据《基金法》及其他有关法律法规，基金托管人的义务为：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（1）安全保管基金财产；</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（2）设立专门的基金托管部，具有符合要求的营业场所，配备足够的、合格的熟悉基金托管业务的专职人员，负责基金财产托管事宜；</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（3）对所托管的不同基金财产分别设置账户，确保基金财产的完整与独立；</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（4）除依据《基金法》、基金合同及其他有关规定外，不得为自己及任何第三人谋取利益，不得委托第三人托管基金财产；</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（7）保守基金商业秘密，除《基金法》、基金合同及其他有关规定另有规定外，在基金信息公开披露前应予保密，不得向他人泄露；</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（9）保存基金托管业务活动的记录、账册、报表和其他相关资料；</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（10）按照基金合同的约定，根据基金管理人的投资指令，及时办理清算、交割事宜；</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（11）办理与基金托管业务活动有关的信息披露事项；</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（12）复核、审查基金管理人计算的基金资产净值、各类基金份额净值、基金份额申购、赎回价格；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（13）按照规定监督基金管理人的投资运作；</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（14）按规定制作相关账册并与基金管理人核对；</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（15）依据基金管理人的指令或有关规定向基金份额持有人支付基金收益和赎回款项；</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（16）按照规定召集基金份额持有人大会或配合基金份额持有人依法自行召集基金份额持有人大会；</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（17）因违反基金合同导致基金财产损失，应承担赔偿责任，其赔偿责任不因其退任而免除；</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（18）基金管理人因违反基金合同造成基金财产损失时，应为基金向基金管理人追偿；</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（19）参加基金财产清算小组，参与基金财产的保管、清理、估价、变现和分</w:t>
      </w:r>
      <w:r>
        <w:rPr>
          <w:rFonts w:ascii="宋体" w:hAnsi="宋体"/>
          <w:sz w:val="24"/>
        </w:rPr>
        <w:lastRenderedPageBreak/>
        <w:t>配；</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（20）面临解散、依法被撤销或者被依法宣告破产时，及时报告中国证监会和银行业监督管理机构，并通知基金管理人；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（21）执行生效的基金份额持有人大会决议；</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（22）不从事任何有损基金及其他基金当事人利益的活动；</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（23）建立并保存基金份额持有人名册；</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（24）法律法规、中国证监会和基金合同规定的其他义务。</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根据《基金法》及其他有关法律法规，基金份额持有人的权利为：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（1）同类基金份额的每份基金份额具有同等的合法权益；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（2）分享基金财产收益；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（3）参与分配清算后的剩余基金财产；</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（4）依法申请赎回其持有的基金份额；</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（5）按照规定要求召开基金份额持有人大会；</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（6）出席或者委派代表出席基金份额持有人大会，对基金份额持有人大会审议事项行使表决权；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（7）查阅或者复制公开披露的基金信息资料；</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（8）监督基金管理人的投资运作；</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（9）对基金管理人、基金托管人、基金份额发售机构损害其合法权益的行为依法提起诉讼；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（10）法律法规和基金合同规定的其他权利。</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根据《基金法》及其他有关法律法规，基金份额持有人的义务为：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（1）遵守法律法规、基金合同及其他有关规定；</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（2）交纳基金认购、申购款项及法律法规和基金合同所规定的费用；</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（3）在持有的基金份额范围内，承担基金亏损或者基金合同终止的有限责任；</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（4）不从事任何有损基金及其他基金份额持有人合法权益的活动；</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（5）执行生效的基金份额持有人大会决议；</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（6）返还在基金交易过程中因任何原因，自基金管理人及基金管理人的代理人、基金托管人、代销机构、其他基金份额持有人处获得的不当得利；</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（7）法律法规和基金合同规定的其他义务。</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本基金合同当事各方的权利义务以本基金合同为依据，不因基金财产账户名称而有所改变。</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（二）基金份额持有人大会</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1、基金份额持有人大会由基金份额持有人组成。基金份额持有人持有的每一基金份额具有同等的投票权。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2、召开事由</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当出现或需要决定下列事由之一的，经基金管理人、基金托管人或持有基金份额10%以上(含10%，下同)的基金份额持有人(以基金管理人收到提议当日的基金份额计算，下同)提议时，应当召开基金份额持有人大会：</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（2）转换基金运作方式；</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（3）变更基金类别；</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（4）变更基金投资目标、投资范围或投资策略；</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（5）变更基金份额持有人大会程序；</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（6）更换基金管理人、基金托管人；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（7）提高基金管理人、基金托管人的报酬标准，提高销售服务费用标准，但法律法规要求提高该等报酬标准的除外；</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（8）本基金与其他基金的合并；</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（9）对基金合同当事人权利、义务产生重大影响的其他事项；</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（10）法律法规、基金合同或中国证监会规定的其他情形。</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出现以下情形之一的，可由基金管理人和基金托管人协商后修改基金合同，不需召开基金份额持有人大会：</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（1）调低基金管理费、基金托管费、销售服务费和其他应由基金承担的费用；</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（2）在法律法规和本基金合同规定的范围内变更基金的申购费率、赎回费率或收费方式；</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（3）因相应的法律法规发生变动必须对基金合同进行修改；</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（4）对基金合同的修改不涉及本基金合同当事人权利义务关系发生变化；</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（5）基金合同的修改对基金份额持有人利益无实质性不利影响；</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（6）按照法律法规或本基金合同规定不需召开基金份额持有人大会的其他情形。</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3、召集人及召集方式</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（1）除法律法规或本基金合同另有约定外，基金份额持有人大会由基金管理人召集。基金管理人未按规定召集或者不能召集时，由基金托管人召集。</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自行召集。</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代表基金份额10%以上的基金份额持有人认为有必要召开基金份额持有人大会的，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的基金份额持有人就同一事项要求召开基金份额持有人大会，而基金管理人、基金托管人都不召集的，代表基金份额10%以上的基金份额持有人有权自行召集基金份额持有人大会，但应当至少提前30日向中国证监会备案。</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（5）基金份额持有人依法自行召集基金份额持有人大会的，基金管理人、基金托管人应当配合，不得阻碍、干扰。</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4、召开基金份额持有人大会的通知时间、通知内容、通知方式</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以下简称“召集人”）负责选择确定开会时间、地点、方式和权益登记日。召开基金份额持有人大会，召集人必须于会议召开日前30日在指定媒介公告。基金份额持有人大会通知须至少载明以下内容：</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（1）会议召开的时间、地点和出席方式；</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（2）会议拟审议的主要事项；</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（3）会议形式；</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（4）议事程序；</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（5）有权出席基金份额持有人大会的基金份额持有人权益登记日；</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（6）代理投票的授权委托书的内容要求（包括但不限于代理人身份、代理权限和代理有效期限等）、送达时间和地点；</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（7）表决方式；</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（8）会务常设联系人姓名、电话；</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（9）出席会议者必须准备的文件和必须履行的手续；</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（10）召集人需要通知的其他事项。</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用通讯方式开会并进行表决的情况下，由召集人决定通讯方式和书面表决方式，并在会议通知中说明本次基金份额持有人大会所采取的具体通讯方式、委托的公证机关及其联系方式和联系人、书面表决意见寄交的截止时间和收取方式。</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召集人为基金管理人，还应另行书面通知基金托管人到指定地点对书面表决意见的计票进行监督；如召集人为基金托管人，则应另行书面通知基金管理人到指定地点对书面表决意见的计票进行监督；如召集人为基金份额持有人，则应另行书面通知基金管理人和基金托管人到指定地点对书面表决意见的计票进行监督。基金管理人或基金托管人拒不派代表对书面表决意见的计票进行监督的，不影响计票和表决结果。</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5、基金份额持有人出席会议的方式</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（1）会议方式</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1）基金份额持有人大会的召开方式包括现场开会和通讯方式开会。</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2）现场开会由基金份额持有人本人出席或通过授权委托书委派其代理人出席，现场开会时基金管理人和基金托管人的授权代表应当出席，如基金管理人或基金托管人拒不派代表出席的，不影响表决效力。</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3）通讯方式开会指按照本基金合同的相关规定以通讯的书面方式进行表决。</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4）会议的召开方式由召集人确定，但决定基金管理人更换或基金托管人更换、终止基金合同的事宜必须以现场开会方式召开基金份额持有人大会。</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（2）召开基金份额持有人大会的条件</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1）现场开会方式</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在同时符合以下条件时，现场会议方可举行：</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①对到会者在权益登记日持有基金份额的统计显示，全部有效凭证所对应的基</w:t>
      </w:r>
      <w:r>
        <w:rPr>
          <w:rFonts w:ascii="宋体" w:hAnsi="宋体"/>
          <w:sz w:val="24"/>
        </w:rPr>
        <w:lastRenderedPageBreak/>
        <w:t>金份额应占权益登记日基金总份额的50%以上(含50%，下同）；</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到会的基金份额持有人身份证明及持有基金份额的凭证、代理人身份证明、委托人持有基金份额的凭证及授权委托代理手续完备，到会者出具的相关文件符合有关法律法规和基金合同及会议通知的规定，并且持有基金份额的凭证与基金管理人持有的注册登记资料相符。</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2）通讯开会方式</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在同时符合以下条件时，通讯会议方可举行：</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①召集人按本基金合同规定公布会议通知后，在2个工作日内连续公布相关提示性公告；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②召集人按基金合同规定通知基金托管人或/和基金管理人(分别或共同称为“监督人”）到指定地点对书面表决意见的计票进行监督；</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③召集人在监督人和公证机关的监督下按照会议通知规定的方式收取和统计基金份额持有人的书面表决意见，如基金管理人或基金托管人经通知拒不到场监督的，不影响表决效力；</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④本人直接出具书面意见和授权他人代表出具书面意见的基金份额持有人所代表的基金份额占权益登记日基金总份额的50%以上；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⑤直接出具书面意见的基金份额持有人或受托代表他人出具书面意见的代理人提交的持有基金份额的凭证、授权委托书等文件符合法律法规、基金合同和会议通知的规定，并与登记结算机构记录相符。</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6、议事内容与程序</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1）议事内容为本基金合同规定的召开基金份额持有人大会事由所涉及的内容。</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2）基金管理人、基金托管人、单独或合并持有权益登记日本基金总份额10%以上的基金份额持有人可以在大会召集人发出会议通知前就召开事由向大会召集人提交需由基金份额持有人大会审议表决的提案。</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3）对于基金份额持有人提交的提案，大会召集人应当按照以下原则对提案进行审核：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关联性。大会召集人对于基金份额持有人提案涉及事项与基金有直接关系，并且不超出法律法规和基金合同规定的基金份额持有人大会职权范围的，应提交大会</w:t>
      </w:r>
      <w:r>
        <w:rPr>
          <w:rFonts w:ascii="宋体" w:hAnsi="宋体"/>
          <w:sz w:val="24"/>
        </w:rPr>
        <w:lastRenderedPageBreak/>
        <w:t>审议；对于不符合上述要求的，不提交基金份额持有人大会审议。如果召集人决定不将基金份额持有人提案提交大会表决，应当在该次基金份额持有人大会上进行解释和说明。</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程序性。大会召集人可以对基金份额持有人的提案涉及的程序性问题做出决定。如将其提案进行分拆或合并表决，需征得原提案人同意；原提案人不同意变更的，大会主持人可以就程序性问题提请基金份额持有人大会做出决定，并按照基金份额持有人大会决定的程序进行审议。</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单独或合并持有权益登记日基金总份额10%以上的基金份额持有人提交基金份额持有人大会审议表决的提案，基金管理人或基金托管人提交基金份额持有人大会审议表决的提案，未获基金份额持有人大会审议通过，就同一提案再次提请基金份额持有人大会审议，其时间间隔不少于6个月。法律法规另有规定的除外。</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5）基金份额持有人大会的召集人发出召开会议的通知后，如果需要对原有提案进行修改，应当在基金份额持有人大会召开前30日及时公告。否则，会议的召开日期应当顺延并保证至少与公告日期有30日的间隔期。</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在现场开会的方式下，首先由大会主持人按照规定程序宣布会议议事程序及注意事项，确定和公布监票人，然后由大会主持人宣读提案，经讨论后进行表决，经合法执业的律师见证后形成大会决议。</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大会由召集人授权代表主持。基金管理人为召集人的，其授权代表未能主持大会的情况下，由基金托管人授权代表主持；如果基金管理人和基金托管人授权代表均未能主持大会，则由出席大会的基金份额持有人和代理人以所代表的基金份额50%以上多数选举产生一名代表作为该次基金份额持有人大会的主持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召集人应当制作出席会议人员的签名册。签名册载明参加会议人员姓名(或单位名称)、身份证号码、持有或代表有表决权的基金份额数量、委托人姓名(或单位名称)等事项。</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2）通讯方式开会</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表决开会的方式下，首先由召集人提前30日公布提案，在所通知的表决截止日期后第2个工作日在公证机关及监督人的监督下由召集人统计全部有效表决并形成决议。如监督人经通知但拒绝到场监督，则在公证机关监督下形成的决议有</w:t>
      </w:r>
      <w:r>
        <w:rPr>
          <w:rFonts w:ascii="宋体" w:hAnsi="宋体"/>
          <w:sz w:val="24"/>
        </w:rPr>
        <w:lastRenderedPageBreak/>
        <w:t>效。</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（3）基金份额持有人大会不得对未事先公告的议事内容进行表决。</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7、决议形成的条件、表决方式、程序</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（1）基金份额持有人所持每一基金份额享有平等的表决权。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（2）基金份额持有人大会决议分为一般决议和特别决议：</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一般决议须经出席会议的基金份额持有人（或其代理人）所持表决权的50%以上通过方为有效，除下列2）所规定的须以特别决议通过事项以外的其他事项均以一般决议的方式通过；</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别决议须经出席会议的基金份额持有人(或其代理人)所持表决权的三分之二以上(含三分之二)通过方为有效；更换基金管理人、更换基金托管人、转换基金运作方式、终止基金合同必须以特别决议通过方为有效。</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（3）基金份额持有人大会决定的事项，应当依法报中国证监会核准或者备案，并予以公告。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采取通讯方式进行表决时，除非在计票时有充分的相反证据证明，否则表面符合法律法规和会议通知规定的书面表决意见即视为有效的表决，表决意见模糊不清或相互矛盾的视为弃权表决，但应当计入出具书面意见的基金份额持有人所代表的基金份额总数。</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（5）基金份额持有人大会采取记名方式进行投票表决。</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（6）基金份额持有人大会的各项提案或同一项提案内并列的各项议题应当分开审议、逐项表决。</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8、计票</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基金份额持有人大会由基金管理人或基金托管人召集，则基金份额持有人大会的主持人应当在会议开始后宣布在出席会议的基金份额持有人和代理人中推举两名基金份额持有人代表与大会召集人授权的一名监督员共同担任监票人；如大会由基金份额持有人自行召集，基金份额持有人大会的主持人应当在会议开始后宣布在出席会议的基金份额持有人和代理人中推举两名基金份额持有人代表与基金管理人、基金托管人授权的一名监督员共同担任监票人；但如果基金管理人和基金托</w:t>
      </w:r>
      <w:r>
        <w:rPr>
          <w:rFonts w:ascii="宋体" w:hAnsi="宋体"/>
          <w:sz w:val="24"/>
        </w:rPr>
        <w:lastRenderedPageBreak/>
        <w:t>管人的授权代表未出席，则大会主持人可自行选举三名基金份额持有人代表担任监票人。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2）监票人应当在基金份额持有人表决后立即进行清点，由大会主持人当场公布计票结果。</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大会主持人对于提交的表决结果有异议，可以对投票数进行重新清点；如大会主持人未进行重新清点，而出席大会的基金份额持有人或代理人对大会主持人宣布的表决结果有异议，其有权在宣布表决结果后立即要求重新清点，大会主持人应当立即重新清点并公布重新清点结果。重新清点仅限一次。</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（2）通讯方式开会</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方式开会的情况下，计票方式为：由大会召集人授权的两名监票人在监督人派出的授权代表的监督下进行计票，并由公证机关对其计票过程予以公证；如监督人经通知但拒绝到场监督，则大会召集人可自行授权3名监票人进行计票，并由公证机关对其计票过程予以公证。</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9、基金份额持有人大会决议报中国证监会核准或备案后的公告时间、方式</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通过的一般决议和特别决议，召集人应当自通过之日起5日内报中国证监会核准或者备案。基金份额持有人大会决定的事项自中国证监会依法核准或者出具无异议意见之日起生效。关于本章第2条所规定的第（1）-（8）项召开事由的基金份额持有人大会决议经中国证监会核准生效后方可执行，关于本章第2条所规定的第（9）、（10）项召开事由的基金份额持有人大会决议经中国证监会核准或出具无异议意见后方可执行。</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（2）生效的基金份额持有人大会决议对全体基金份额持有人、基金管理人、基金托管人均有约束力。基金管理人、基金托管人和基金份额持有人应当执行生效的基金份额持有人大会决议。</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（3）基金份额持有人大会决议应自生效之日起2日内在指定媒介公告。如果采用通讯方式进行表决，在公告基金份额持有人大会决议时，必须将公证书全文、公证机构、公证员姓名等一同公告。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10、实施侧袋机制期间基金份额持有人大会的特殊约定</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w:t>
      </w:r>
      <w:r>
        <w:rPr>
          <w:rFonts w:ascii="宋体" w:hAnsi="宋体"/>
          <w:sz w:val="24"/>
        </w:rPr>
        <w:lastRenderedPageBreak/>
        <w:t>代表的基金份额或表决权符合该等比例：</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11、法律法规或监管部门对基金份额持有人大会另有规定的，从其规定。</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（三）基金合同的变更、终止与基金财产的清算</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（1）基金合同变更内容对基金合同当事人权利、义务产生重大影响的，应召开基金份额持有人大会，基金合同变更的内容应经基金份额持有人大会决议同意。</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1）转换基金运作方式；</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2）变更基金类别；</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3）变更基金投资目标、投资范围或投资策略；</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4）变更基金份额持有人大会程序；</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5）更换基金管理人、基金托管人；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6）提高基金管理人、基金托管人的报酬标准，提高销售服务费用标准。但根据适用的相关规定提高该等报酬标准的除外；</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8）对基金合同当事人权利、义务产生重大影响的其他事项；</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9）法律法规、基金合同或中国证监会规定的其他情形。</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但出现下列情况时，可不经基金份额持有人大会决议，由基金管理人和基金托管人同意变更后公布，并报中国证监会备案：</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1）调低基金管理费、基金托管费、销售服务费和其他应由基金承担的费用；</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2）在法律法规和本基金合同规定的范围内变更基金的申购费率、赎回费率或收费方式；</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3）因相应的法律法规发生变动必须对基金合同进行修改；</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4）对基金合同的修改不涉及本基金合同当事人权利义务关系发生变化；</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5）基金合同的修改对基金份额持有人利益无实质性不利影响；</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6）按照法律法规或本基金合同规定不需召开基金份额持有人大会的其他情形。</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（2）关于变更基金合同的基金份额持有人大会决议应报中国证监会核准或备案，并于中国证监会核准或出具无异议意见后生效执行，并自生效之日起2日内在指定媒介公告。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有下列情形之一的，本基金合同经中国证监会核准后将终止：</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（2）基金管理人因解散、破产、撤销等事由，不能继续担任基金管理人的职务，而在6个月内无其他适当的基金管理公司承接其原有权利义务；</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（3）基金托管人因解散、破产、撤销等事由，不能继续担任基金托管人的职务，而在6个月内无其他适当的托管机构承接其原有权利义务；</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（4）中国证监会规定的其他情况。</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（1）基金财产清算组</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1)基金合同终止时，成立基金财产清算组，基金财产清算组在中国证监会的监</w:t>
      </w:r>
      <w:r>
        <w:rPr>
          <w:rFonts w:ascii="宋体" w:hAnsi="宋体"/>
          <w:sz w:val="24"/>
        </w:rPr>
        <w:lastRenderedPageBreak/>
        <w:t>督下进行基金清算。</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2)基金财产清算组成员由基金管理人、基金托管人、具有从事证券相关业务资格的注册会计师、律师以及中国证监会指定的人员组成。基金财产清算组可以聘用必要的工作人员。</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3)基金财产清算组负责基金财产的保管、清理、估价、变现和分配。基金财产清算组可以依法进行必要的民事活动。</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（2）基金财产清算程序</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基金合同终止，应当按法律法规和本基金合同的有关规定对基金财产进行清算。基金财产清算程序主要包括：</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1)基金合同终止后，发布基金财产清算公告；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2)基金合同终止时，由基金财产清算组统一接管基金财产；</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3)对基金财产进行清理和确认；</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4)对基金财产进行估价和变现；</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 聘请会计师事务所对清算报告进行审计；</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6)聘请律师事务所出具法律意见书；</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7)将基金财产清算结果报告中国证监会；</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8)参加与基金财产有关的民事诉讼；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9)公布基金财产清算结果；</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10)对基金剩余财产进行分配。</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（3）清算费用</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清算费用是指基金财产清算组在进行基金财产清算过程中发生的所有合理费用，清算费用由基金财产清算组优先从基金财产中支付。</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（4）基金财产按下列顺序清偿：</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1)支付清算费用；</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2)交纳所欠税款；</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3)清偿基金债务；</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4)按基金份额持有人持有的基金份额比例进行分配。</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基金财产未按前款1)－3)项规定清偿前，不分配给基金份额持有人。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（5）基金财产清算的公告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基金财产清算公告于基金合同终止并报中国证监会备案后5个工作日内由基金</w:t>
      </w:r>
      <w:r>
        <w:rPr>
          <w:rFonts w:ascii="宋体" w:hAnsi="宋体"/>
          <w:sz w:val="24"/>
        </w:rPr>
        <w:lastRenderedPageBreak/>
        <w:t>财产清算组公告；清算过程中的有关重大事项须及时公告；基金财产清算结果经会计师事务所审计，律师事务所出具法律意见书后，由基金财产清算组报中国证监会备案并公告。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（6）基金财产清算账册及文件的保存</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（四）争议的处理</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对于因基金合同的订立、内容、履行和解释或与基金合同有关的争议，基金合同当事人应尽量通过协商、调解途径解决。不愿或者不能通过协商、调解解决的，任何一方均有权将争议提交中国国际经济贸易仲裁委员会，按照中国国际经济贸易仲裁委员会届时有效的仲裁规则进行仲裁。仲裁地点为北京市。仲裁裁决是终局的，对各方当事人均有约束力，仲裁费用由败诉方承担。</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本基金合同受中国法律管辖。</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（五）基金合同存放地和投资者取得基金合同的方式</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本基金合同正本一式八份，除中国证监会和银行业监督管理机构各持两份外，基金管理人和基金托管人各持有两份。每份均具有同等的法律效力。</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本基金合同可印制成册，供投资人在基金管理人、基金托管人、代销机构和登记结算机构办公场所查阅，但其效力应以基金合同正本为准。</w:t>
      </w:r>
    </w:p>
    <w:p w:rsidR="00B439CC" w:rsidRDefault="0045238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10E5A" w:rsidRDefault="00452386">
      <w:pPr>
        <w:pStyle w:val="1"/>
        <w:snapToGrid w:val="0"/>
        <w:spacing w:beforeLines="0" w:before="240" w:after="240"/>
        <w:rPr>
          <w:rFonts w:ascii="宋体" w:hAnsi="宋体"/>
          <w:szCs w:val="30"/>
        </w:rPr>
      </w:pPr>
      <w:bookmarkStart w:id="25" w:name="_Toc234241375"/>
      <w:r>
        <w:rPr>
          <w:rFonts w:ascii="Times New Roman" w:hAnsi="Times New Roman"/>
          <w:sz w:val="30"/>
        </w:rPr>
        <w:lastRenderedPageBreak/>
        <w:t>二十二、托管协议的内容摘要</w:t>
      </w:r>
      <w:bookmarkEnd w:id="25"/>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（一）托管协议当事人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成立日期：2005年8月4日</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批准设立机关及批准设立文号：中国证监会证监基金字【2005】128号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注册资本：贰亿元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名称：中国建设银行股份有限公司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住所：北京市西城区金融大街25号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办公地址：北京市西城区闹市口大街1号院1号楼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邮政编码：100033</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法定代表人：张金良</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成立日期：2004年09月17日</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基金托管业务批准文号：中国证监会证监基字[1998]12号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注册资本：贰仟伍佰亿壹仟零玖拾柒万柒仟肆佰捌拾陆元整</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长期贷款；办理国内外结算；办理票据承兑与贴现；发行金融债券；代理发行、代理兑付、承销政府债券；买卖政府债券、金融债券；从事同业拆借；买卖、代理买卖外汇；从事银行卡业务；提供信用证服务及担保；代理收付款项及代理保险业务；提供保管箱服务；经中国银行</w:t>
      </w:r>
      <w:r>
        <w:rPr>
          <w:rFonts w:ascii="宋体" w:hAnsi="宋体"/>
          <w:sz w:val="24"/>
        </w:rPr>
        <w:lastRenderedPageBreak/>
        <w:t>业监督管理机构等监管部门批准的其他业务。</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（二）基金托管人对基金管理人的业务监督和核查</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及基金合同的约定，对基金投资范围、投资对象进行监督。基金合同明确约定基金投资风格或证券选择标准的，基金管理人应按照基金托管人要求的格式提供投资品种池和交易对手库，以便基金托管人运用相关技术系统，对基金实际投资是否符合基金合同关于证券选择标准的约定进行监督，对存在疑义的事项进行核查。</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债券、股票、权证以及法律法规或中国证监会允许基金投资的其他金融工具，其中股票投资仅限于参与新股认购和可转债转股获得的股票，权证投资仅限于参与可分离转债申购而获得的权证，即本基金不从二级市场购买股票或权证。本基金通过新股认购策略所认购新发行股票，在其上市后持有时间不超60个交易日，所持可转换债券转股后的股票持有时间不超过5个交易日，通过可转债认购所获得的权证，在其上市后持有时间不超过20个交易日。本基金的投资对象重点为承载一定信用风险、具有较高息票率的债券，包括企业债、公司债、短期融资券、次级债、资产支持证券（含资产收益计划）、可转换债券等以企业为主体发行的债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如法律法规或监管机构以后允许基金投资的其他品种，基金管理人在履行适当程序后，可以将其纳入投资范围。</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组合比例为：固定收益类资产（包括国债、金融债、央行票据、企业债、公司债、短期融资券、资产支持证券、次级债、可转换债券等）占基金资产的比例为80%-100%，其中次级债、资产支持证券（含资产收益计划）和可转换债券占基金资产的比例为0-40%，基金保留的现金以及投资于到期日在一年以内的政府债券的比例合计不低于基金资产净值的5%，其中现金不包括结算备付金、存出保证金和应收申购款等；股票、权证等资产占基金资产的比例为0-20%，其中权证资产占基金资产净值的比例为0-3%。在基金实际管理过程中，本基金具体配置比例由基金管理人根据中国宏观经济情况和证券市场的阶段性变化做主动调整，以求基金资产在各类资产的投资中达到风险和收益的最佳平衡，但比例不超出基金合同约定的限定范围。</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2、基金托管人根据有关法律法规的规定及基金合同的约定，对基金投资、融资比例进行监督。基金托管人按下述比例和调整期限进行监督：</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1）本基金持有一家企业发行的债券，其市值不超过基金资产净值的10%；</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2）本基金持有一家上市公司的股票，其市值不超过基金资产净值的10%；</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3）本基金进入全国银行间同业市场进行债券回购的资金余额不得超过基金资产净值的40%；</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的投资组合比例为：固定收益类资产（包括国债、金融债、央行票据、企业债、公司债、短期融资券、资产支持证券、次级债、可转换债券等）占基金资产的比例为80%-100%，其中次级债、资产支持证券（含资产收益计划）和可转换债券占基金资产的比例为0-40%；股票、权证等资产占基金资产的比例为0-20%，其中权证资产占基金资产净值的比例为0-3%；</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5）基金保留的现金以及投资于到期日在一年以内的政府债券的比例合计不低于基金资产净值的5%，其中现金不包括结算备付金、存出保证金和应收申购款等；</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6）本基金投资于同一原始权益人的各类资产支持证券的比例，不得超过基金资产净值的10%；</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7）本基金持有的全部资产支持证券，其市值不得超过基金资产净值的20%；</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8）本基金持有的同一(指同一信用级别)资产支持证券的比例，不得超过该资产支持证券规模的10%；</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10）基金财产参与股票发行申购，本基金所申报的股票数量不超过拟发行股票公司本次发行股票的总量；</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11）本基金在任何交易日买入权证的总金额，不得超过上一交易日基金资产净值的0.5%；</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12）当本基金所持有的中签未卖出的新股市值占基金资产净值的比例达到或超过18%时，本基金将暂停进行新股申购，当该比例降低到18%以下时方可继续进行新股申购；</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13）当本基金所持有的因网下申购而有锁定期限的股票的未流通市值占基金资产净值比例达到或超过5%时，本基金将暂停申购任何有锁定期的新股，当该比例降低到5%以下时方可继续进行有锁定期的新股申购；</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13）如果法律法规对上述投资组合比例限制进行变更的，以变更后的规定为</w:t>
      </w:r>
      <w:r>
        <w:rPr>
          <w:rFonts w:ascii="宋体" w:hAnsi="宋体"/>
          <w:sz w:val="24"/>
        </w:rPr>
        <w:lastRenderedPageBreak/>
        <w:t>准。法律法规或监管部门取消上述限制，如适用于本基金，则本基金投资不再受相关限制。</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管理人管理且由本基金托管人托管的全部开放式基金（包括开放式基金以及处于开放期的定期开放基金）持有一家上市公司发行的可流通股票，不得超过该上市公司可流通股票的15%；本基金管理人管理且由本基金托管人托管的全部投资组合持有一家上市公司发行的可流通股票，不得超过该上市公司可流通股票的30%；</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16）本基金与私募类证券资管产品及中国证监会认定的其他主体为交易对手开展逆回购交易的，可接受质押品的资质要求应当与基金合同约定的投资范围保持一致。</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5）、9）、15）、16）项外，因证券市场波动、上市公司合并、基金规模变动、股权分置改革中支付对价等基金管理人之外的因素致使基金投资比例不符合上述规定投资比例的，基金管理人应当在10个交易日内进行调整。</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投资资产配置比例外，基金托管人对基金的投资比例的监督与检查自本基金合同生效之日起开始。基金管理人应当自基金合同生效之日起6个月内使基金的投资组合比例符合基金合同的有关约定。法律法规或监管部门另有规定的，从其规定。</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本托管协议第十五条第九款基金投资禁止行为进行监督。基金托管人通过事后监督方式对基金管理人基金投资禁止行为和关联交易进行监督。根据法律法规有关基金禁止从事关联交易的规定，基金管理人和基金托管人应事先相互提供与本机构有控股关系的股东、与本机构有其他重大利害关系的公司名单及有关关联方发行的证券名单。基金管理人和基金托管人有责任确保关联交易名单的真实性、准确性、完整性，并负责及时将更新后的名单发送给对方。</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若基金托管人发现基金管理人与关联交易名单中列示的关联方进行法律法规禁止基金从事的关联交易时，基金托管人应及时提醒基金管理人采取必要措施阻止该</w:t>
      </w:r>
      <w:r>
        <w:rPr>
          <w:rFonts w:ascii="宋体" w:hAnsi="宋体"/>
          <w:sz w:val="24"/>
        </w:rPr>
        <w:lastRenderedPageBreak/>
        <w:t>关联交易的发生，如基金托管人采取必要措施后仍无法阻止关联交易发生时，基金托管人有权向中国证监会报告。对于基金管理人已成交的关联交易，基金托管人事前无法阻止该关联交易的发生，只能进行事后结算，基金托管人不承担由此造成的损失，并向中国证监会报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应严格按照交易对手名单的范围在银行间债券市场选择交易对手。基金托管人监督基金管理人是否按事前提供的银行间债券市场交易对手名单进行交易。基金管理人可以每半年对银行间债券市场交易对手名单及结算方式进行更新，新名单确定前已与本次剔除的交易对手所进行但尚未结算的交易，仍应按照协议进行结算。如基金管理人根据市场情况需要临时调整银行间债券市场交易对手名单及结算方式的，应向基金托管人说明理由，并在与交易对手发生交易前3个工作日内与基金托管人协商解决。</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负责对交易对手的资信控制，按银行间债券市场的交易规则进行交易，并负责解决因交易对手不履行合同而造成的纠纷及损失，基金托管人不承担由此造成的任何法律责任及损失。若未履约的交易对手在基金托管人与基金管理人确定的时间前仍未承担违约责任及其他相关法律责任的，基金管理人可以对相应损失先行予以承担，然后再向相关交易对手追偿。基金托管人则根据银行间债券市场成交单对合同履行情况进行监督。如基金托管人事后发现基金管理人没有按照事先约定的交易对手或交易方式进行交易时，基金托管人应及时提醒基金管理人，基金托管人不承担由此造成的任何损失和责任。</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发现基金管理人的上述事项及投资指令或实际投资运作违反法律法规、基金合同和本托管协议的规定，应及时以书面形式通知基金管理人限期纠正。基金管理人应积极配合和协助基金托管人的监督和核查。基金管理人收到通知后应在下一工作日前及时核对并以书面形式给基金托管人发出回函，就基金托管人</w:t>
      </w:r>
      <w:r>
        <w:rPr>
          <w:rFonts w:ascii="宋体" w:hAnsi="宋体"/>
          <w:sz w:val="24"/>
        </w:rPr>
        <w:lastRenderedPageBreak/>
        <w:t>的疑义进行解释或举证，说明违规原因及纠正期限，并保证在规定期限内及时改正。在上述规定期限内, 基金托管人有权随时对通知事项进行复查, 督促基金管理人改正。基金管理人对基金托管人通知的违规事项未能在限期内纠正的，基金托管人应报告中国证监会。</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8、若基金托管人发现基金管理人依据交易程序已经生效的指令违反法律、行政法规和其他有关规定，或者违反基金合同约定的，应当立即通知基金管理人，由此造成的损失由基金管理人承担。</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托管人发现基金管理人有重大违规行为，应及时报告中国证监会，同时通知基金管理人限期纠正，并将纠正结果报告中国证监会。基金管理人无正当理由，拒绝、阻挠对方根据本托管协议规定行使监督权，或采取拖延、欺诈等手段妨碍对方进行有效监督，情节严重或经基金托管人提出警告仍不改正的，基金托管人应报告中国证监会。</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（三）基金管理人对基金托管人的业务核查</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和证券账户、复核基金管理人计算的基金资产净值和各类基金份额净值、根据基金管理人指令办理清算交收、相关信息披露和监督基金投资运作等行为。</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及时核对并以书面形式给基金管理人发出回函，说明违规原因及纠正期限，并保证在规定期限内及时改正。在上述规定期限内，基金管理人有权随时对通知事项进行复查, 督促基金托管人改正。基金托管人应积极配合基金管理人的核查行为，包括但不限于：提交相关资料以供基金管理人核查托管财产的完整性和真实性，在规定时间内答复基金管理人并改正。</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（四）基金财产的保管</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（3）基金托管人按照规定开设基金财产的资金账户和证券账户。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（4）基金托管人对所托管的不同基金财产分别设置账户，确保基金财产的完整与独立。</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为基金投资产生的应收资产，应由基金管理人负责与有关当事人确定到账日期并通知基金托管人，到账日基金财产没有到达基金账户的，基金托管人应及时通知基金管理人采取措施进行催收。由此给基金财产造成损失的，基金管理人应负责向有关当事人追偿基金财产的损失，基金托管人对此不承担任何责任。</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（7）除依据法律法规和基金合同的规定外，基金托管人不得委托第三人托管基金财产。</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（1）基金募集期间募集的资金应存于中国证券登记结算有限责任公司的基金募集专户。该账户由基金管理人或基金管理人委托的登记结算机构开立并管理。</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属于基金财产的全部资金划入基金托管人开立的基金银行账户，同时在规定时间内，聘请具有从事证券相关业务资格的会计师事务所进行验资，出具验资报告。出具的验资报告由参加验资的2名或2名以上中国注册会计师签字方为有效。</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（3）若基金募集期限届满，未能达到基金合同生效的条件，由基金管理人按规定办理退款等事宜。</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3、基金银行账户的开立和管理</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（1）基金托管人可以基金的名义在其营业机构开立基金的银行账户，并根据基金管理人合法合规的指令办理资金收付。本基金的银行预留印鉴由基金托管人保管和使用。</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（2）基金银行账户的开立和使用，限于满足开展本基金业务的需要。基金托管人和基金管理人不得假借本基金的名义开立任何其他银行账户；亦不得使用基金的任何账户进行本基金业务以外的活动。</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（3）基金银行账户的开立和管理应符合银行业监督管理机构的有关规定。</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（4）在符合法律法规规定的条件下，基金托管人可以通过基金托管人专用账户办理基金资产的支付。</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4、基金证券账户和结算备付金账户的开立和管理</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（1）基金托管人在中国证券登记结算有限责任公司上海分公司、深圳分公司为基金开立基金托管人与基金联名的证券账户。</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（2）基金证券账户的开立和使用，仅限于满足开展本基金业务的需要。基金托管人和基金管理人不得出借或未经对方同意擅自转让基金的任何证券账户，亦不得使用基金的任何账户进行本基金业务以外的活动。</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（3）基金证券账户的开立和证券账户卡的保管由基金托管人负责，账户资产的管理和运用由基金管理人负责。</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以基金托管人的名义在中国证券登记结算有限责任公司开立结算备付金账户，并代表所托管的基金完成与中国证券登记结算有限责任公司的一级法人清算工作，基金管理人应予以积极协助。结算备付金、结算互保基金、交收价差资金等的收取按照中国证券登记结算有限责任公司的规定执行。</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（5）若中国证监会或其他监管机构在本托管协议订立日之后允许基金从事其他投资品种的投资业务，涉及相关账户的开立、使用的，若无相关规定，则基金托管人比照上述关于账户开立、使用的规定执行。</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5、债券托管专户的开设和管理</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托管人根据中国人民银行、中央国债登记结算有限责任公司的有关规定，在中央国债登记结算有限责任公司开立债券托管账户，并代表基金进行银行间市场债券的结算。基金管理人和基金托管人共同代表基金签订全国银行间债券市场债券回购主协议。</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6、其他账户的开立和管理</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（1）因业务发展需要而开立的其他账户，可以根据法律法规和基金合同的规定，由基金托管人负责开立。新账户按有关规定使用并管理。</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（2）法律法规等有关规定对相关账户的开立和管理另有规定的，从其规定办理。</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7、基金财产投资的有关有价凭证等的保管</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等有价凭证由基金托管人存放于基金托管人的保管库，也可存入中央国债登记结算有限责任公司、中国证券登记结算有限责任公司上海分公司/深圳分公司或票据营业中心的代保管库，保管凭证由基金托管人持有。实物证券等有价凭证的购买和转让，由基金管理人和基金托管人共同办理。基金托管人对由基金托管人以外机构实际有效控制的证券不承担保管责任。</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基金财产有关的重大合同的签署，由基金管理人负责。由基金管理人代表基金签署的、与基金财产有关的重大合同的原件分别由基金管理人、基金托管人保管。除本协议另有规定外，基金管理人代表基金签署的与基金财产有关的重大合同包括但不限于基金年度审计合同、基金信息披露协议及基金投资业务中产生的重大合同，基金管理人应保证基金管理人和基金托管人至少各持有一份正本的原件。基金管理人应在重大合同签署后及时以加密方式将重大合同传真给基金托管人，并在三十个工作日内将正本送达基金托管人处。重大合同的保管期限为基金合同终止后15年。</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（五）基金资产净值计算与复核</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基金资产净值是指基金资产总值减去负债后的金额。</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基金份额净值是指基金资产净值除以基金份额总数，各类基金份额净值的计算，均精确到0.0001元，小数点后第五位四舍五入，国家另有规定的，从其规定。</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基金管理人每个工作日分别计算本基金各类基金份额的基金资产净值及基金份额净值，经基金托管人复核，按规定公告。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2、复核程序</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基金管理人每开放日对基金资产进行估值后，将本基金各类基金份额的基金份额净值结果发送基金托管人，经基金托管人复核无误后，由基金管理人对外公布。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根据有关法律法规，基金资产净值计算和基金会计核算的义务由基金管理人承担。本基金的基金会计责任方由基金管理人担任，因此，就与本基金有关的会计问题，如经相关各方在平等基础上充分讨论后，仍无法达成一致意见的，按照基金管理人对基金资产净值的计算结果对外予以公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（六）基金份额持有人名册的登记与保管</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至少应包括基金份额持有人的名称和持有的基金份额。基金份额持有人名册由基金登记结算机构根据基金管理人的指令编制和保管，基金管理人和基金托管人应分别保管基金份额持有人名册，保存期不少于15年。如不能妥善保管，则按相关法规承担责任。</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托管人要求或编制半年报和年报前，基金管理人应将有关资料送交基金托管人，不得无故拒绝或延误提供，并保证其的真实性、准确性和完整性。基金托管人不得将所保管的基金份额持有人名册用于基金托管业务以外的其他用途，并应遵守保密义务。</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（七）争议解决方式</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仲裁费用由败诉方承担。</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本协议受中国法律管辖。</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（八）托管协议的修改与终止</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本协议双方当事人经协商一致，可以对协议进行修改。修改后的新协议，其内容不得与基金合同的规定有任何冲突。基金托管协议的变更报中国证监会核准或备案后生效。</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2、基金托管协议终止出现的情形</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w:t>
      </w:r>
      <w:r>
        <w:rPr>
          <w:rFonts w:ascii="宋体" w:hAnsi="宋体"/>
          <w:sz w:val="24"/>
        </w:rPr>
        <w:lastRenderedPageBreak/>
        <w:t>产；</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（4）发生法律法规或基金合同规定的终止事项。</w:t>
      </w:r>
    </w:p>
    <w:p w:rsidR="00B439CC" w:rsidRDefault="0045238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10E5A" w:rsidRDefault="00452386">
      <w:pPr>
        <w:pStyle w:val="1"/>
        <w:snapToGrid w:val="0"/>
        <w:spacing w:beforeLines="0" w:before="240" w:after="240"/>
        <w:rPr>
          <w:rFonts w:ascii="宋体" w:hAnsi="宋体"/>
          <w:szCs w:val="30"/>
        </w:rPr>
      </w:pPr>
      <w:bookmarkStart w:id="26" w:name="_Toc234241376"/>
      <w:r>
        <w:rPr>
          <w:rFonts w:ascii="Times New Roman" w:hAnsi="Times New Roman"/>
          <w:sz w:val="30"/>
        </w:rPr>
        <w:lastRenderedPageBreak/>
        <w:t>二十三、对基金份额持有人的服务</w:t>
      </w:r>
      <w:bookmarkEnd w:id="26"/>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本基金管理人承诺为基金份额持有人提供一系列的服务。本基金管理人根据基金份额持有人的需要和市场的变化，有权增加或变更服务项目。主要服务内容如下：</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（一）持有人交易资料的寄送服务</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1、每次交易结束后，投资人可在T+2个工作日后通过销售机构的网点查询和打印确认单；</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（二）网上直销服务</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者可以直接通过本公司网站的网上直销交易平台办理开户和本基金的申购、赎回、定期定额投资和转换等业务。本公司暂不开展网上直销B类基金份额的认/申购业务，通过转托管转入网上直销账户的B类基金份额只能办理赎回业务。通过网上直销交易平台办理本基金A类或D类基金份额申购和定期定额投资业务的个人投资者将享受前端申购费率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本公司基金网上直销业务已开通的银行卡及各银行卡交易金额限额请参阅本公司网站。</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在条件成熟的时候，本基金管理人将根据基金网上直销业务的发展状况，适时调整可用于基金网上直销交易平台的银行卡种类，敬请投资人留意相关公告。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（三）信息咨询、查询服务</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w:t>
      </w:r>
      <w:r>
        <w:rPr>
          <w:rFonts w:ascii="宋体" w:hAnsi="宋体"/>
          <w:sz w:val="24"/>
        </w:rPr>
        <w:lastRenderedPageBreak/>
        <w:t>资人通过客户服务电话查询基金账户下的账户和交易信息。投资人请在其知晓基金账号后，及时拨打本基金管理人客户服务电话修改基金查询密码。</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（四）基金红利再投资</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本基金收益分配时，投资人可以选择将当期分配所得的红利再投资于本基金，再投资红利按红利再投日（即除息日）除息后的基金份额净值自动转为基金份额，并免收申购费用。</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（五）定期定额投资计划和转换业务</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本基金已开通定期定额投资和转换业务，具体实施方法请参见相关公告。</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投资人也可登录本基金管理人网站，直接提出有关本基金的问题和建议。</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（六）如本招募说明书存在任何您/贵机构无法理解的内容，请通过上述方式联系基金管理人。请确保投资前，您/贵机构已经全面理解了本招募说明书。</w:t>
      </w:r>
    </w:p>
    <w:p w:rsidR="00B439CC" w:rsidRDefault="0045238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10E5A" w:rsidRDefault="00452386">
      <w:pPr>
        <w:pStyle w:val="1"/>
        <w:snapToGrid w:val="0"/>
        <w:spacing w:beforeLines="0" w:before="240" w:after="240"/>
        <w:rPr>
          <w:rFonts w:ascii="宋体" w:hAnsi="宋体"/>
          <w:szCs w:val="30"/>
        </w:rPr>
      </w:pPr>
      <w:bookmarkStart w:id="27" w:name="_Toc234241377"/>
      <w:r>
        <w:rPr>
          <w:rFonts w:ascii="Times New Roman" w:hAnsi="Times New Roman"/>
          <w:sz w:val="30"/>
        </w:rPr>
        <w:lastRenderedPageBreak/>
        <w:t>二十四、其他应披露事项</w:t>
      </w:r>
      <w:bookmarkEnd w:id="27"/>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基金合同如有未尽事宜，由基金合同各方当事人按有关法律法规协商解决。</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本招募说明书更新期间基金披露的其他重要事项</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交银施罗德基金管理有限公司关于增加上海万得基金销售有限公司为旗下基金的销售机构的公告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交银施罗德基金管理有限公司关于增加北京汇成基金销售有限公司为旗下基金的销售机构的公告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交银施罗德基金管理有限公司关于增加招商银行股份有限公司为旗下基金的销售机构的公告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交银施罗德基金管理有限公司关于增加上海天天基金销售有限公司为旗下基金的销售机构的公告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2025-06-26</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交银施罗德基金管理有限公司关于增加方正证券股份有限公司为旗下基金的销售机构的公告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2025-07-02</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交银施罗德基金管理有限公司关于交银施罗德增利债券证券投资基金暂停及恢复大额申购（转换转入、定期定额投资）业务的公告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2025-07-04</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交银施罗德基金管理有限公司关于交银施罗德增利债券证券投资基金分红公告</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2025-07-09</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交银施罗德增利债券证券投资基金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交银施罗德增利债券证券投资基金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10</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交银施罗德基金管理有限公司关于增加宁波银行股份有限公司为旗下基金的销售机构的公告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2025-09-01</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交银施罗德基金管理有限公司关于增加珠海盈米基金销售有限公司为旗下基金的销售机构的公告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2025-09-01</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交银施罗德基金管理有限公司关于增加上海好买基金销售有限公司为旗下基金的销售机构的公告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2025-09-04</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交银施罗德增利债券证券投资基金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交银施罗德基金管理有限公司关于调整交银施罗德增利债券证券投资基金管理费率和托管费率并修改基金合同等法律文件的公告</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2025-11-13</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交银施罗德增利债券证券投资基金基金合同</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2025-11-13</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交银施罗德增利债券证券投资基金托管协议</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2025-11-13</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交银施罗德增利债券证券投资基金招募说明书更新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2025-11-13</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交银施罗德增利债券证券投资基金（</w:t>
            </w:r>
            <w:r>
              <w:rPr>
                <w:rFonts w:ascii="Times New Roman" w:hAnsi="Times New Roman"/>
                <w:color w:val="000000"/>
                <w:kern w:val="0"/>
                <w:sz w:val="25"/>
                <w:szCs w:val="24"/>
              </w:rPr>
              <w:t>AB</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2025-11-13</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交银施罗德增利债券证券投资基金（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2025-11-13</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交银施罗德增利债券证券投资基金（</w:t>
            </w:r>
            <w:r>
              <w:rPr>
                <w:rFonts w:ascii="Times New Roman" w:hAnsi="Times New Roman"/>
                <w:color w:val="000000"/>
                <w:kern w:val="0"/>
                <w:sz w:val="25"/>
                <w:szCs w:val="24"/>
              </w:rPr>
              <w:t>D</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2025-11-13</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21</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交银施罗德基金管理有限公司关于暂停旗下基金在中国农业银行股份有限公司办理定期定额赎回业务的公告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2025-12-15</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22</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23</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交银施罗德增利债券证券投资基金招募说明书更新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2025-12-26</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24</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交银施罗德增利债券证券投资基金（</w:t>
            </w:r>
            <w:r>
              <w:rPr>
                <w:rFonts w:ascii="Times New Roman" w:hAnsi="Times New Roman"/>
                <w:color w:val="000000"/>
                <w:kern w:val="0"/>
                <w:sz w:val="25"/>
                <w:szCs w:val="24"/>
              </w:rPr>
              <w:t>AB</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2025-12-26</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25</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交银施罗德增利债券证券投资基金（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2025-12-26</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26</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交银施罗德增利债券证券投资基金（</w:t>
            </w:r>
            <w:r>
              <w:rPr>
                <w:rFonts w:ascii="Times New Roman" w:hAnsi="Times New Roman"/>
                <w:color w:val="000000"/>
                <w:kern w:val="0"/>
                <w:sz w:val="25"/>
                <w:szCs w:val="24"/>
              </w:rPr>
              <w:t>D</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2025-12-26</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27</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交银施罗德基金管理有限公司关于交银施罗德增利债券证券投资基金暂停及恢复大额申购（转换转入、定期定额投资）业务的公告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2026-01-12</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28</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交银施罗德基金管理有限公司关于交银施罗德增利债券证券投资基金分红公告</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2026-01-14</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29</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交银施罗德增利债券证券投资基金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交银施罗德基金管理有限公司关于交银施罗德增利债券证券投资基金于</w:t>
            </w:r>
            <w:r>
              <w:rPr>
                <w:rFonts w:ascii="Times New Roman" w:hAnsi="Times New Roman"/>
                <w:color w:val="000000"/>
                <w:kern w:val="0"/>
                <w:sz w:val="25"/>
                <w:szCs w:val="24"/>
              </w:rPr>
              <w:t>2026</w:t>
            </w:r>
            <w:r>
              <w:rPr>
                <w:rFonts w:ascii="Times New Roman" w:hAnsi="Times New Roman"/>
                <w:color w:val="000000"/>
                <w:kern w:val="0"/>
                <w:sz w:val="25"/>
                <w:szCs w:val="24"/>
              </w:rPr>
              <w:t>年</w:t>
            </w:r>
            <w:r>
              <w:rPr>
                <w:rFonts w:ascii="Times New Roman" w:hAnsi="Times New Roman"/>
                <w:color w:val="000000"/>
                <w:kern w:val="0"/>
                <w:sz w:val="25"/>
                <w:szCs w:val="24"/>
              </w:rPr>
              <w:t>“</w:t>
            </w:r>
            <w:r>
              <w:rPr>
                <w:rFonts w:ascii="Times New Roman" w:hAnsi="Times New Roman"/>
                <w:color w:val="000000"/>
                <w:kern w:val="0"/>
                <w:sz w:val="25"/>
                <w:szCs w:val="24"/>
              </w:rPr>
              <w:t>春节</w:t>
            </w:r>
            <w:r>
              <w:rPr>
                <w:rFonts w:ascii="Times New Roman" w:hAnsi="Times New Roman"/>
                <w:color w:val="000000"/>
                <w:kern w:val="0"/>
                <w:sz w:val="25"/>
                <w:szCs w:val="24"/>
              </w:rPr>
              <w:t>”</w:t>
            </w:r>
            <w:r>
              <w:rPr>
                <w:rFonts w:ascii="Times New Roman" w:hAnsi="Times New Roman"/>
                <w:color w:val="000000"/>
                <w:kern w:val="0"/>
                <w:sz w:val="25"/>
                <w:szCs w:val="24"/>
              </w:rPr>
              <w:t>假期暂停大额申购（转换转入、定期定额投资）业务的公告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2026-02-10</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31</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交银施罗德基金管理有限公司关于旗下部分基金投资范围增加存托凭证、开通同一基金不同类别基金份额转换业务并相应修改法律文件的公告</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2026-03-03</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32</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交银施罗德增利债券证券投资基金基金合同</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2026-03-03</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33</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交银施罗德增利债券证券投资基金托管协议</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2026-03-03</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34</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交银施罗德增利债券证券投资基金招募说明书更新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2026-03-03</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35</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交银施罗德增利债券证券投资基金（</w:t>
            </w:r>
            <w:r>
              <w:rPr>
                <w:rFonts w:ascii="Times New Roman" w:hAnsi="Times New Roman"/>
                <w:color w:val="000000"/>
                <w:kern w:val="0"/>
                <w:sz w:val="25"/>
                <w:szCs w:val="24"/>
              </w:rPr>
              <w:t>AB</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2026-03-03</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36</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交银施罗德增利债券证券投资基金（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2026-03-03</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37</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交银施罗德增利债券证券投资基金（</w:t>
            </w:r>
            <w:r>
              <w:rPr>
                <w:rFonts w:ascii="Times New Roman" w:hAnsi="Times New Roman"/>
                <w:color w:val="000000"/>
                <w:kern w:val="0"/>
                <w:sz w:val="25"/>
                <w:szCs w:val="24"/>
              </w:rPr>
              <w:t>D</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2026-03-03</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38</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39</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交银施罗德增利债券证券投资基金</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40</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交银施罗德增利债券证券投资基金</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41</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交银施罗德基金管理有限公司关于终止中证金牛（北京）基金销售有限公司办理相关销售业务的公告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2026-06-06</w:t>
            </w:r>
          </w:p>
        </w:tc>
      </w:tr>
      <w:tr w:rsidR="00210E5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42</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10E5A" w:rsidRDefault="0045238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2026-06-13</w:t>
            </w:r>
          </w:p>
        </w:tc>
      </w:tr>
    </w:tbl>
    <w:p w:rsidR="00B439CC" w:rsidRDefault="0045238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10E5A" w:rsidRDefault="00452386">
      <w:pPr>
        <w:pStyle w:val="1"/>
        <w:snapToGrid w:val="0"/>
        <w:spacing w:beforeLines="0" w:before="240" w:after="240"/>
        <w:rPr>
          <w:rFonts w:ascii="宋体" w:hAnsi="宋体"/>
          <w:szCs w:val="30"/>
        </w:rPr>
      </w:pPr>
      <w:bookmarkStart w:id="28" w:name="_Toc234241378"/>
      <w:r>
        <w:rPr>
          <w:rFonts w:ascii="Times New Roman" w:hAnsi="Times New Roman"/>
          <w:sz w:val="30"/>
        </w:rPr>
        <w:lastRenderedPageBreak/>
        <w:t>二十五、招募说明书的存放及查阅方式</w:t>
      </w:r>
      <w:bookmarkEnd w:id="28"/>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45238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10E5A" w:rsidRDefault="00452386">
      <w:pPr>
        <w:pStyle w:val="1"/>
        <w:snapToGrid w:val="0"/>
        <w:spacing w:beforeLines="0" w:before="240" w:after="240"/>
        <w:rPr>
          <w:rFonts w:ascii="宋体" w:hAnsi="宋体"/>
          <w:szCs w:val="30"/>
        </w:rPr>
      </w:pPr>
      <w:bookmarkStart w:id="29" w:name="_Toc234241379"/>
      <w:r>
        <w:rPr>
          <w:rFonts w:ascii="Times New Roman" w:hAnsi="Times New Roman"/>
          <w:sz w:val="30"/>
        </w:rPr>
        <w:lastRenderedPageBreak/>
        <w:t>二十六、备查文件</w:t>
      </w:r>
      <w:bookmarkEnd w:id="29"/>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（一）中国证监会批准交银施罗德增利债券证券投资基金募集的文件</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（二）《交银施罗德增利债券证券投资基金基金合同》</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（三）《交银施罗德增利债券证券投资基金托管协议》</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210E5A" w:rsidRDefault="0045238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（六）关于申请募集交银施罗德增利债券证券投资基金之法律意见书</w:t>
      </w:r>
    </w:p>
    <w:sectPr w:rsidR="00210E5A">
      <w:footerReference w:type="default" r:id="rId20"/>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0074" w:rsidRDefault="00452386">
      <w:r>
        <w:separator/>
      </w:r>
    </w:p>
  </w:endnote>
  <w:endnote w:type="continuationSeparator" w:id="0">
    <w:p w:rsidR="001D0074" w:rsidRDefault="004523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0E5A" w:rsidRDefault="00210E5A">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0E5A" w:rsidRDefault="00054DA8">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210E5A" w:rsidRDefault="00452386">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054DA8">
                  <w:rPr>
                    <w:rFonts w:ascii="Times New Roman" w:hAnsi="Times New Roman"/>
                    <w:noProof/>
                    <w:kern w:val="0"/>
                    <w:sz w:val="18"/>
                    <w:szCs w:val="18"/>
                  </w:rPr>
                  <w:t>2</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0E5A" w:rsidRDefault="00210E5A">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0E5A" w:rsidRDefault="00054DA8">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210E5A" w:rsidRDefault="00452386">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054DA8">
                  <w:rPr>
                    <w:rFonts w:ascii="Times New Roman" w:hAnsi="Times New Roman"/>
                    <w:noProof/>
                    <w:kern w:val="0"/>
                    <w:sz w:val="18"/>
                    <w:szCs w:val="18"/>
                  </w:rPr>
                  <w:t>169</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0074" w:rsidRDefault="00452386">
      <w:r>
        <w:separator/>
      </w:r>
    </w:p>
  </w:footnote>
  <w:footnote w:type="continuationSeparator" w:id="0">
    <w:p w:rsidR="001D0074" w:rsidRDefault="004523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0E5A" w:rsidRDefault="00210E5A">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0E5A" w:rsidRDefault="00452386">
    <w:pPr>
      <w:pStyle w:val="a3"/>
      <w:jc w:val="right"/>
      <w:rPr>
        <w:rFonts w:ascii="宋体" w:hAnsi="宋体"/>
      </w:rPr>
    </w:pPr>
    <w:r>
      <w:rPr>
        <w:rFonts w:ascii="宋体" w:hAnsi="宋体" w:hint="eastAsia"/>
      </w:rPr>
      <w:t>交银施罗德增利债券证券投资基金招募说明书更新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0E5A" w:rsidRDefault="00210E5A">
    <w:pPr>
      <w:pStyle w:val="10"/>
      <w:jc w:val="right"/>
    </w:pPr>
  </w:p>
  <w:p w:rsidR="00210E5A" w:rsidRDefault="00210E5A">
    <w:pPr>
      <w:pStyle w:val="10"/>
      <w:jc w:val="right"/>
    </w:pPr>
  </w:p>
  <w:p w:rsidR="00210E5A" w:rsidRDefault="00210E5A">
    <w:pPr>
      <w:pStyle w:val="a3"/>
      <w:jc w:val="right"/>
    </w:pPr>
  </w:p>
  <w:p w:rsidR="00210E5A" w:rsidRDefault="00452386">
    <w:pPr>
      <w:pStyle w:val="a3"/>
      <w:jc w:val="right"/>
      <w:rPr>
        <w:rFonts w:ascii="宋体" w:hAnsi="宋体"/>
      </w:rPr>
    </w:pPr>
    <w:r>
      <w:rPr>
        <w:rFonts w:ascii="宋体" w:hAnsi="宋体" w:hint="eastAsia"/>
      </w:rPr>
      <w:t>交银施罗德增利债券证券投资基金招募说明书更新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0E5A" w:rsidRDefault="00210E5A">
    <w:pPr>
      <w:pStyle w:val="a3"/>
      <w:jc w:val="right"/>
    </w:pPr>
  </w:p>
  <w:p w:rsidR="00210E5A" w:rsidRDefault="00210E5A">
    <w:pPr>
      <w:pStyle w:val="a3"/>
      <w:jc w:val="right"/>
    </w:pPr>
  </w:p>
  <w:p w:rsidR="00210E5A" w:rsidRDefault="00210E5A">
    <w:pPr>
      <w:pStyle w:val="a3"/>
      <w:jc w:val="right"/>
    </w:pPr>
  </w:p>
  <w:p w:rsidR="00210E5A" w:rsidRDefault="00452386">
    <w:pPr>
      <w:pStyle w:val="a3"/>
      <w:jc w:val="right"/>
      <w:rPr>
        <w:rFonts w:ascii="宋体" w:hAnsi="宋体"/>
      </w:rPr>
    </w:pPr>
    <w:r>
      <w:rPr>
        <w:rFonts w:ascii="宋体" w:hAnsi="宋体" w:hint="eastAsia"/>
      </w:rPr>
      <w:t>交银施罗德增利债券证券投资基金招募说明书更新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9"/>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4DA8"/>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0074"/>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0E5A"/>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2386"/>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9"/>
    <o:shapelayout v:ext="edit">
      <o:idmap v:ext="edit" data="3"/>
    </o:shapelayout>
  </w:shapeDefaults>
  <w:decimalSymbol w:val="."/>
  <w:listSeparator w:val=","/>
  <w15:docId w15:val="{8505EB47-456A-49E6-9215-08D478F9C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170</Pages>
  <Words>17258</Words>
  <Characters>98373</Characters>
  <Application>Microsoft Office Word</Application>
  <DocSecurity>0</DocSecurity>
  <Lines>819</Lines>
  <Paragraphs>230</Paragraphs>
  <ScaleCrop>false</ScaleCrop>
  <Company>Microsoft</Company>
  <LinksUpToDate>false</LinksUpToDate>
  <CharactersWithSpaces>115401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2026-07-06T06:42:00Z</dcterms:created>
  <dcterms:modified xsi:type="dcterms:W3CDTF">2026-07-06T06:42:00Z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