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346591">
      <w:pPr>
        <w:rPr>
          <w:sz w:val="32"/>
        </w:rPr>
      </w:pPr>
    </w:p>
    <w:p w:rsidR="00C92FC0" w:rsidRPr="00EB07BC" w:rsidRDefault="00346591">
      <w:pPr>
        <w:rPr>
          <w:sz w:val="32"/>
        </w:rPr>
      </w:pPr>
    </w:p>
    <w:p w:rsidR="00C92FC0" w:rsidRPr="00EB07BC" w:rsidRDefault="00346591">
      <w:pPr>
        <w:rPr>
          <w:sz w:val="32"/>
        </w:rPr>
      </w:pPr>
    </w:p>
    <w:p w:rsidR="007B63EA" w:rsidRDefault="007B63EA">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B63EA" w:rsidRDefault="007B63EA">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B63EA" w:rsidRDefault="007B63EA">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B63EA" w:rsidRDefault="00ED741E">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交银施罗德中证环境治理指数型证券投资基金</w:t>
      </w:r>
      <w:r>
        <w:rPr>
          <w:rFonts w:ascii="Times New Roman" w:hAnsi="Times New Roman"/>
          <w:b/>
          <w:spacing w:val="2"/>
          <w:w w:val="99"/>
          <w:kern w:val="0"/>
          <w:position w:val="-4"/>
          <w:sz w:val="44"/>
          <w:szCs w:val="44"/>
        </w:rPr>
        <w:t>(LOF)</w:t>
      </w:r>
    </w:p>
    <w:p w:rsidR="007B63EA" w:rsidRDefault="00ED741E">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7B63EA" w:rsidRDefault="007B63EA">
      <w:pPr>
        <w:snapToGrid w:val="0"/>
        <w:spacing w:line="360" w:lineRule="auto"/>
        <w:jc w:val="center"/>
        <w:rPr>
          <w:rFonts w:ascii="宋体" w:hAnsi="宋体"/>
          <w:b/>
          <w:sz w:val="30"/>
          <w:szCs w:val="30"/>
        </w:rPr>
      </w:pPr>
    </w:p>
    <w:p w:rsidR="007B63EA" w:rsidRDefault="007B63E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B63EA" w:rsidRDefault="007B63E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B63EA" w:rsidRDefault="007B63E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B63EA" w:rsidRDefault="007B63E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B63EA" w:rsidRDefault="007B63E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B63EA" w:rsidRDefault="007B63E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B63EA" w:rsidRDefault="00ED741E">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7B63EA" w:rsidRDefault="00ED741E">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基金托管人：中信银行股份有限公司</w:t>
      </w:r>
    </w:p>
    <w:p w:rsidR="007B63EA" w:rsidRDefault="007B63E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B63EA" w:rsidRDefault="007B63E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B63EA" w:rsidRDefault="00ED741E">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二〇二六年六月</w:t>
      </w:r>
    </w:p>
    <w:p w:rsidR="007B63EA" w:rsidRDefault="007B63EA">
      <w:pPr>
        <w:autoSpaceDE w:val="0"/>
        <w:autoSpaceDN w:val="0"/>
        <w:adjustRightInd w:val="0"/>
        <w:snapToGrid w:val="0"/>
        <w:spacing w:line="360" w:lineRule="auto"/>
        <w:ind w:left="1347" w:rightChars="6" w:right="13"/>
        <w:rPr>
          <w:rFonts w:ascii="宋体" w:hAnsi="宋体"/>
          <w:kern w:val="0"/>
          <w:sz w:val="32"/>
          <w:szCs w:val="32"/>
        </w:rPr>
        <w:sectPr w:rsidR="007B63EA">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7B63EA" w:rsidRDefault="00ED741E">
      <w:pPr>
        <w:pStyle w:val="1"/>
        <w:snapToGrid w:val="0"/>
        <w:spacing w:beforeLines="0" w:before="240" w:after="240"/>
        <w:rPr>
          <w:rFonts w:ascii="宋体" w:hAnsi="宋体"/>
          <w:kern w:val="0"/>
        </w:rPr>
      </w:pPr>
      <w:bookmarkStart w:id="0" w:name="_Toc324920538"/>
      <w:bookmarkStart w:id="1" w:name="_Toc496884613"/>
      <w:bookmarkStart w:id="2" w:name="_Toc234408655"/>
      <w:r>
        <w:rPr>
          <w:rFonts w:ascii="Times New Roman" w:hAnsi="Times New Roman"/>
          <w:kern w:val="0"/>
        </w:rPr>
        <w:lastRenderedPageBreak/>
        <w:t>重要提示</w:t>
      </w:r>
      <w:bookmarkEnd w:id="0"/>
      <w:bookmarkEnd w:id="1"/>
      <w:bookmarkEnd w:id="2"/>
    </w:p>
    <w:p w:rsidR="007B63EA" w:rsidRDefault="00ED741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交银施罗德中证环境治理指数型证券投资基金（</w:t>
      </w:r>
      <w:r>
        <w:rPr>
          <w:rFonts w:ascii="Times New Roman" w:hAnsi="Times New Roman"/>
          <w:kern w:val="0"/>
          <w:sz w:val="24"/>
        </w:rPr>
        <w:t>LOF</w:t>
      </w:r>
      <w:r>
        <w:rPr>
          <w:rFonts w:ascii="Times New Roman" w:hAnsi="Times New Roman"/>
          <w:kern w:val="0"/>
          <w:sz w:val="24"/>
        </w:rPr>
        <w:t>）（以下简称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）由交银施罗德中证环境治理指数分级证券投资基金转型而成。交银施罗德中证环境治理指数分级证券投资基金基金份额持有人大会于</w:t>
      </w:r>
      <w:r>
        <w:rPr>
          <w:rFonts w:ascii="Times New Roman" w:hAnsi="Times New Roman"/>
          <w:kern w:val="0"/>
          <w:sz w:val="24"/>
        </w:rPr>
        <w:t>2016</w:t>
      </w:r>
      <w:r>
        <w:rPr>
          <w:rFonts w:ascii="Times New Roman" w:hAnsi="Times New Roman"/>
          <w:kern w:val="0"/>
          <w:sz w:val="24"/>
        </w:rPr>
        <w:t>年</w:t>
      </w:r>
      <w:r>
        <w:rPr>
          <w:rFonts w:ascii="Times New Roman" w:hAnsi="Times New Roman"/>
          <w:kern w:val="0"/>
          <w:sz w:val="24"/>
        </w:rPr>
        <w:t>6</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日审议通过《关于交银施罗德中证环境治理指数分级证券投资基金转型及基金合同修改有关事项的议案》，基金份额持有人大会决议自表决通过之日起生效，报中国证监会备案。自</w:t>
      </w:r>
      <w:r>
        <w:rPr>
          <w:rFonts w:ascii="Times New Roman" w:hAnsi="Times New Roman"/>
          <w:kern w:val="0"/>
          <w:sz w:val="24"/>
        </w:rPr>
        <w:t>2016</w:t>
      </w:r>
      <w:r>
        <w:rPr>
          <w:rFonts w:ascii="Times New Roman" w:hAnsi="Times New Roman"/>
          <w:kern w:val="0"/>
          <w:sz w:val="24"/>
        </w:rPr>
        <w:t>年</w:t>
      </w:r>
      <w:r>
        <w:rPr>
          <w:rFonts w:ascii="Times New Roman" w:hAnsi="Times New Roman"/>
          <w:kern w:val="0"/>
          <w:sz w:val="24"/>
        </w:rPr>
        <w:t>7</w:t>
      </w:r>
      <w:r>
        <w:rPr>
          <w:rFonts w:ascii="Times New Roman" w:hAnsi="Times New Roman"/>
          <w:kern w:val="0"/>
          <w:sz w:val="24"/>
        </w:rPr>
        <w:t>月</w:t>
      </w:r>
      <w:r>
        <w:rPr>
          <w:rFonts w:ascii="Times New Roman" w:hAnsi="Times New Roman"/>
          <w:kern w:val="0"/>
          <w:sz w:val="24"/>
        </w:rPr>
        <w:t>19</w:t>
      </w:r>
      <w:r>
        <w:rPr>
          <w:rFonts w:ascii="Times New Roman" w:hAnsi="Times New Roman"/>
          <w:kern w:val="0"/>
          <w:sz w:val="24"/>
        </w:rPr>
        <w:t>日起，由《交银施罗德中证环境治理指数分级证券投资基金基金合同》修订而成的《交银施罗德中证环境治理指数型证券投资基金（</w:t>
      </w:r>
      <w:r>
        <w:rPr>
          <w:rFonts w:ascii="Times New Roman" w:hAnsi="Times New Roman"/>
          <w:kern w:val="0"/>
          <w:sz w:val="24"/>
        </w:rPr>
        <w:t>LOF</w:t>
      </w:r>
      <w:r>
        <w:rPr>
          <w:rFonts w:ascii="Times New Roman" w:hAnsi="Times New Roman"/>
          <w:kern w:val="0"/>
          <w:sz w:val="24"/>
        </w:rPr>
        <w:t>）基金合同》生效。</w:t>
      </w:r>
    </w:p>
    <w:p w:rsidR="007B63EA" w:rsidRDefault="00ED741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交银施罗德中证环境治理指数分级证券投资基金募集的注册以及变更注册，并不表明其对本基金的价值和收益作出实质性判断或保证，也不表明投资于本基金没有风险。</w:t>
      </w:r>
      <w:r>
        <w:rPr>
          <w:rFonts w:ascii="Times New Roman" w:hAnsi="Times New Roman"/>
          <w:kern w:val="0"/>
          <w:sz w:val="24"/>
        </w:rPr>
        <w:t xml:space="preserve"> </w:t>
      </w:r>
      <w:r>
        <w:rPr>
          <w:rFonts w:ascii="Times New Roman" w:hAnsi="Times New Roman"/>
          <w:kern w:val="0"/>
          <w:sz w:val="24"/>
        </w:rPr>
        <w:t>中国证监会不对基金的投资价值及市场前景等作出实质性判断或保证。</w:t>
      </w:r>
    </w:p>
    <w:p w:rsidR="007B63EA" w:rsidRDefault="00ED741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7B63EA" w:rsidRDefault="00ED741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交易对手违约风险；投资股指期货的特定风险；投资科创板股票的特定风险；投资本基金特有的风险等等。投资本基金特有的风险主要包括指数化投资风险和基金运作的特有风险。其中指数化投资风险主要包括：标的指数回报与股票市场平均回报偏离的风险、标的指数波动的风险、基金投资组合回报与标的指数回报偏离的风险、标的指数变更的风险、跟踪误差控制未达约定目标的风险、指数编制机构停止服务的风险、</w:t>
      </w:r>
      <w:r>
        <w:rPr>
          <w:rFonts w:ascii="Times New Roman" w:hAnsi="Times New Roman"/>
          <w:kern w:val="0"/>
          <w:sz w:val="24"/>
        </w:rPr>
        <w:lastRenderedPageBreak/>
        <w:t>成份股停牌的风险等；基金运作的特有风险主要包括：上市交易风险、基金份额的折</w:t>
      </w:r>
      <w:r>
        <w:rPr>
          <w:rFonts w:ascii="Times New Roman" w:hAnsi="Times New Roman"/>
          <w:kern w:val="0"/>
          <w:sz w:val="24"/>
        </w:rPr>
        <w:t>/</w:t>
      </w:r>
      <w:r>
        <w:rPr>
          <w:rFonts w:ascii="Times New Roman" w:hAnsi="Times New Roman"/>
          <w:kern w:val="0"/>
          <w:sz w:val="24"/>
        </w:rPr>
        <w:t>溢价交易风险等。</w:t>
      </w:r>
    </w:p>
    <w:p w:rsidR="007B63EA" w:rsidRDefault="00ED741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本基金是一只股票型基金，其预期风险与预期收益高于混合型基金、债券型基金和货币市场基金，属于承担较高预期风险、预期收益较高的证券投资基金品种。</w:t>
      </w:r>
    </w:p>
    <w:p w:rsidR="007B63EA" w:rsidRDefault="00ED741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本基金为指数基金，投资者投资于本基金面临跟踪误差控制未达约定目标、指数编制机构停止服务、成份券停牌等潜在风险。</w:t>
      </w:r>
    </w:p>
    <w:p w:rsidR="007B63EA" w:rsidRDefault="00ED741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本基金标的指数为中证环境治理指数。</w:t>
      </w:r>
    </w:p>
    <w:p w:rsidR="007B63EA" w:rsidRDefault="00ED741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1</w:t>
      </w:r>
      <w:r>
        <w:rPr>
          <w:rFonts w:ascii="Times New Roman" w:hAnsi="Times New Roman"/>
          <w:kern w:val="0"/>
          <w:sz w:val="24"/>
        </w:rPr>
        <w:t>、选样空间</w:t>
      </w:r>
    </w:p>
    <w:p w:rsidR="007B63EA" w:rsidRDefault="00ED741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同中证全指指数的样本空间。</w:t>
      </w:r>
    </w:p>
    <w:p w:rsidR="007B63EA" w:rsidRDefault="00ED741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w:t>
      </w:r>
      <w:r>
        <w:rPr>
          <w:rFonts w:ascii="Times New Roman" w:hAnsi="Times New Roman"/>
          <w:kern w:val="0"/>
          <w:sz w:val="24"/>
        </w:rPr>
        <w:t>、选样方法</w:t>
      </w:r>
    </w:p>
    <w:p w:rsidR="007B63EA" w:rsidRDefault="00ED741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1</w:t>
      </w:r>
      <w:r>
        <w:rPr>
          <w:rFonts w:ascii="Times New Roman" w:hAnsi="Times New Roman"/>
          <w:kern w:val="0"/>
          <w:sz w:val="24"/>
        </w:rPr>
        <w:t>）对样本空间内证券按照过去一年的日均成交金额由高到低排名，剔除排名后</w:t>
      </w:r>
      <w:r>
        <w:rPr>
          <w:rFonts w:ascii="Times New Roman" w:hAnsi="Times New Roman"/>
          <w:kern w:val="0"/>
          <w:sz w:val="24"/>
        </w:rPr>
        <w:t>20%</w:t>
      </w:r>
      <w:r>
        <w:rPr>
          <w:rFonts w:ascii="Times New Roman" w:hAnsi="Times New Roman"/>
          <w:kern w:val="0"/>
          <w:sz w:val="24"/>
        </w:rPr>
        <w:t>的证券；</w:t>
      </w:r>
    </w:p>
    <w:p w:rsidR="007B63EA" w:rsidRDefault="00ED741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2</w:t>
      </w:r>
      <w:r>
        <w:rPr>
          <w:rFonts w:ascii="Times New Roman" w:hAnsi="Times New Roman"/>
          <w:kern w:val="0"/>
          <w:sz w:val="24"/>
        </w:rPr>
        <w:t>）对样本空间剩余证券，选取涉及污水处理、固废处理、大气治理和节能再生等环保业务的上市公司证券进入环保治理主题；</w:t>
      </w:r>
    </w:p>
    <w:p w:rsidR="007B63EA" w:rsidRDefault="00ED741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3</w:t>
      </w:r>
      <w:r>
        <w:rPr>
          <w:rFonts w:ascii="Times New Roman" w:hAnsi="Times New Roman"/>
          <w:kern w:val="0"/>
          <w:sz w:val="24"/>
        </w:rPr>
        <w:t>）将（</w:t>
      </w:r>
      <w:r>
        <w:rPr>
          <w:rFonts w:ascii="Times New Roman" w:hAnsi="Times New Roman"/>
          <w:kern w:val="0"/>
          <w:sz w:val="24"/>
        </w:rPr>
        <w:t>2</w:t>
      </w:r>
      <w:r>
        <w:rPr>
          <w:rFonts w:ascii="Times New Roman" w:hAnsi="Times New Roman"/>
          <w:kern w:val="0"/>
          <w:sz w:val="24"/>
        </w:rPr>
        <w:t>）中剩余证券按照最近一年日均总市值由高到低排名，选取排名在前</w:t>
      </w:r>
      <w:r>
        <w:rPr>
          <w:rFonts w:ascii="Times New Roman" w:hAnsi="Times New Roman"/>
          <w:kern w:val="0"/>
          <w:sz w:val="24"/>
        </w:rPr>
        <w:t>50</w:t>
      </w:r>
      <w:r>
        <w:rPr>
          <w:rFonts w:ascii="Times New Roman" w:hAnsi="Times New Roman"/>
          <w:kern w:val="0"/>
          <w:sz w:val="24"/>
        </w:rPr>
        <w:t>的证券作为指数样本。</w:t>
      </w:r>
    </w:p>
    <w:p w:rsidR="007B63EA" w:rsidRDefault="00ED741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3</w:t>
      </w:r>
      <w:r>
        <w:rPr>
          <w:rFonts w:ascii="Times New Roman" w:hAnsi="Times New Roman"/>
          <w:kern w:val="0"/>
          <w:sz w:val="24"/>
        </w:rPr>
        <w:t>、指数计算</w:t>
      </w:r>
    </w:p>
    <w:p w:rsidR="007B63EA" w:rsidRDefault="00ED741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指数计算公式为：</w:t>
      </w:r>
    </w:p>
    <w:p w:rsidR="007B63EA" w:rsidRDefault="00346591">
      <w:pPr>
        <w:autoSpaceDE w:val="0"/>
        <w:autoSpaceDN w:val="0"/>
        <w:adjustRightInd w:val="0"/>
        <w:snapToGrid w:val="0"/>
        <w:spacing w:line="360" w:lineRule="auto"/>
        <w:ind w:leftChars="50" w:left="105" w:firstLineChars="200" w:firstLine="480"/>
        <w:rPr>
          <w:rFonts w:ascii="宋体" w:hAnsi="宋体"/>
          <w:kern w:val="0"/>
          <w:sz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9pt;height:96pt">
            <v:imagedata r:id="rId14" o:title="1521256610242020828"/>
          </v:shape>
        </w:pict>
      </w:r>
    </w:p>
    <w:p w:rsidR="007B63EA" w:rsidRDefault="00ED741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其中，调整市值＝</w:t>
      </w:r>
      <w:r>
        <w:rPr>
          <w:rFonts w:ascii="Times New Roman" w:hAnsi="Times New Roman"/>
          <w:kern w:val="0"/>
          <w:sz w:val="24"/>
        </w:rPr>
        <w:t>∑</w:t>
      </w:r>
      <w:r>
        <w:rPr>
          <w:rFonts w:ascii="Times New Roman" w:hAnsi="Times New Roman"/>
          <w:kern w:val="0"/>
          <w:sz w:val="24"/>
        </w:rPr>
        <w:t>（证券价格</w:t>
      </w:r>
      <w:r>
        <w:rPr>
          <w:rFonts w:ascii="Times New Roman" w:hAnsi="Times New Roman"/>
          <w:kern w:val="0"/>
          <w:sz w:val="24"/>
        </w:rPr>
        <w:t>×</w:t>
      </w:r>
      <w:r>
        <w:rPr>
          <w:rFonts w:ascii="Times New Roman" w:hAnsi="Times New Roman"/>
          <w:kern w:val="0"/>
          <w:sz w:val="24"/>
        </w:rPr>
        <w:t>调整股本数</w:t>
      </w:r>
      <w:r>
        <w:rPr>
          <w:rFonts w:ascii="Times New Roman" w:hAnsi="Times New Roman"/>
          <w:kern w:val="0"/>
          <w:sz w:val="24"/>
        </w:rPr>
        <w:t>×</w:t>
      </w:r>
      <w:r>
        <w:rPr>
          <w:rFonts w:ascii="Times New Roman" w:hAnsi="Times New Roman"/>
          <w:kern w:val="0"/>
          <w:sz w:val="24"/>
        </w:rPr>
        <w:t>权重因子）。权重因子介于</w:t>
      </w:r>
      <w:r>
        <w:rPr>
          <w:rFonts w:ascii="Times New Roman" w:hAnsi="Times New Roman"/>
          <w:kern w:val="0"/>
          <w:sz w:val="24"/>
        </w:rPr>
        <w:t>0</w:t>
      </w:r>
      <w:r>
        <w:rPr>
          <w:rFonts w:ascii="Times New Roman" w:hAnsi="Times New Roman"/>
          <w:kern w:val="0"/>
          <w:sz w:val="24"/>
        </w:rPr>
        <w:t>和</w:t>
      </w:r>
      <w:r>
        <w:rPr>
          <w:rFonts w:ascii="Times New Roman" w:hAnsi="Times New Roman"/>
          <w:kern w:val="0"/>
          <w:sz w:val="24"/>
        </w:rPr>
        <w:t>1</w:t>
      </w:r>
      <w:r>
        <w:rPr>
          <w:rFonts w:ascii="Times New Roman" w:hAnsi="Times New Roman"/>
          <w:kern w:val="0"/>
          <w:sz w:val="24"/>
        </w:rPr>
        <w:t>之间，以使所有样本权重相等。</w:t>
      </w:r>
    </w:p>
    <w:p w:rsidR="007B63EA" w:rsidRDefault="00ED741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有关标的指数具体编制方案及成份股信息详见中证指数有限公司官方网站，网址：</w:t>
      </w:r>
      <w:r>
        <w:rPr>
          <w:rFonts w:ascii="Times New Roman" w:hAnsi="Times New Roman"/>
          <w:kern w:val="0"/>
          <w:sz w:val="24"/>
        </w:rPr>
        <w:t>www.csindex.com.cn</w:t>
      </w:r>
      <w:r>
        <w:rPr>
          <w:rFonts w:ascii="Times New Roman" w:hAnsi="Times New Roman"/>
          <w:kern w:val="0"/>
          <w:sz w:val="24"/>
        </w:rPr>
        <w:t>。</w:t>
      </w:r>
    </w:p>
    <w:p w:rsidR="007B63EA" w:rsidRDefault="00ED741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w:t>
      </w:r>
      <w:r>
        <w:rPr>
          <w:rFonts w:ascii="Times New Roman" w:hAnsi="Times New Roman"/>
          <w:kern w:val="0"/>
          <w:sz w:val="24"/>
        </w:rPr>
        <w:lastRenderedPageBreak/>
        <w:t>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7B63EA" w:rsidRDefault="00ED741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7B63EA" w:rsidRDefault="00ED741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和基金合同、基金产品资料概要等信息披露文件。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7B63EA" w:rsidRDefault="00ED741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7B63EA" w:rsidRDefault="007B63EA">
      <w:pPr>
        <w:autoSpaceDE w:val="0"/>
        <w:autoSpaceDN w:val="0"/>
        <w:adjustRightInd w:val="0"/>
        <w:snapToGrid w:val="0"/>
        <w:spacing w:before="51" w:line="360" w:lineRule="auto"/>
        <w:ind w:left="120" w:rightChars="6" w:right="13" w:firstLine="480"/>
        <w:rPr>
          <w:rFonts w:ascii="宋体" w:hAnsi="宋体"/>
          <w:kern w:val="0"/>
          <w:szCs w:val="24"/>
        </w:rPr>
        <w:sectPr w:rsidR="007B63EA">
          <w:headerReference w:type="default" r:id="rId15"/>
          <w:pgSz w:w="11920" w:h="16840"/>
          <w:pgMar w:top="1440" w:right="1680" w:bottom="280" w:left="1680" w:header="0" w:footer="1073" w:gutter="0"/>
          <w:pgNumType w:start="1"/>
          <w:cols w:space="720"/>
        </w:sectPr>
      </w:pPr>
    </w:p>
    <w:p w:rsidR="00346591" w:rsidRPr="00346591" w:rsidRDefault="00ED741E" w:rsidP="00346591">
      <w:pPr>
        <w:pStyle w:val="ad"/>
        <w:snapToGrid w:val="0"/>
        <w:spacing w:after="240" w:line="360" w:lineRule="auto"/>
        <w:jc w:val="center"/>
        <w:rPr>
          <w:rFonts w:ascii="宋体" w:hAnsi="宋体"/>
          <w:noProof/>
          <w:sz w:val="24"/>
        </w:rPr>
      </w:pPr>
      <w:r w:rsidRPr="00346591">
        <w:rPr>
          <w:rFonts w:ascii="宋体" w:hAnsi="宋体"/>
          <w:color w:val="000000"/>
          <w:position w:val="-4"/>
          <w:sz w:val="24"/>
          <w:szCs w:val="30"/>
        </w:rPr>
        <w:lastRenderedPageBreak/>
        <w:t>目</w:t>
      </w:r>
      <w:r w:rsidRPr="00346591">
        <w:rPr>
          <w:rFonts w:ascii="宋体" w:hAnsi="宋体"/>
          <w:color w:val="000000"/>
          <w:position w:val="-4"/>
          <w:sz w:val="24"/>
          <w:szCs w:val="30"/>
        </w:rPr>
        <w:tab/>
        <w:t>录</w:t>
      </w:r>
      <w:r w:rsidR="00346591" w:rsidRPr="00346591">
        <w:rPr>
          <w:rFonts w:ascii="宋体" w:hAnsi="宋体"/>
          <w:color w:val="000000"/>
          <w:position w:val="-4"/>
          <w:sz w:val="24"/>
          <w:szCs w:val="30"/>
        </w:rPr>
        <w:fldChar w:fldCharType="begin"/>
      </w:r>
      <w:r w:rsidR="00346591" w:rsidRPr="00346591">
        <w:rPr>
          <w:rFonts w:ascii="宋体" w:hAnsi="宋体"/>
          <w:color w:val="000000"/>
          <w:position w:val="-4"/>
          <w:sz w:val="24"/>
          <w:szCs w:val="30"/>
        </w:rPr>
        <w:instrText xml:space="preserve"> TOC \o "1-3" \f - \h \t "-1" </w:instrText>
      </w:r>
      <w:r w:rsidR="00346591" w:rsidRPr="00346591">
        <w:rPr>
          <w:rFonts w:ascii="宋体" w:hAnsi="宋体"/>
          <w:color w:val="000000"/>
          <w:position w:val="-4"/>
          <w:sz w:val="24"/>
          <w:szCs w:val="30"/>
        </w:rPr>
        <w:fldChar w:fldCharType="separate"/>
      </w:r>
    </w:p>
    <w:p w:rsidR="00346591" w:rsidRPr="00346591" w:rsidRDefault="00346591" w:rsidP="00346591">
      <w:pPr>
        <w:pStyle w:val="10"/>
        <w:tabs>
          <w:tab w:val="right" w:leader="dot" w:pos="8550"/>
        </w:tabs>
        <w:spacing w:line="360" w:lineRule="auto"/>
        <w:rPr>
          <w:rFonts w:ascii="宋体" w:hAnsi="宋体" w:cstheme="minorBidi"/>
          <w:noProof/>
          <w:sz w:val="24"/>
        </w:rPr>
      </w:pPr>
      <w:hyperlink w:anchor="_Toc234408655" w:history="1">
        <w:r w:rsidRPr="00346591">
          <w:rPr>
            <w:rStyle w:val="aa"/>
            <w:rFonts w:ascii="宋体" w:hAnsi="宋体" w:hint="eastAsia"/>
            <w:noProof/>
            <w:kern w:val="0"/>
            <w:sz w:val="24"/>
          </w:rPr>
          <w:t>重要提示</w:t>
        </w:r>
        <w:r w:rsidRPr="00346591">
          <w:rPr>
            <w:rFonts w:ascii="宋体" w:hAnsi="宋体"/>
            <w:noProof/>
            <w:sz w:val="24"/>
          </w:rPr>
          <w:tab/>
        </w:r>
        <w:r w:rsidRPr="00346591">
          <w:rPr>
            <w:rFonts w:ascii="宋体" w:hAnsi="宋体"/>
            <w:noProof/>
            <w:sz w:val="24"/>
          </w:rPr>
          <w:fldChar w:fldCharType="begin"/>
        </w:r>
        <w:r w:rsidRPr="00346591">
          <w:rPr>
            <w:rFonts w:ascii="宋体" w:hAnsi="宋体"/>
            <w:noProof/>
            <w:sz w:val="24"/>
          </w:rPr>
          <w:instrText xml:space="preserve"> PAGEREF _Toc234408655 \h </w:instrText>
        </w:r>
        <w:r w:rsidRPr="00346591">
          <w:rPr>
            <w:rFonts w:ascii="宋体" w:hAnsi="宋体"/>
            <w:noProof/>
            <w:sz w:val="24"/>
          </w:rPr>
        </w:r>
        <w:r w:rsidRPr="00346591">
          <w:rPr>
            <w:rFonts w:ascii="宋体" w:hAnsi="宋体"/>
            <w:noProof/>
            <w:sz w:val="24"/>
          </w:rPr>
          <w:fldChar w:fldCharType="separate"/>
        </w:r>
        <w:r w:rsidRPr="00346591">
          <w:rPr>
            <w:rFonts w:ascii="宋体" w:hAnsi="宋体"/>
            <w:noProof/>
            <w:sz w:val="24"/>
          </w:rPr>
          <w:t>1</w:t>
        </w:r>
        <w:r w:rsidRPr="00346591">
          <w:rPr>
            <w:rFonts w:ascii="宋体" w:hAnsi="宋体"/>
            <w:noProof/>
            <w:sz w:val="24"/>
          </w:rPr>
          <w:fldChar w:fldCharType="end"/>
        </w:r>
      </w:hyperlink>
    </w:p>
    <w:p w:rsidR="00346591" w:rsidRPr="00346591" w:rsidRDefault="00346591" w:rsidP="00346591">
      <w:pPr>
        <w:pStyle w:val="10"/>
        <w:tabs>
          <w:tab w:val="right" w:leader="dot" w:pos="8550"/>
        </w:tabs>
        <w:spacing w:line="360" w:lineRule="auto"/>
        <w:rPr>
          <w:rFonts w:ascii="宋体" w:hAnsi="宋体" w:cstheme="minorBidi"/>
          <w:noProof/>
          <w:sz w:val="24"/>
        </w:rPr>
      </w:pPr>
      <w:hyperlink w:anchor="_Toc234408656" w:history="1">
        <w:r w:rsidRPr="00346591">
          <w:rPr>
            <w:rStyle w:val="aa"/>
            <w:rFonts w:ascii="宋体" w:hAnsi="宋体" w:hint="eastAsia"/>
            <w:noProof/>
            <w:sz w:val="24"/>
          </w:rPr>
          <w:t>一、绪言</w:t>
        </w:r>
        <w:r w:rsidRPr="00346591">
          <w:rPr>
            <w:rFonts w:ascii="宋体" w:hAnsi="宋体"/>
            <w:noProof/>
            <w:sz w:val="24"/>
          </w:rPr>
          <w:tab/>
        </w:r>
        <w:r w:rsidRPr="00346591">
          <w:rPr>
            <w:rFonts w:ascii="宋体" w:hAnsi="宋体"/>
            <w:noProof/>
            <w:sz w:val="24"/>
          </w:rPr>
          <w:fldChar w:fldCharType="begin"/>
        </w:r>
        <w:r w:rsidRPr="00346591">
          <w:rPr>
            <w:rFonts w:ascii="宋体" w:hAnsi="宋体"/>
            <w:noProof/>
            <w:sz w:val="24"/>
          </w:rPr>
          <w:instrText xml:space="preserve"> PAGEREF _Toc234408656 \h </w:instrText>
        </w:r>
        <w:r w:rsidRPr="00346591">
          <w:rPr>
            <w:rFonts w:ascii="宋体" w:hAnsi="宋体"/>
            <w:noProof/>
            <w:sz w:val="24"/>
          </w:rPr>
        </w:r>
        <w:r w:rsidRPr="00346591">
          <w:rPr>
            <w:rFonts w:ascii="宋体" w:hAnsi="宋体"/>
            <w:noProof/>
            <w:sz w:val="24"/>
          </w:rPr>
          <w:fldChar w:fldCharType="separate"/>
        </w:r>
        <w:r w:rsidRPr="00346591">
          <w:rPr>
            <w:rFonts w:ascii="宋体" w:hAnsi="宋体"/>
            <w:noProof/>
            <w:sz w:val="24"/>
          </w:rPr>
          <w:t>5</w:t>
        </w:r>
        <w:r w:rsidRPr="00346591">
          <w:rPr>
            <w:rFonts w:ascii="宋体" w:hAnsi="宋体"/>
            <w:noProof/>
            <w:sz w:val="24"/>
          </w:rPr>
          <w:fldChar w:fldCharType="end"/>
        </w:r>
      </w:hyperlink>
    </w:p>
    <w:p w:rsidR="00346591" w:rsidRPr="00346591" w:rsidRDefault="00346591" w:rsidP="00346591">
      <w:pPr>
        <w:pStyle w:val="10"/>
        <w:tabs>
          <w:tab w:val="right" w:leader="dot" w:pos="8550"/>
        </w:tabs>
        <w:spacing w:line="360" w:lineRule="auto"/>
        <w:rPr>
          <w:rFonts w:ascii="宋体" w:hAnsi="宋体" w:cstheme="minorBidi"/>
          <w:noProof/>
          <w:sz w:val="24"/>
        </w:rPr>
      </w:pPr>
      <w:hyperlink w:anchor="_Toc234408657" w:history="1">
        <w:r w:rsidRPr="00346591">
          <w:rPr>
            <w:rStyle w:val="aa"/>
            <w:rFonts w:ascii="宋体" w:hAnsi="宋体" w:hint="eastAsia"/>
            <w:noProof/>
            <w:sz w:val="24"/>
          </w:rPr>
          <w:t>二、释义</w:t>
        </w:r>
        <w:r w:rsidRPr="00346591">
          <w:rPr>
            <w:rFonts w:ascii="宋体" w:hAnsi="宋体"/>
            <w:noProof/>
            <w:sz w:val="24"/>
          </w:rPr>
          <w:tab/>
        </w:r>
        <w:r w:rsidRPr="00346591">
          <w:rPr>
            <w:rFonts w:ascii="宋体" w:hAnsi="宋体"/>
            <w:noProof/>
            <w:sz w:val="24"/>
          </w:rPr>
          <w:fldChar w:fldCharType="begin"/>
        </w:r>
        <w:r w:rsidRPr="00346591">
          <w:rPr>
            <w:rFonts w:ascii="宋体" w:hAnsi="宋体"/>
            <w:noProof/>
            <w:sz w:val="24"/>
          </w:rPr>
          <w:instrText xml:space="preserve"> PAGEREF _Toc234408657 \h </w:instrText>
        </w:r>
        <w:r w:rsidRPr="00346591">
          <w:rPr>
            <w:rFonts w:ascii="宋体" w:hAnsi="宋体"/>
            <w:noProof/>
            <w:sz w:val="24"/>
          </w:rPr>
        </w:r>
        <w:r w:rsidRPr="00346591">
          <w:rPr>
            <w:rFonts w:ascii="宋体" w:hAnsi="宋体"/>
            <w:noProof/>
            <w:sz w:val="24"/>
          </w:rPr>
          <w:fldChar w:fldCharType="separate"/>
        </w:r>
        <w:r w:rsidRPr="00346591">
          <w:rPr>
            <w:rFonts w:ascii="宋体" w:hAnsi="宋体"/>
            <w:noProof/>
            <w:sz w:val="24"/>
          </w:rPr>
          <w:t>6</w:t>
        </w:r>
        <w:r w:rsidRPr="00346591">
          <w:rPr>
            <w:rFonts w:ascii="宋体" w:hAnsi="宋体"/>
            <w:noProof/>
            <w:sz w:val="24"/>
          </w:rPr>
          <w:fldChar w:fldCharType="end"/>
        </w:r>
      </w:hyperlink>
    </w:p>
    <w:p w:rsidR="00346591" w:rsidRPr="00346591" w:rsidRDefault="00346591" w:rsidP="00346591">
      <w:pPr>
        <w:pStyle w:val="10"/>
        <w:tabs>
          <w:tab w:val="right" w:leader="dot" w:pos="8550"/>
        </w:tabs>
        <w:spacing w:line="360" w:lineRule="auto"/>
        <w:rPr>
          <w:rFonts w:ascii="宋体" w:hAnsi="宋体" w:cstheme="minorBidi"/>
          <w:noProof/>
          <w:sz w:val="24"/>
        </w:rPr>
      </w:pPr>
      <w:hyperlink w:anchor="_Toc234408658" w:history="1">
        <w:r w:rsidRPr="00346591">
          <w:rPr>
            <w:rStyle w:val="aa"/>
            <w:rFonts w:ascii="宋体" w:hAnsi="宋体" w:hint="eastAsia"/>
            <w:noProof/>
            <w:sz w:val="24"/>
          </w:rPr>
          <w:t>三、基金管理人</w:t>
        </w:r>
        <w:r w:rsidRPr="00346591">
          <w:rPr>
            <w:rFonts w:ascii="宋体" w:hAnsi="宋体"/>
            <w:noProof/>
            <w:sz w:val="24"/>
          </w:rPr>
          <w:tab/>
        </w:r>
        <w:r w:rsidRPr="00346591">
          <w:rPr>
            <w:rFonts w:ascii="宋体" w:hAnsi="宋体"/>
            <w:noProof/>
            <w:sz w:val="24"/>
          </w:rPr>
          <w:fldChar w:fldCharType="begin"/>
        </w:r>
        <w:r w:rsidRPr="00346591">
          <w:rPr>
            <w:rFonts w:ascii="宋体" w:hAnsi="宋体"/>
            <w:noProof/>
            <w:sz w:val="24"/>
          </w:rPr>
          <w:instrText xml:space="preserve"> PAGEREF _Toc234408658 \h </w:instrText>
        </w:r>
        <w:r w:rsidRPr="00346591">
          <w:rPr>
            <w:rFonts w:ascii="宋体" w:hAnsi="宋体"/>
            <w:noProof/>
            <w:sz w:val="24"/>
          </w:rPr>
        </w:r>
        <w:r w:rsidRPr="00346591">
          <w:rPr>
            <w:rFonts w:ascii="宋体" w:hAnsi="宋体"/>
            <w:noProof/>
            <w:sz w:val="24"/>
          </w:rPr>
          <w:fldChar w:fldCharType="separate"/>
        </w:r>
        <w:r w:rsidRPr="00346591">
          <w:rPr>
            <w:rFonts w:ascii="宋体" w:hAnsi="宋体"/>
            <w:noProof/>
            <w:sz w:val="24"/>
          </w:rPr>
          <w:t>12</w:t>
        </w:r>
        <w:r w:rsidRPr="00346591">
          <w:rPr>
            <w:rFonts w:ascii="宋体" w:hAnsi="宋体"/>
            <w:noProof/>
            <w:sz w:val="24"/>
          </w:rPr>
          <w:fldChar w:fldCharType="end"/>
        </w:r>
      </w:hyperlink>
    </w:p>
    <w:p w:rsidR="00346591" w:rsidRPr="00346591" w:rsidRDefault="00346591" w:rsidP="00346591">
      <w:pPr>
        <w:pStyle w:val="10"/>
        <w:tabs>
          <w:tab w:val="right" w:leader="dot" w:pos="8550"/>
        </w:tabs>
        <w:spacing w:line="360" w:lineRule="auto"/>
        <w:rPr>
          <w:rFonts w:ascii="宋体" w:hAnsi="宋体" w:cstheme="minorBidi"/>
          <w:noProof/>
          <w:sz w:val="24"/>
        </w:rPr>
      </w:pPr>
      <w:hyperlink w:anchor="_Toc234408659" w:history="1">
        <w:r w:rsidRPr="00346591">
          <w:rPr>
            <w:rStyle w:val="aa"/>
            <w:rFonts w:ascii="宋体" w:hAnsi="宋体" w:hint="eastAsia"/>
            <w:noProof/>
            <w:sz w:val="24"/>
          </w:rPr>
          <w:t>四、基金托管人</w:t>
        </w:r>
        <w:r w:rsidRPr="00346591">
          <w:rPr>
            <w:rFonts w:ascii="宋体" w:hAnsi="宋体"/>
            <w:noProof/>
            <w:sz w:val="24"/>
          </w:rPr>
          <w:tab/>
        </w:r>
        <w:r w:rsidRPr="00346591">
          <w:rPr>
            <w:rFonts w:ascii="宋体" w:hAnsi="宋体"/>
            <w:noProof/>
            <w:sz w:val="24"/>
          </w:rPr>
          <w:fldChar w:fldCharType="begin"/>
        </w:r>
        <w:r w:rsidRPr="00346591">
          <w:rPr>
            <w:rFonts w:ascii="宋体" w:hAnsi="宋体"/>
            <w:noProof/>
            <w:sz w:val="24"/>
          </w:rPr>
          <w:instrText xml:space="preserve"> PAGEREF _Toc234408659 \h </w:instrText>
        </w:r>
        <w:r w:rsidRPr="00346591">
          <w:rPr>
            <w:rFonts w:ascii="宋体" w:hAnsi="宋体"/>
            <w:noProof/>
            <w:sz w:val="24"/>
          </w:rPr>
        </w:r>
        <w:r w:rsidRPr="00346591">
          <w:rPr>
            <w:rFonts w:ascii="宋体" w:hAnsi="宋体"/>
            <w:noProof/>
            <w:sz w:val="24"/>
          </w:rPr>
          <w:fldChar w:fldCharType="separate"/>
        </w:r>
        <w:r w:rsidRPr="00346591">
          <w:rPr>
            <w:rFonts w:ascii="宋体" w:hAnsi="宋体"/>
            <w:noProof/>
            <w:sz w:val="24"/>
          </w:rPr>
          <w:t>20</w:t>
        </w:r>
        <w:r w:rsidRPr="00346591">
          <w:rPr>
            <w:rFonts w:ascii="宋体" w:hAnsi="宋体"/>
            <w:noProof/>
            <w:sz w:val="24"/>
          </w:rPr>
          <w:fldChar w:fldCharType="end"/>
        </w:r>
      </w:hyperlink>
    </w:p>
    <w:p w:rsidR="00346591" w:rsidRPr="00346591" w:rsidRDefault="00346591" w:rsidP="00346591">
      <w:pPr>
        <w:pStyle w:val="10"/>
        <w:tabs>
          <w:tab w:val="right" w:leader="dot" w:pos="8550"/>
        </w:tabs>
        <w:spacing w:line="360" w:lineRule="auto"/>
        <w:rPr>
          <w:rFonts w:ascii="宋体" w:hAnsi="宋体" w:cstheme="minorBidi"/>
          <w:noProof/>
          <w:sz w:val="24"/>
        </w:rPr>
      </w:pPr>
      <w:hyperlink w:anchor="_Toc234408660" w:history="1">
        <w:r w:rsidRPr="00346591">
          <w:rPr>
            <w:rStyle w:val="aa"/>
            <w:rFonts w:ascii="宋体" w:hAnsi="宋体" w:hint="eastAsia"/>
            <w:noProof/>
            <w:sz w:val="24"/>
          </w:rPr>
          <w:t>五、相关服务机构</w:t>
        </w:r>
        <w:r w:rsidRPr="00346591">
          <w:rPr>
            <w:rFonts w:ascii="宋体" w:hAnsi="宋体"/>
            <w:noProof/>
            <w:sz w:val="24"/>
          </w:rPr>
          <w:tab/>
        </w:r>
        <w:r w:rsidRPr="00346591">
          <w:rPr>
            <w:rFonts w:ascii="宋体" w:hAnsi="宋体"/>
            <w:noProof/>
            <w:sz w:val="24"/>
          </w:rPr>
          <w:fldChar w:fldCharType="begin"/>
        </w:r>
        <w:r w:rsidRPr="00346591">
          <w:rPr>
            <w:rFonts w:ascii="宋体" w:hAnsi="宋体"/>
            <w:noProof/>
            <w:sz w:val="24"/>
          </w:rPr>
          <w:instrText xml:space="preserve"> PAGEREF _Toc234408660 \h </w:instrText>
        </w:r>
        <w:r w:rsidRPr="00346591">
          <w:rPr>
            <w:rFonts w:ascii="宋体" w:hAnsi="宋体"/>
            <w:noProof/>
            <w:sz w:val="24"/>
          </w:rPr>
        </w:r>
        <w:r w:rsidRPr="00346591">
          <w:rPr>
            <w:rFonts w:ascii="宋体" w:hAnsi="宋体"/>
            <w:noProof/>
            <w:sz w:val="24"/>
          </w:rPr>
          <w:fldChar w:fldCharType="separate"/>
        </w:r>
        <w:r w:rsidRPr="00346591">
          <w:rPr>
            <w:rFonts w:ascii="宋体" w:hAnsi="宋体"/>
            <w:noProof/>
            <w:sz w:val="24"/>
          </w:rPr>
          <w:t>24</w:t>
        </w:r>
        <w:r w:rsidRPr="00346591">
          <w:rPr>
            <w:rFonts w:ascii="宋体" w:hAnsi="宋体"/>
            <w:noProof/>
            <w:sz w:val="24"/>
          </w:rPr>
          <w:fldChar w:fldCharType="end"/>
        </w:r>
      </w:hyperlink>
    </w:p>
    <w:p w:rsidR="00346591" w:rsidRPr="00346591" w:rsidRDefault="00346591" w:rsidP="00346591">
      <w:pPr>
        <w:pStyle w:val="10"/>
        <w:tabs>
          <w:tab w:val="right" w:leader="dot" w:pos="8550"/>
        </w:tabs>
        <w:spacing w:line="360" w:lineRule="auto"/>
        <w:rPr>
          <w:rFonts w:ascii="宋体" w:hAnsi="宋体" w:cstheme="minorBidi"/>
          <w:noProof/>
          <w:sz w:val="24"/>
        </w:rPr>
      </w:pPr>
      <w:hyperlink w:anchor="_Toc234408661" w:history="1">
        <w:r w:rsidRPr="00346591">
          <w:rPr>
            <w:rStyle w:val="aa"/>
            <w:rFonts w:ascii="宋体" w:hAnsi="宋体" w:hint="eastAsia"/>
            <w:noProof/>
            <w:sz w:val="24"/>
          </w:rPr>
          <w:t>六、基金的历史沿革</w:t>
        </w:r>
        <w:r w:rsidRPr="00346591">
          <w:rPr>
            <w:rFonts w:ascii="宋体" w:hAnsi="宋体"/>
            <w:noProof/>
            <w:sz w:val="24"/>
          </w:rPr>
          <w:tab/>
        </w:r>
        <w:r w:rsidRPr="00346591">
          <w:rPr>
            <w:rFonts w:ascii="宋体" w:hAnsi="宋体"/>
            <w:noProof/>
            <w:sz w:val="24"/>
          </w:rPr>
          <w:fldChar w:fldCharType="begin"/>
        </w:r>
        <w:r w:rsidRPr="00346591">
          <w:rPr>
            <w:rFonts w:ascii="宋体" w:hAnsi="宋体"/>
            <w:noProof/>
            <w:sz w:val="24"/>
          </w:rPr>
          <w:instrText xml:space="preserve"> PAGEREF _Toc234408661 \h </w:instrText>
        </w:r>
        <w:r w:rsidRPr="00346591">
          <w:rPr>
            <w:rFonts w:ascii="宋体" w:hAnsi="宋体"/>
            <w:noProof/>
            <w:sz w:val="24"/>
          </w:rPr>
        </w:r>
        <w:r w:rsidRPr="00346591">
          <w:rPr>
            <w:rFonts w:ascii="宋体" w:hAnsi="宋体"/>
            <w:noProof/>
            <w:sz w:val="24"/>
          </w:rPr>
          <w:fldChar w:fldCharType="separate"/>
        </w:r>
        <w:r w:rsidRPr="00346591">
          <w:rPr>
            <w:rFonts w:ascii="宋体" w:hAnsi="宋体"/>
            <w:noProof/>
            <w:sz w:val="24"/>
          </w:rPr>
          <w:t>52</w:t>
        </w:r>
        <w:r w:rsidRPr="00346591">
          <w:rPr>
            <w:rFonts w:ascii="宋体" w:hAnsi="宋体"/>
            <w:noProof/>
            <w:sz w:val="24"/>
          </w:rPr>
          <w:fldChar w:fldCharType="end"/>
        </w:r>
      </w:hyperlink>
    </w:p>
    <w:p w:rsidR="00346591" w:rsidRPr="00346591" w:rsidRDefault="00346591" w:rsidP="00346591">
      <w:pPr>
        <w:pStyle w:val="10"/>
        <w:tabs>
          <w:tab w:val="right" w:leader="dot" w:pos="8550"/>
        </w:tabs>
        <w:spacing w:line="360" w:lineRule="auto"/>
        <w:rPr>
          <w:rFonts w:ascii="宋体" w:hAnsi="宋体" w:cstheme="minorBidi"/>
          <w:noProof/>
          <w:sz w:val="24"/>
        </w:rPr>
      </w:pPr>
      <w:hyperlink w:anchor="_Toc234408662" w:history="1">
        <w:r w:rsidRPr="00346591">
          <w:rPr>
            <w:rStyle w:val="aa"/>
            <w:rFonts w:ascii="宋体" w:hAnsi="宋体" w:hint="eastAsia"/>
            <w:noProof/>
            <w:sz w:val="24"/>
          </w:rPr>
          <w:t>七、基金的存续</w:t>
        </w:r>
        <w:r w:rsidRPr="00346591">
          <w:rPr>
            <w:rFonts w:ascii="宋体" w:hAnsi="宋体"/>
            <w:noProof/>
            <w:sz w:val="24"/>
          </w:rPr>
          <w:tab/>
        </w:r>
        <w:r w:rsidRPr="00346591">
          <w:rPr>
            <w:rFonts w:ascii="宋体" w:hAnsi="宋体"/>
            <w:noProof/>
            <w:sz w:val="24"/>
          </w:rPr>
          <w:fldChar w:fldCharType="begin"/>
        </w:r>
        <w:r w:rsidRPr="00346591">
          <w:rPr>
            <w:rFonts w:ascii="宋体" w:hAnsi="宋体"/>
            <w:noProof/>
            <w:sz w:val="24"/>
          </w:rPr>
          <w:instrText xml:space="preserve"> PAGEREF _Toc234408662 \h </w:instrText>
        </w:r>
        <w:r w:rsidRPr="00346591">
          <w:rPr>
            <w:rFonts w:ascii="宋体" w:hAnsi="宋体"/>
            <w:noProof/>
            <w:sz w:val="24"/>
          </w:rPr>
        </w:r>
        <w:r w:rsidRPr="00346591">
          <w:rPr>
            <w:rFonts w:ascii="宋体" w:hAnsi="宋体"/>
            <w:noProof/>
            <w:sz w:val="24"/>
          </w:rPr>
          <w:fldChar w:fldCharType="separate"/>
        </w:r>
        <w:r w:rsidRPr="00346591">
          <w:rPr>
            <w:rFonts w:ascii="宋体" w:hAnsi="宋体"/>
            <w:noProof/>
            <w:sz w:val="24"/>
          </w:rPr>
          <w:t>53</w:t>
        </w:r>
        <w:r w:rsidRPr="00346591">
          <w:rPr>
            <w:rFonts w:ascii="宋体" w:hAnsi="宋体"/>
            <w:noProof/>
            <w:sz w:val="24"/>
          </w:rPr>
          <w:fldChar w:fldCharType="end"/>
        </w:r>
      </w:hyperlink>
    </w:p>
    <w:p w:rsidR="00346591" w:rsidRPr="00346591" w:rsidRDefault="00346591" w:rsidP="00346591">
      <w:pPr>
        <w:pStyle w:val="10"/>
        <w:tabs>
          <w:tab w:val="right" w:leader="dot" w:pos="8550"/>
        </w:tabs>
        <w:spacing w:line="360" w:lineRule="auto"/>
        <w:rPr>
          <w:rFonts w:ascii="宋体" w:hAnsi="宋体" w:cstheme="minorBidi"/>
          <w:noProof/>
          <w:sz w:val="24"/>
        </w:rPr>
      </w:pPr>
      <w:hyperlink w:anchor="_Toc234408663" w:history="1">
        <w:r w:rsidRPr="00346591">
          <w:rPr>
            <w:rStyle w:val="aa"/>
            <w:rFonts w:ascii="宋体" w:hAnsi="宋体" w:hint="eastAsia"/>
            <w:noProof/>
            <w:sz w:val="24"/>
          </w:rPr>
          <w:t>八、基金的上市交易</w:t>
        </w:r>
        <w:r w:rsidRPr="00346591">
          <w:rPr>
            <w:rFonts w:ascii="宋体" w:hAnsi="宋体"/>
            <w:noProof/>
            <w:sz w:val="24"/>
          </w:rPr>
          <w:tab/>
        </w:r>
        <w:r w:rsidRPr="00346591">
          <w:rPr>
            <w:rFonts w:ascii="宋体" w:hAnsi="宋体"/>
            <w:noProof/>
            <w:sz w:val="24"/>
          </w:rPr>
          <w:fldChar w:fldCharType="begin"/>
        </w:r>
        <w:r w:rsidRPr="00346591">
          <w:rPr>
            <w:rFonts w:ascii="宋体" w:hAnsi="宋体"/>
            <w:noProof/>
            <w:sz w:val="24"/>
          </w:rPr>
          <w:instrText xml:space="preserve"> PAGEREF _Toc234408663 \h </w:instrText>
        </w:r>
        <w:r w:rsidRPr="00346591">
          <w:rPr>
            <w:rFonts w:ascii="宋体" w:hAnsi="宋体"/>
            <w:noProof/>
            <w:sz w:val="24"/>
          </w:rPr>
        </w:r>
        <w:r w:rsidRPr="00346591">
          <w:rPr>
            <w:rFonts w:ascii="宋体" w:hAnsi="宋体"/>
            <w:noProof/>
            <w:sz w:val="24"/>
          </w:rPr>
          <w:fldChar w:fldCharType="separate"/>
        </w:r>
        <w:r w:rsidRPr="00346591">
          <w:rPr>
            <w:rFonts w:ascii="宋体" w:hAnsi="宋体"/>
            <w:noProof/>
            <w:sz w:val="24"/>
          </w:rPr>
          <w:t>54</w:t>
        </w:r>
        <w:r w:rsidRPr="00346591">
          <w:rPr>
            <w:rFonts w:ascii="宋体" w:hAnsi="宋体"/>
            <w:noProof/>
            <w:sz w:val="24"/>
          </w:rPr>
          <w:fldChar w:fldCharType="end"/>
        </w:r>
      </w:hyperlink>
    </w:p>
    <w:p w:rsidR="00346591" w:rsidRPr="00346591" w:rsidRDefault="00346591" w:rsidP="00346591">
      <w:pPr>
        <w:pStyle w:val="10"/>
        <w:tabs>
          <w:tab w:val="right" w:leader="dot" w:pos="8550"/>
        </w:tabs>
        <w:spacing w:line="360" w:lineRule="auto"/>
        <w:rPr>
          <w:rFonts w:ascii="宋体" w:hAnsi="宋体" w:cstheme="minorBidi"/>
          <w:noProof/>
          <w:sz w:val="24"/>
        </w:rPr>
      </w:pPr>
      <w:hyperlink w:anchor="_Toc234408664" w:history="1">
        <w:r w:rsidRPr="00346591">
          <w:rPr>
            <w:rStyle w:val="aa"/>
            <w:rFonts w:ascii="宋体" w:hAnsi="宋体" w:hint="eastAsia"/>
            <w:noProof/>
            <w:sz w:val="24"/>
          </w:rPr>
          <w:t>九、基金份额的申购与赎回</w:t>
        </w:r>
        <w:r w:rsidRPr="00346591">
          <w:rPr>
            <w:rFonts w:ascii="宋体" w:hAnsi="宋体"/>
            <w:noProof/>
            <w:sz w:val="24"/>
          </w:rPr>
          <w:tab/>
        </w:r>
        <w:r w:rsidRPr="00346591">
          <w:rPr>
            <w:rFonts w:ascii="宋体" w:hAnsi="宋体"/>
            <w:noProof/>
            <w:sz w:val="24"/>
          </w:rPr>
          <w:fldChar w:fldCharType="begin"/>
        </w:r>
        <w:r w:rsidRPr="00346591">
          <w:rPr>
            <w:rFonts w:ascii="宋体" w:hAnsi="宋体"/>
            <w:noProof/>
            <w:sz w:val="24"/>
          </w:rPr>
          <w:instrText xml:space="preserve"> PAGEREF _Toc234408664 \h </w:instrText>
        </w:r>
        <w:r w:rsidRPr="00346591">
          <w:rPr>
            <w:rFonts w:ascii="宋体" w:hAnsi="宋体"/>
            <w:noProof/>
            <w:sz w:val="24"/>
          </w:rPr>
        </w:r>
        <w:r w:rsidRPr="00346591">
          <w:rPr>
            <w:rFonts w:ascii="宋体" w:hAnsi="宋体"/>
            <w:noProof/>
            <w:sz w:val="24"/>
          </w:rPr>
          <w:fldChar w:fldCharType="separate"/>
        </w:r>
        <w:r w:rsidRPr="00346591">
          <w:rPr>
            <w:rFonts w:ascii="宋体" w:hAnsi="宋体"/>
            <w:noProof/>
            <w:sz w:val="24"/>
          </w:rPr>
          <w:t>56</w:t>
        </w:r>
        <w:r w:rsidRPr="00346591">
          <w:rPr>
            <w:rFonts w:ascii="宋体" w:hAnsi="宋体"/>
            <w:noProof/>
            <w:sz w:val="24"/>
          </w:rPr>
          <w:fldChar w:fldCharType="end"/>
        </w:r>
      </w:hyperlink>
    </w:p>
    <w:p w:rsidR="00346591" w:rsidRPr="00346591" w:rsidRDefault="00346591" w:rsidP="00346591">
      <w:pPr>
        <w:pStyle w:val="10"/>
        <w:tabs>
          <w:tab w:val="right" w:leader="dot" w:pos="8550"/>
        </w:tabs>
        <w:spacing w:line="360" w:lineRule="auto"/>
        <w:rPr>
          <w:rFonts w:ascii="宋体" w:hAnsi="宋体" w:cstheme="minorBidi"/>
          <w:noProof/>
          <w:sz w:val="24"/>
        </w:rPr>
      </w:pPr>
      <w:hyperlink w:anchor="_Toc234408665" w:history="1">
        <w:r w:rsidRPr="00346591">
          <w:rPr>
            <w:rStyle w:val="aa"/>
            <w:rFonts w:ascii="宋体" w:hAnsi="宋体" w:hint="eastAsia"/>
            <w:noProof/>
            <w:sz w:val="24"/>
          </w:rPr>
          <w:t>十、基金的投资</w:t>
        </w:r>
        <w:r w:rsidRPr="00346591">
          <w:rPr>
            <w:rFonts w:ascii="宋体" w:hAnsi="宋体"/>
            <w:noProof/>
            <w:sz w:val="24"/>
          </w:rPr>
          <w:tab/>
        </w:r>
        <w:r w:rsidRPr="00346591">
          <w:rPr>
            <w:rFonts w:ascii="宋体" w:hAnsi="宋体"/>
            <w:noProof/>
            <w:sz w:val="24"/>
          </w:rPr>
          <w:fldChar w:fldCharType="begin"/>
        </w:r>
        <w:r w:rsidRPr="00346591">
          <w:rPr>
            <w:rFonts w:ascii="宋体" w:hAnsi="宋体"/>
            <w:noProof/>
            <w:sz w:val="24"/>
          </w:rPr>
          <w:instrText xml:space="preserve"> PAGEREF _Toc234408665 \h </w:instrText>
        </w:r>
        <w:r w:rsidRPr="00346591">
          <w:rPr>
            <w:rFonts w:ascii="宋体" w:hAnsi="宋体"/>
            <w:noProof/>
            <w:sz w:val="24"/>
          </w:rPr>
        </w:r>
        <w:r w:rsidRPr="00346591">
          <w:rPr>
            <w:rFonts w:ascii="宋体" w:hAnsi="宋体"/>
            <w:noProof/>
            <w:sz w:val="24"/>
          </w:rPr>
          <w:fldChar w:fldCharType="separate"/>
        </w:r>
        <w:r w:rsidRPr="00346591">
          <w:rPr>
            <w:rFonts w:ascii="宋体" w:hAnsi="宋体"/>
            <w:noProof/>
            <w:sz w:val="24"/>
          </w:rPr>
          <w:t>71</w:t>
        </w:r>
        <w:r w:rsidRPr="00346591">
          <w:rPr>
            <w:rFonts w:ascii="宋体" w:hAnsi="宋体"/>
            <w:noProof/>
            <w:sz w:val="24"/>
          </w:rPr>
          <w:fldChar w:fldCharType="end"/>
        </w:r>
      </w:hyperlink>
    </w:p>
    <w:p w:rsidR="00346591" w:rsidRPr="00346591" w:rsidRDefault="00346591" w:rsidP="00346591">
      <w:pPr>
        <w:pStyle w:val="10"/>
        <w:tabs>
          <w:tab w:val="right" w:leader="dot" w:pos="8550"/>
        </w:tabs>
        <w:spacing w:line="360" w:lineRule="auto"/>
        <w:rPr>
          <w:rFonts w:ascii="宋体" w:hAnsi="宋体" w:cstheme="minorBidi"/>
          <w:noProof/>
          <w:sz w:val="24"/>
        </w:rPr>
      </w:pPr>
      <w:hyperlink w:anchor="_Toc234408666" w:history="1">
        <w:r w:rsidRPr="00346591">
          <w:rPr>
            <w:rStyle w:val="aa"/>
            <w:rFonts w:ascii="宋体" w:hAnsi="宋体" w:hint="eastAsia"/>
            <w:noProof/>
            <w:sz w:val="24"/>
          </w:rPr>
          <w:t>十一、基金的业绩</w:t>
        </w:r>
        <w:r w:rsidRPr="00346591">
          <w:rPr>
            <w:rFonts w:ascii="宋体" w:hAnsi="宋体"/>
            <w:noProof/>
            <w:sz w:val="24"/>
          </w:rPr>
          <w:tab/>
        </w:r>
        <w:r w:rsidRPr="00346591">
          <w:rPr>
            <w:rFonts w:ascii="宋体" w:hAnsi="宋体"/>
            <w:noProof/>
            <w:sz w:val="24"/>
          </w:rPr>
          <w:fldChar w:fldCharType="begin"/>
        </w:r>
        <w:r w:rsidRPr="00346591">
          <w:rPr>
            <w:rFonts w:ascii="宋体" w:hAnsi="宋体"/>
            <w:noProof/>
            <w:sz w:val="24"/>
          </w:rPr>
          <w:instrText xml:space="preserve"> PAGEREF _Toc234408666 \h </w:instrText>
        </w:r>
        <w:r w:rsidRPr="00346591">
          <w:rPr>
            <w:rFonts w:ascii="宋体" w:hAnsi="宋体"/>
            <w:noProof/>
            <w:sz w:val="24"/>
          </w:rPr>
        </w:r>
        <w:r w:rsidRPr="00346591">
          <w:rPr>
            <w:rFonts w:ascii="宋体" w:hAnsi="宋体"/>
            <w:noProof/>
            <w:sz w:val="24"/>
          </w:rPr>
          <w:fldChar w:fldCharType="separate"/>
        </w:r>
        <w:r w:rsidRPr="00346591">
          <w:rPr>
            <w:rFonts w:ascii="宋体" w:hAnsi="宋体"/>
            <w:noProof/>
            <w:sz w:val="24"/>
          </w:rPr>
          <w:t>82</w:t>
        </w:r>
        <w:r w:rsidRPr="00346591">
          <w:rPr>
            <w:rFonts w:ascii="宋体" w:hAnsi="宋体"/>
            <w:noProof/>
            <w:sz w:val="24"/>
          </w:rPr>
          <w:fldChar w:fldCharType="end"/>
        </w:r>
      </w:hyperlink>
    </w:p>
    <w:p w:rsidR="00346591" w:rsidRPr="00346591" w:rsidRDefault="00346591" w:rsidP="00346591">
      <w:pPr>
        <w:pStyle w:val="10"/>
        <w:tabs>
          <w:tab w:val="right" w:leader="dot" w:pos="8550"/>
        </w:tabs>
        <w:spacing w:line="360" w:lineRule="auto"/>
        <w:rPr>
          <w:rFonts w:ascii="宋体" w:hAnsi="宋体" w:cstheme="minorBidi"/>
          <w:noProof/>
          <w:sz w:val="24"/>
        </w:rPr>
      </w:pPr>
      <w:hyperlink w:anchor="_Toc234408667" w:history="1">
        <w:r w:rsidRPr="00346591">
          <w:rPr>
            <w:rStyle w:val="aa"/>
            <w:rFonts w:ascii="宋体" w:hAnsi="宋体" w:hint="eastAsia"/>
            <w:noProof/>
            <w:sz w:val="24"/>
          </w:rPr>
          <w:t>十二、基金的财产</w:t>
        </w:r>
        <w:r w:rsidRPr="00346591">
          <w:rPr>
            <w:rFonts w:ascii="宋体" w:hAnsi="宋体"/>
            <w:noProof/>
            <w:sz w:val="24"/>
          </w:rPr>
          <w:tab/>
        </w:r>
        <w:r w:rsidRPr="00346591">
          <w:rPr>
            <w:rFonts w:ascii="宋体" w:hAnsi="宋体"/>
            <w:noProof/>
            <w:sz w:val="24"/>
          </w:rPr>
          <w:fldChar w:fldCharType="begin"/>
        </w:r>
        <w:r w:rsidRPr="00346591">
          <w:rPr>
            <w:rFonts w:ascii="宋体" w:hAnsi="宋体"/>
            <w:noProof/>
            <w:sz w:val="24"/>
          </w:rPr>
          <w:instrText xml:space="preserve"> PAGEREF _Toc234408667 \h </w:instrText>
        </w:r>
        <w:r w:rsidRPr="00346591">
          <w:rPr>
            <w:rFonts w:ascii="宋体" w:hAnsi="宋体"/>
            <w:noProof/>
            <w:sz w:val="24"/>
          </w:rPr>
        </w:r>
        <w:r w:rsidRPr="00346591">
          <w:rPr>
            <w:rFonts w:ascii="宋体" w:hAnsi="宋体"/>
            <w:noProof/>
            <w:sz w:val="24"/>
          </w:rPr>
          <w:fldChar w:fldCharType="separate"/>
        </w:r>
        <w:r w:rsidRPr="00346591">
          <w:rPr>
            <w:rFonts w:ascii="宋体" w:hAnsi="宋体"/>
            <w:noProof/>
            <w:sz w:val="24"/>
          </w:rPr>
          <w:t>86</w:t>
        </w:r>
        <w:r w:rsidRPr="00346591">
          <w:rPr>
            <w:rFonts w:ascii="宋体" w:hAnsi="宋体"/>
            <w:noProof/>
            <w:sz w:val="24"/>
          </w:rPr>
          <w:fldChar w:fldCharType="end"/>
        </w:r>
      </w:hyperlink>
    </w:p>
    <w:p w:rsidR="00346591" w:rsidRPr="00346591" w:rsidRDefault="00346591" w:rsidP="00346591">
      <w:pPr>
        <w:pStyle w:val="10"/>
        <w:tabs>
          <w:tab w:val="right" w:leader="dot" w:pos="8550"/>
        </w:tabs>
        <w:spacing w:line="360" w:lineRule="auto"/>
        <w:rPr>
          <w:rFonts w:ascii="宋体" w:hAnsi="宋体" w:cstheme="minorBidi"/>
          <w:noProof/>
          <w:sz w:val="24"/>
        </w:rPr>
      </w:pPr>
      <w:hyperlink w:anchor="_Toc234408668" w:history="1">
        <w:r w:rsidRPr="00346591">
          <w:rPr>
            <w:rStyle w:val="aa"/>
            <w:rFonts w:ascii="宋体" w:hAnsi="宋体" w:hint="eastAsia"/>
            <w:noProof/>
            <w:sz w:val="24"/>
          </w:rPr>
          <w:t>十三、基金资产的估值</w:t>
        </w:r>
        <w:r w:rsidRPr="00346591">
          <w:rPr>
            <w:rFonts w:ascii="宋体" w:hAnsi="宋体"/>
            <w:noProof/>
            <w:sz w:val="24"/>
          </w:rPr>
          <w:tab/>
        </w:r>
        <w:r w:rsidRPr="00346591">
          <w:rPr>
            <w:rFonts w:ascii="宋体" w:hAnsi="宋体"/>
            <w:noProof/>
            <w:sz w:val="24"/>
          </w:rPr>
          <w:fldChar w:fldCharType="begin"/>
        </w:r>
        <w:r w:rsidRPr="00346591">
          <w:rPr>
            <w:rFonts w:ascii="宋体" w:hAnsi="宋体"/>
            <w:noProof/>
            <w:sz w:val="24"/>
          </w:rPr>
          <w:instrText xml:space="preserve"> PAGEREF _Toc234408668 \h </w:instrText>
        </w:r>
        <w:r w:rsidRPr="00346591">
          <w:rPr>
            <w:rFonts w:ascii="宋体" w:hAnsi="宋体"/>
            <w:noProof/>
            <w:sz w:val="24"/>
          </w:rPr>
        </w:r>
        <w:r w:rsidRPr="00346591">
          <w:rPr>
            <w:rFonts w:ascii="宋体" w:hAnsi="宋体"/>
            <w:noProof/>
            <w:sz w:val="24"/>
          </w:rPr>
          <w:fldChar w:fldCharType="separate"/>
        </w:r>
        <w:r w:rsidRPr="00346591">
          <w:rPr>
            <w:rFonts w:ascii="宋体" w:hAnsi="宋体"/>
            <w:noProof/>
            <w:sz w:val="24"/>
          </w:rPr>
          <w:t>87</w:t>
        </w:r>
        <w:r w:rsidRPr="00346591">
          <w:rPr>
            <w:rFonts w:ascii="宋体" w:hAnsi="宋体"/>
            <w:noProof/>
            <w:sz w:val="24"/>
          </w:rPr>
          <w:fldChar w:fldCharType="end"/>
        </w:r>
      </w:hyperlink>
    </w:p>
    <w:p w:rsidR="00346591" w:rsidRPr="00346591" w:rsidRDefault="00346591" w:rsidP="00346591">
      <w:pPr>
        <w:pStyle w:val="10"/>
        <w:tabs>
          <w:tab w:val="right" w:leader="dot" w:pos="8550"/>
        </w:tabs>
        <w:spacing w:line="360" w:lineRule="auto"/>
        <w:rPr>
          <w:rFonts w:ascii="宋体" w:hAnsi="宋体" w:cstheme="minorBidi"/>
          <w:noProof/>
          <w:sz w:val="24"/>
        </w:rPr>
      </w:pPr>
      <w:hyperlink w:anchor="_Toc234408669" w:history="1">
        <w:r w:rsidRPr="00346591">
          <w:rPr>
            <w:rStyle w:val="aa"/>
            <w:rFonts w:ascii="宋体" w:hAnsi="宋体" w:hint="eastAsia"/>
            <w:noProof/>
            <w:sz w:val="24"/>
          </w:rPr>
          <w:t>十四、基金收益与分配</w:t>
        </w:r>
        <w:r w:rsidRPr="00346591">
          <w:rPr>
            <w:rFonts w:ascii="宋体" w:hAnsi="宋体"/>
            <w:noProof/>
            <w:sz w:val="24"/>
          </w:rPr>
          <w:tab/>
        </w:r>
        <w:r w:rsidRPr="00346591">
          <w:rPr>
            <w:rFonts w:ascii="宋体" w:hAnsi="宋体"/>
            <w:noProof/>
            <w:sz w:val="24"/>
          </w:rPr>
          <w:fldChar w:fldCharType="begin"/>
        </w:r>
        <w:r w:rsidRPr="00346591">
          <w:rPr>
            <w:rFonts w:ascii="宋体" w:hAnsi="宋体"/>
            <w:noProof/>
            <w:sz w:val="24"/>
          </w:rPr>
          <w:instrText xml:space="preserve"> PAGEREF _Toc234408669 \h </w:instrText>
        </w:r>
        <w:r w:rsidRPr="00346591">
          <w:rPr>
            <w:rFonts w:ascii="宋体" w:hAnsi="宋体"/>
            <w:noProof/>
            <w:sz w:val="24"/>
          </w:rPr>
        </w:r>
        <w:r w:rsidRPr="00346591">
          <w:rPr>
            <w:rFonts w:ascii="宋体" w:hAnsi="宋体"/>
            <w:noProof/>
            <w:sz w:val="24"/>
          </w:rPr>
          <w:fldChar w:fldCharType="separate"/>
        </w:r>
        <w:r w:rsidRPr="00346591">
          <w:rPr>
            <w:rFonts w:ascii="宋体" w:hAnsi="宋体"/>
            <w:noProof/>
            <w:sz w:val="24"/>
          </w:rPr>
          <w:t>91</w:t>
        </w:r>
        <w:r w:rsidRPr="00346591">
          <w:rPr>
            <w:rFonts w:ascii="宋体" w:hAnsi="宋体"/>
            <w:noProof/>
            <w:sz w:val="24"/>
          </w:rPr>
          <w:fldChar w:fldCharType="end"/>
        </w:r>
      </w:hyperlink>
    </w:p>
    <w:p w:rsidR="00346591" w:rsidRPr="00346591" w:rsidRDefault="00346591" w:rsidP="00346591">
      <w:pPr>
        <w:pStyle w:val="10"/>
        <w:tabs>
          <w:tab w:val="right" w:leader="dot" w:pos="8550"/>
        </w:tabs>
        <w:spacing w:line="360" w:lineRule="auto"/>
        <w:rPr>
          <w:rFonts w:ascii="宋体" w:hAnsi="宋体" w:cstheme="minorBidi"/>
          <w:noProof/>
          <w:sz w:val="24"/>
        </w:rPr>
      </w:pPr>
      <w:hyperlink w:anchor="_Toc234408670" w:history="1">
        <w:r w:rsidRPr="00346591">
          <w:rPr>
            <w:rStyle w:val="aa"/>
            <w:rFonts w:ascii="宋体" w:hAnsi="宋体" w:hint="eastAsia"/>
            <w:noProof/>
            <w:sz w:val="24"/>
          </w:rPr>
          <w:t>十五、基金的费用与税收</w:t>
        </w:r>
        <w:r w:rsidRPr="00346591">
          <w:rPr>
            <w:rFonts w:ascii="宋体" w:hAnsi="宋体"/>
            <w:noProof/>
            <w:sz w:val="24"/>
          </w:rPr>
          <w:tab/>
        </w:r>
        <w:r w:rsidRPr="00346591">
          <w:rPr>
            <w:rFonts w:ascii="宋体" w:hAnsi="宋体"/>
            <w:noProof/>
            <w:sz w:val="24"/>
          </w:rPr>
          <w:fldChar w:fldCharType="begin"/>
        </w:r>
        <w:r w:rsidRPr="00346591">
          <w:rPr>
            <w:rFonts w:ascii="宋体" w:hAnsi="宋体"/>
            <w:noProof/>
            <w:sz w:val="24"/>
          </w:rPr>
          <w:instrText xml:space="preserve"> PAGEREF _Toc234408670 \h </w:instrText>
        </w:r>
        <w:r w:rsidRPr="00346591">
          <w:rPr>
            <w:rFonts w:ascii="宋体" w:hAnsi="宋体"/>
            <w:noProof/>
            <w:sz w:val="24"/>
          </w:rPr>
        </w:r>
        <w:r w:rsidRPr="00346591">
          <w:rPr>
            <w:rFonts w:ascii="宋体" w:hAnsi="宋体"/>
            <w:noProof/>
            <w:sz w:val="24"/>
          </w:rPr>
          <w:fldChar w:fldCharType="separate"/>
        </w:r>
        <w:r w:rsidRPr="00346591">
          <w:rPr>
            <w:rFonts w:ascii="宋体" w:hAnsi="宋体"/>
            <w:noProof/>
            <w:sz w:val="24"/>
          </w:rPr>
          <w:t>93</w:t>
        </w:r>
        <w:r w:rsidRPr="00346591">
          <w:rPr>
            <w:rFonts w:ascii="宋体" w:hAnsi="宋体"/>
            <w:noProof/>
            <w:sz w:val="24"/>
          </w:rPr>
          <w:fldChar w:fldCharType="end"/>
        </w:r>
      </w:hyperlink>
    </w:p>
    <w:p w:rsidR="00346591" w:rsidRPr="00346591" w:rsidRDefault="00346591" w:rsidP="00346591">
      <w:pPr>
        <w:pStyle w:val="10"/>
        <w:tabs>
          <w:tab w:val="right" w:leader="dot" w:pos="8550"/>
        </w:tabs>
        <w:spacing w:line="360" w:lineRule="auto"/>
        <w:rPr>
          <w:rFonts w:ascii="宋体" w:hAnsi="宋体" w:cstheme="minorBidi"/>
          <w:noProof/>
          <w:sz w:val="24"/>
        </w:rPr>
      </w:pPr>
      <w:hyperlink w:anchor="_Toc234408671" w:history="1">
        <w:r w:rsidRPr="00346591">
          <w:rPr>
            <w:rStyle w:val="aa"/>
            <w:rFonts w:ascii="宋体" w:hAnsi="宋体" w:hint="eastAsia"/>
            <w:noProof/>
            <w:sz w:val="24"/>
          </w:rPr>
          <w:t>十六、基金的会计与审计</w:t>
        </w:r>
        <w:r w:rsidRPr="00346591">
          <w:rPr>
            <w:rFonts w:ascii="宋体" w:hAnsi="宋体"/>
            <w:noProof/>
            <w:sz w:val="24"/>
          </w:rPr>
          <w:tab/>
        </w:r>
        <w:r w:rsidRPr="00346591">
          <w:rPr>
            <w:rFonts w:ascii="宋体" w:hAnsi="宋体"/>
            <w:noProof/>
            <w:sz w:val="24"/>
          </w:rPr>
          <w:fldChar w:fldCharType="begin"/>
        </w:r>
        <w:r w:rsidRPr="00346591">
          <w:rPr>
            <w:rFonts w:ascii="宋体" w:hAnsi="宋体"/>
            <w:noProof/>
            <w:sz w:val="24"/>
          </w:rPr>
          <w:instrText xml:space="preserve"> PAGEREF _Toc234408671 \h </w:instrText>
        </w:r>
        <w:r w:rsidRPr="00346591">
          <w:rPr>
            <w:rFonts w:ascii="宋体" w:hAnsi="宋体"/>
            <w:noProof/>
            <w:sz w:val="24"/>
          </w:rPr>
        </w:r>
        <w:r w:rsidRPr="00346591">
          <w:rPr>
            <w:rFonts w:ascii="宋体" w:hAnsi="宋体"/>
            <w:noProof/>
            <w:sz w:val="24"/>
          </w:rPr>
          <w:fldChar w:fldCharType="separate"/>
        </w:r>
        <w:r w:rsidRPr="00346591">
          <w:rPr>
            <w:rFonts w:ascii="宋体" w:hAnsi="宋体"/>
            <w:noProof/>
            <w:sz w:val="24"/>
          </w:rPr>
          <w:t>96</w:t>
        </w:r>
        <w:r w:rsidRPr="00346591">
          <w:rPr>
            <w:rFonts w:ascii="宋体" w:hAnsi="宋体"/>
            <w:noProof/>
            <w:sz w:val="24"/>
          </w:rPr>
          <w:fldChar w:fldCharType="end"/>
        </w:r>
      </w:hyperlink>
    </w:p>
    <w:p w:rsidR="00346591" w:rsidRPr="00346591" w:rsidRDefault="00346591" w:rsidP="00346591">
      <w:pPr>
        <w:pStyle w:val="10"/>
        <w:tabs>
          <w:tab w:val="right" w:leader="dot" w:pos="8550"/>
        </w:tabs>
        <w:spacing w:line="360" w:lineRule="auto"/>
        <w:rPr>
          <w:rFonts w:ascii="宋体" w:hAnsi="宋体" w:cstheme="minorBidi"/>
          <w:noProof/>
          <w:sz w:val="24"/>
        </w:rPr>
      </w:pPr>
      <w:hyperlink w:anchor="_Toc234408672" w:history="1">
        <w:r w:rsidRPr="00346591">
          <w:rPr>
            <w:rStyle w:val="aa"/>
            <w:rFonts w:ascii="宋体" w:hAnsi="宋体" w:hint="eastAsia"/>
            <w:noProof/>
            <w:sz w:val="24"/>
          </w:rPr>
          <w:t>十七、基金的信息披露</w:t>
        </w:r>
        <w:r w:rsidRPr="00346591">
          <w:rPr>
            <w:rFonts w:ascii="宋体" w:hAnsi="宋体"/>
            <w:noProof/>
            <w:sz w:val="24"/>
          </w:rPr>
          <w:tab/>
        </w:r>
        <w:r w:rsidRPr="00346591">
          <w:rPr>
            <w:rFonts w:ascii="宋体" w:hAnsi="宋体"/>
            <w:noProof/>
            <w:sz w:val="24"/>
          </w:rPr>
          <w:fldChar w:fldCharType="begin"/>
        </w:r>
        <w:r w:rsidRPr="00346591">
          <w:rPr>
            <w:rFonts w:ascii="宋体" w:hAnsi="宋体"/>
            <w:noProof/>
            <w:sz w:val="24"/>
          </w:rPr>
          <w:instrText xml:space="preserve"> PAGEREF _Toc234408672 \h </w:instrText>
        </w:r>
        <w:r w:rsidRPr="00346591">
          <w:rPr>
            <w:rFonts w:ascii="宋体" w:hAnsi="宋体"/>
            <w:noProof/>
            <w:sz w:val="24"/>
          </w:rPr>
        </w:r>
        <w:r w:rsidRPr="00346591">
          <w:rPr>
            <w:rFonts w:ascii="宋体" w:hAnsi="宋体"/>
            <w:noProof/>
            <w:sz w:val="24"/>
          </w:rPr>
          <w:fldChar w:fldCharType="separate"/>
        </w:r>
        <w:r w:rsidRPr="00346591">
          <w:rPr>
            <w:rFonts w:ascii="宋体" w:hAnsi="宋体"/>
            <w:noProof/>
            <w:sz w:val="24"/>
          </w:rPr>
          <w:t>97</w:t>
        </w:r>
        <w:r w:rsidRPr="00346591">
          <w:rPr>
            <w:rFonts w:ascii="宋体" w:hAnsi="宋体"/>
            <w:noProof/>
            <w:sz w:val="24"/>
          </w:rPr>
          <w:fldChar w:fldCharType="end"/>
        </w:r>
      </w:hyperlink>
    </w:p>
    <w:p w:rsidR="00346591" w:rsidRPr="00346591" w:rsidRDefault="00346591" w:rsidP="00346591">
      <w:pPr>
        <w:pStyle w:val="10"/>
        <w:tabs>
          <w:tab w:val="right" w:leader="dot" w:pos="8550"/>
        </w:tabs>
        <w:spacing w:line="360" w:lineRule="auto"/>
        <w:rPr>
          <w:rFonts w:ascii="宋体" w:hAnsi="宋体" w:cstheme="minorBidi"/>
          <w:noProof/>
          <w:sz w:val="24"/>
        </w:rPr>
      </w:pPr>
      <w:hyperlink w:anchor="_Toc234408673" w:history="1">
        <w:r w:rsidRPr="00346591">
          <w:rPr>
            <w:rStyle w:val="aa"/>
            <w:rFonts w:ascii="宋体" w:hAnsi="宋体" w:hint="eastAsia"/>
            <w:noProof/>
            <w:sz w:val="24"/>
          </w:rPr>
          <w:t>十八、风险揭示</w:t>
        </w:r>
        <w:r w:rsidRPr="00346591">
          <w:rPr>
            <w:rFonts w:ascii="宋体" w:hAnsi="宋体"/>
            <w:noProof/>
            <w:sz w:val="24"/>
          </w:rPr>
          <w:tab/>
        </w:r>
        <w:r w:rsidRPr="00346591">
          <w:rPr>
            <w:rFonts w:ascii="宋体" w:hAnsi="宋体"/>
            <w:noProof/>
            <w:sz w:val="24"/>
          </w:rPr>
          <w:fldChar w:fldCharType="begin"/>
        </w:r>
        <w:r w:rsidRPr="00346591">
          <w:rPr>
            <w:rFonts w:ascii="宋体" w:hAnsi="宋体"/>
            <w:noProof/>
            <w:sz w:val="24"/>
          </w:rPr>
          <w:instrText xml:space="preserve"> PAGEREF _Toc234408673 \h </w:instrText>
        </w:r>
        <w:r w:rsidRPr="00346591">
          <w:rPr>
            <w:rFonts w:ascii="宋体" w:hAnsi="宋体"/>
            <w:noProof/>
            <w:sz w:val="24"/>
          </w:rPr>
        </w:r>
        <w:r w:rsidRPr="00346591">
          <w:rPr>
            <w:rFonts w:ascii="宋体" w:hAnsi="宋体"/>
            <w:noProof/>
            <w:sz w:val="24"/>
          </w:rPr>
          <w:fldChar w:fldCharType="separate"/>
        </w:r>
        <w:r w:rsidRPr="00346591">
          <w:rPr>
            <w:rFonts w:ascii="宋体" w:hAnsi="宋体"/>
            <w:noProof/>
            <w:sz w:val="24"/>
          </w:rPr>
          <w:t>104</w:t>
        </w:r>
        <w:r w:rsidRPr="00346591">
          <w:rPr>
            <w:rFonts w:ascii="宋体" w:hAnsi="宋体"/>
            <w:noProof/>
            <w:sz w:val="24"/>
          </w:rPr>
          <w:fldChar w:fldCharType="end"/>
        </w:r>
      </w:hyperlink>
    </w:p>
    <w:p w:rsidR="00346591" w:rsidRPr="00346591" w:rsidRDefault="00346591" w:rsidP="00346591">
      <w:pPr>
        <w:pStyle w:val="10"/>
        <w:tabs>
          <w:tab w:val="right" w:leader="dot" w:pos="8550"/>
        </w:tabs>
        <w:spacing w:line="360" w:lineRule="auto"/>
        <w:rPr>
          <w:rFonts w:ascii="宋体" w:hAnsi="宋体" w:cstheme="minorBidi"/>
          <w:noProof/>
          <w:sz w:val="24"/>
        </w:rPr>
      </w:pPr>
      <w:hyperlink w:anchor="_Toc234408674" w:history="1">
        <w:r w:rsidRPr="00346591">
          <w:rPr>
            <w:rStyle w:val="aa"/>
            <w:rFonts w:ascii="宋体" w:hAnsi="宋体" w:hint="eastAsia"/>
            <w:noProof/>
            <w:sz w:val="24"/>
          </w:rPr>
          <w:t>十九、基金合同的变更、终止与基金财产的清算</w:t>
        </w:r>
        <w:r w:rsidRPr="00346591">
          <w:rPr>
            <w:rFonts w:ascii="宋体" w:hAnsi="宋体"/>
            <w:noProof/>
            <w:sz w:val="24"/>
          </w:rPr>
          <w:tab/>
        </w:r>
        <w:r w:rsidRPr="00346591">
          <w:rPr>
            <w:rFonts w:ascii="宋体" w:hAnsi="宋体"/>
            <w:noProof/>
            <w:sz w:val="24"/>
          </w:rPr>
          <w:fldChar w:fldCharType="begin"/>
        </w:r>
        <w:r w:rsidRPr="00346591">
          <w:rPr>
            <w:rFonts w:ascii="宋体" w:hAnsi="宋体"/>
            <w:noProof/>
            <w:sz w:val="24"/>
          </w:rPr>
          <w:instrText xml:space="preserve"> PAGEREF _Toc234408674 \h </w:instrText>
        </w:r>
        <w:r w:rsidRPr="00346591">
          <w:rPr>
            <w:rFonts w:ascii="宋体" w:hAnsi="宋体"/>
            <w:noProof/>
            <w:sz w:val="24"/>
          </w:rPr>
        </w:r>
        <w:r w:rsidRPr="00346591">
          <w:rPr>
            <w:rFonts w:ascii="宋体" w:hAnsi="宋体"/>
            <w:noProof/>
            <w:sz w:val="24"/>
          </w:rPr>
          <w:fldChar w:fldCharType="separate"/>
        </w:r>
        <w:r w:rsidRPr="00346591">
          <w:rPr>
            <w:rFonts w:ascii="宋体" w:hAnsi="宋体"/>
            <w:noProof/>
            <w:sz w:val="24"/>
          </w:rPr>
          <w:t>113</w:t>
        </w:r>
        <w:r w:rsidRPr="00346591">
          <w:rPr>
            <w:rFonts w:ascii="宋体" w:hAnsi="宋体"/>
            <w:noProof/>
            <w:sz w:val="24"/>
          </w:rPr>
          <w:fldChar w:fldCharType="end"/>
        </w:r>
      </w:hyperlink>
    </w:p>
    <w:p w:rsidR="00346591" w:rsidRPr="00346591" w:rsidRDefault="00346591" w:rsidP="00346591">
      <w:pPr>
        <w:pStyle w:val="10"/>
        <w:tabs>
          <w:tab w:val="right" w:leader="dot" w:pos="8550"/>
        </w:tabs>
        <w:spacing w:line="360" w:lineRule="auto"/>
        <w:rPr>
          <w:rFonts w:ascii="宋体" w:hAnsi="宋体" w:cstheme="minorBidi"/>
          <w:noProof/>
          <w:sz w:val="24"/>
        </w:rPr>
      </w:pPr>
      <w:hyperlink w:anchor="_Toc234408675" w:history="1">
        <w:r w:rsidRPr="00346591">
          <w:rPr>
            <w:rStyle w:val="aa"/>
            <w:rFonts w:ascii="宋体" w:hAnsi="宋体" w:hint="eastAsia"/>
            <w:noProof/>
            <w:sz w:val="24"/>
          </w:rPr>
          <w:t>二十、基金合同内容摘要</w:t>
        </w:r>
        <w:r w:rsidRPr="00346591">
          <w:rPr>
            <w:rFonts w:ascii="宋体" w:hAnsi="宋体"/>
            <w:noProof/>
            <w:sz w:val="24"/>
          </w:rPr>
          <w:tab/>
        </w:r>
        <w:r w:rsidRPr="00346591">
          <w:rPr>
            <w:rFonts w:ascii="宋体" w:hAnsi="宋体"/>
            <w:noProof/>
            <w:sz w:val="24"/>
          </w:rPr>
          <w:fldChar w:fldCharType="begin"/>
        </w:r>
        <w:r w:rsidRPr="00346591">
          <w:rPr>
            <w:rFonts w:ascii="宋体" w:hAnsi="宋体"/>
            <w:noProof/>
            <w:sz w:val="24"/>
          </w:rPr>
          <w:instrText xml:space="preserve"> PAGEREF _Toc234408675 \h </w:instrText>
        </w:r>
        <w:r w:rsidRPr="00346591">
          <w:rPr>
            <w:rFonts w:ascii="宋体" w:hAnsi="宋体"/>
            <w:noProof/>
            <w:sz w:val="24"/>
          </w:rPr>
        </w:r>
        <w:r w:rsidRPr="00346591">
          <w:rPr>
            <w:rFonts w:ascii="宋体" w:hAnsi="宋体"/>
            <w:noProof/>
            <w:sz w:val="24"/>
          </w:rPr>
          <w:fldChar w:fldCharType="separate"/>
        </w:r>
        <w:r w:rsidRPr="00346591">
          <w:rPr>
            <w:rFonts w:ascii="宋体" w:hAnsi="宋体"/>
            <w:noProof/>
            <w:sz w:val="24"/>
          </w:rPr>
          <w:t>115</w:t>
        </w:r>
        <w:r w:rsidRPr="00346591">
          <w:rPr>
            <w:rFonts w:ascii="宋体" w:hAnsi="宋体"/>
            <w:noProof/>
            <w:sz w:val="24"/>
          </w:rPr>
          <w:fldChar w:fldCharType="end"/>
        </w:r>
      </w:hyperlink>
    </w:p>
    <w:p w:rsidR="00346591" w:rsidRPr="00346591" w:rsidRDefault="00346591" w:rsidP="00346591">
      <w:pPr>
        <w:pStyle w:val="10"/>
        <w:tabs>
          <w:tab w:val="right" w:leader="dot" w:pos="8550"/>
        </w:tabs>
        <w:spacing w:line="360" w:lineRule="auto"/>
        <w:rPr>
          <w:rFonts w:ascii="宋体" w:hAnsi="宋体" w:cstheme="minorBidi"/>
          <w:noProof/>
          <w:sz w:val="24"/>
        </w:rPr>
      </w:pPr>
      <w:hyperlink w:anchor="_Toc234408676" w:history="1">
        <w:r w:rsidRPr="00346591">
          <w:rPr>
            <w:rStyle w:val="aa"/>
            <w:rFonts w:ascii="宋体" w:hAnsi="宋体" w:hint="eastAsia"/>
            <w:noProof/>
            <w:sz w:val="24"/>
          </w:rPr>
          <w:t>二十一、托管协议的内容摘要</w:t>
        </w:r>
        <w:r w:rsidRPr="00346591">
          <w:rPr>
            <w:rFonts w:ascii="宋体" w:hAnsi="宋体"/>
            <w:noProof/>
            <w:sz w:val="24"/>
          </w:rPr>
          <w:tab/>
        </w:r>
        <w:r w:rsidRPr="00346591">
          <w:rPr>
            <w:rFonts w:ascii="宋体" w:hAnsi="宋体"/>
            <w:noProof/>
            <w:sz w:val="24"/>
          </w:rPr>
          <w:fldChar w:fldCharType="begin"/>
        </w:r>
        <w:r w:rsidRPr="00346591">
          <w:rPr>
            <w:rFonts w:ascii="宋体" w:hAnsi="宋体"/>
            <w:noProof/>
            <w:sz w:val="24"/>
          </w:rPr>
          <w:instrText xml:space="preserve"> PAGEREF _Toc234408676 \h </w:instrText>
        </w:r>
        <w:r w:rsidRPr="00346591">
          <w:rPr>
            <w:rFonts w:ascii="宋体" w:hAnsi="宋体"/>
            <w:noProof/>
            <w:sz w:val="24"/>
          </w:rPr>
        </w:r>
        <w:r w:rsidRPr="00346591">
          <w:rPr>
            <w:rFonts w:ascii="宋体" w:hAnsi="宋体"/>
            <w:noProof/>
            <w:sz w:val="24"/>
          </w:rPr>
          <w:fldChar w:fldCharType="separate"/>
        </w:r>
        <w:r w:rsidRPr="00346591">
          <w:rPr>
            <w:rFonts w:ascii="宋体" w:hAnsi="宋体"/>
            <w:noProof/>
            <w:sz w:val="24"/>
          </w:rPr>
          <w:t>131</w:t>
        </w:r>
        <w:r w:rsidRPr="00346591">
          <w:rPr>
            <w:rFonts w:ascii="宋体" w:hAnsi="宋体"/>
            <w:noProof/>
            <w:sz w:val="24"/>
          </w:rPr>
          <w:fldChar w:fldCharType="end"/>
        </w:r>
      </w:hyperlink>
    </w:p>
    <w:p w:rsidR="00346591" w:rsidRPr="00346591" w:rsidRDefault="00346591" w:rsidP="00346591">
      <w:pPr>
        <w:pStyle w:val="10"/>
        <w:tabs>
          <w:tab w:val="right" w:leader="dot" w:pos="8550"/>
        </w:tabs>
        <w:spacing w:line="360" w:lineRule="auto"/>
        <w:rPr>
          <w:rFonts w:ascii="宋体" w:hAnsi="宋体" w:cstheme="minorBidi"/>
          <w:noProof/>
          <w:sz w:val="24"/>
        </w:rPr>
      </w:pPr>
      <w:hyperlink w:anchor="_Toc234408677" w:history="1">
        <w:r w:rsidRPr="00346591">
          <w:rPr>
            <w:rStyle w:val="aa"/>
            <w:rFonts w:ascii="宋体" w:hAnsi="宋体" w:hint="eastAsia"/>
            <w:noProof/>
            <w:sz w:val="24"/>
          </w:rPr>
          <w:t>二十二、对基金份额持有人的服务</w:t>
        </w:r>
        <w:r w:rsidRPr="00346591">
          <w:rPr>
            <w:rFonts w:ascii="宋体" w:hAnsi="宋体"/>
            <w:noProof/>
            <w:sz w:val="24"/>
          </w:rPr>
          <w:tab/>
        </w:r>
        <w:r w:rsidRPr="00346591">
          <w:rPr>
            <w:rFonts w:ascii="宋体" w:hAnsi="宋体"/>
            <w:noProof/>
            <w:sz w:val="24"/>
          </w:rPr>
          <w:fldChar w:fldCharType="begin"/>
        </w:r>
        <w:r w:rsidRPr="00346591">
          <w:rPr>
            <w:rFonts w:ascii="宋体" w:hAnsi="宋体"/>
            <w:noProof/>
            <w:sz w:val="24"/>
          </w:rPr>
          <w:instrText xml:space="preserve"> PAGEREF _Toc234408677 \h </w:instrText>
        </w:r>
        <w:r w:rsidRPr="00346591">
          <w:rPr>
            <w:rFonts w:ascii="宋体" w:hAnsi="宋体"/>
            <w:noProof/>
            <w:sz w:val="24"/>
          </w:rPr>
        </w:r>
        <w:r w:rsidRPr="00346591">
          <w:rPr>
            <w:rFonts w:ascii="宋体" w:hAnsi="宋体"/>
            <w:noProof/>
            <w:sz w:val="24"/>
          </w:rPr>
          <w:fldChar w:fldCharType="separate"/>
        </w:r>
        <w:r w:rsidRPr="00346591">
          <w:rPr>
            <w:rFonts w:ascii="宋体" w:hAnsi="宋体"/>
            <w:noProof/>
            <w:sz w:val="24"/>
          </w:rPr>
          <w:t>145</w:t>
        </w:r>
        <w:r w:rsidRPr="00346591">
          <w:rPr>
            <w:rFonts w:ascii="宋体" w:hAnsi="宋体"/>
            <w:noProof/>
            <w:sz w:val="24"/>
          </w:rPr>
          <w:fldChar w:fldCharType="end"/>
        </w:r>
      </w:hyperlink>
    </w:p>
    <w:p w:rsidR="00346591" w:rsidRPr="00346591" w:rsidRDefault="00346591" w:rsidP="00346591">
      <w:pPr>
        <w:pStyle w:val="10"/>
        <w:tabs>
          <w:tab w:val="right" w:leader="dot" w:pos="8550"/>
        </w:tabs>
        <w:spacing w:line="360" w:lineRule="auto"/>
        <w:rPr>
          <w:rFonts w:ascii="宋体" w:hAnsi="宋体" w:cstheme="minorBidi"/>
          <w:noProof/>
          <w:sz w:val="24"/>
        </w:rPr>
      </w:pPr>
      <w:hyperlink w:anchor="_Toc234408678" w:history="1">
        <w:r w:rsidRPr="00346591">
          <w:rPr>
            <w:rStyle w:val="aa"/>
            <w:rFonts w:ascii="宋体" w:hAnsi="宋体" w:hint="eastAsia"/>
            <w:noProof/>
            <w:sz w:val="24"/>
          </w:rPr>
          <w:t>二十三、其他应披露事项</w:t>
        </w:r>
        <w:r w:rsidRPr="00346591">
          <w:rPr>
            <w:rFonts w:ascii="宋体" w:hAnsi="宋体"/>
            <w:noProof/>
            <w:sz w:val="24"/>
          </w:rPr>
          <w:tab/>
        </w:r>
        <w:r w:rsidRPr="00346591">
          <w:rPr>
            <w:rFonts w:ascii="宋体" w:hAnsi="宋体"/>
            <w:noProof/>
            <w:sz w:val="24"/>
          </w:rPr>
          <w:fldChar w:fldCharType="begin"/>
        </w:r>
        <w:r w:rsidRPr="00346591">
          <w:rPr>
            <w:rFonts w:ascii="宋体" w:hAnsi="宋体"/>
            <w:noProof/>
            <w:sz w:val="24"/>
          </w:rPr>
          <w:instrText xml:space="preserve"> PAGEREF _Toc234408678 \h </w:instrText>
        </w:r>
        <w:r w:rsidRPr="00346591">
          <w:rPr>
            <w:rFonts w:ascii="宋体" w:hAnsi="宋体"/>
            <w:noProof/>
            <w:sz w:val="24"/>
          </w:rPr>
        </w:r>
        <w:r w:rsidRPr="00346591">
          <w:rPr>
            <w:rFonts w:ascii="宋体" w:hAnsi="宋体"/>
            <w:noProof/>
            <w:sz w:val="24"/>
          </w:rPr>
          <w:fldChar w:fldCharType="separate"/>
        </w:r>
        <w:r w:rsidRPr="00346591">
          <w:rPr>
            <w:rFonts w:ascii="宋体" w:hAnsi="宋体"/>
            <w:noProof/>
            <w:sz w:val="24"/>
          </w:rPr>
          <w:t>147</w:t>
        </w:r>
        <w:r w:rsidRPr="00346591">
          <w:rPr>
            <w:rFonts w:ascii="宋体" w:hAnsi="宋体"/>
            <w:noProof/>
            <w:sz w:val="24"/>
          </w:rPr>
          <w:fldChar w:fldCharType="end"/>
        </w:r>
      </w:hyperlink>
    </w:p>
    <w:p w:rsidR="00346591" w:rsidRPr="00346591" w:rsidRDefault="00346591" w:rsidP="00346591">
      <w:pPr>
        <w:pStyle w:val="10"/>
        <w:tabs>
          <w:tab w:val="right" w:leader="dot" w:pos="8550"/>
        </w:tabs>
        <w:spacing w:line="360" w:lineRule="auto"/>
        <w:rPr>
          <w:rFonts w:ascii="宋体" w:hAnsi="宋体" w:cstheme="minorBidi"/>
          <w:noProof/>
          <w:sz w:val="24"/>
        </w:rPr>
      </w:pPr>
      <w:hyperlink w:anchor="_Toc234408679" w:history="1">
        <w:r w:rsidRPr="00346591">
          <w:rPr>
            <w:rStyle w:val="aa"/>
            <w:rFonts w:ascii="宋体" w:hAnsi="宋体" w:hint="eastAsia"/>
            <w:noProof/>
            <w:sz w:val="24"/>
          </w:rPr>
          <w:t>二十四、招募说明书的存放及查阅方式</w:t>
        </w:r>
        <w:r w:rsidRPr="00346591">
          <w:rPr>
            <w:rFonts w:ascii="宋体" w:hAnsi="宋体"/>
            <w:noProof/>
            <w:sz w:val="24"/>
          </w:rPr>
          <w:tab/>
        </w:r>
        <w:r w:rsidRPr="00346591">
          <w:rPr>
            <w:rFonts w:ascii="宋体" w:hAnsi="宋体"/>
            <w:noProof/>
            <w:sz w:val="24"/>
          </w:rPr>
          <w:fldChar w:fldCharType="begin"/>
        </w:r>
        <w:r w:rsidRPr="00346591">
          <w:rPr>
            <w:rFonts w:ascii="宋体" w:hAnsi="宋体"/>
            <w:noProof/>
            <w:sz w:val="24"/>
          </w:rPr>
          <w:instrText xml:space="preserve"> PAGEREF _Toc234408679 \h </w:instrText>
        </w:r>
        <w:r w:rsidRPr="00346591">
          <w:rPr>
            <w:rFonts w:ascii="宋体" w:hAnsi="宋体"/>
            <w:noProof/>
            <w:sz w:val="24"/>
          </w:rPr>
        </w:r>
        <w:r w:rsidRPr="00346591">
          <w:rPr>
            <w:rFonts w:ascii="宋体" w:hAnsi="宋体"/>
            <w:noProof/>
            <w:sz w:val="24"/>
          </w:rPr>
          <w:fldChar w:fldCharType="separate"/>
        </w:r>
        <w:r w:rsidRPr="00346591">
          <w:rPr>
            <w:rFonts w:ascii="宋体" w:hAnsi="宋体"/>
            <w:noProof/>
            <w:sz w:val="24"/>
          </w:rPr>
          <w:t>149</w:t>
        </w:r>
        <w:r w:rsidRPr="00346591">
          <w:rPr>
            <w:rFonts w:ascii="宋体" w:hAnsi="宋体"/>
            <w:noProof/>
            <w:sz w:val="24"/>
          </w:rPr>
          <w:fldChar w:fldCharType="end"/>
        </w:r>
      </w:hyperlink>
    </w:p>
    <w:p w:rsidR="00346591" w:rsidRPr="00346591" w:rsidRDefault="00346591" w:rsidP="00346591">
      <w:pPr>
        <w:pStyle w:val="10"/>
        <w:tabs>
          <w:tab w:val="right" w:leader="dot" w:pos="8550"/>
        </w:tabs>
        <w:spacing w:line="360" w:lineRule="auto"/>
        <w:rPr>
          <w:rFonts w:ascii="宋体" w:hAnsi="宋体" w:cstheme="minorBidi"/>
          <w:noProof/>
          <w:sz w:val="24"/>
        </w:rPr>
      </w:pPr>
      <w:hyperlink w:anchor="_Toc234408680" w:history="1">
        <w:r w:rsidRPr="00346591">
          <w:rPr>
            <w:rStyle w:val="aa"/>
            <w:rFonts w:ascii="宋体" w:hAnsi="宋体" w:hint="eastAsia"/>
            <w:noProof/>
            <w:sz w:val="24"/>
          </w:rPr>
          <w:t>二十五、备查文件</w:t>
        </w:r>
        <w:r w:rsidRPr="00346591">
          <w:rPr>
            <w:rFonts w:ascii="宋体" w:hAnsi="宋体"/>
            <w:noProof/>
            <w:sz w:val="24"/>
          </w:rPr>
          <w:tab/>
        </w:r>
        <w:r w:rsidRPr="00346591">
          <w:rPr>
            <w:rFonts w:ascii="宋体" w:hAnsi="宋体"/>
            <w:noProof/>
            <w:sz w:val="24"/>
          </w:rPr>
          <w:fldChar w:fldCharType="begin"/>
        </w:r>
        <w:r w:rsidRPr="00346591">
          <w:rPr>
            <w:rFonts w:ascii="宋体" w:hAnsi="宋体"/>
            <w:noProof/>
            <w:sz w:val="24"/>
          </w:rPr>
          <w:instrText xml:space="preserve"> PAGEREF _Toc234408680 \h </w:instrText>
        </w:r>
        <w:r w:rsidRPr="00346591">
          <w:rPr>
            <w:rFonts w:ascii="宋体" w:hAnsi="宋体"/>
            <w:noProof/>
            <w:sz w:val="24"/>
          </w:rPr>
        </w:r>
        <w:r w:rsidRPr="00346591">
          <w:rPr>
            <w:rFonts w:ascii="宋体" w:hAnsi="宋体"/>
            <w:noProof/>
            <w:sz w:val="24"/>
          </w:rPr>
          <w:fldChar w:fldCharType="separate"/>
        </w:r>
        <w:r w:rsidRPr="00346591">
          <w:rPr>
            <w:rFonts w:ascii="宋体" w:hAnsi="宋体"/>
            <w:noProof/>
            <w:sz w:val="24"/>
          </w:rPr>
          <w:t>150</w:t>
        </w:r>
        <w:r w:rsidRPr="00346591">
          <w:rPr>
            <w:rFonts w:ascii="宋体" w:hAnsi="宋体"/>
            <w:noProof/>
            <w:sz w:val="24"/>
          </w:rPr>
          <w:fldChar w:fldCharType="end"/>
        </w:r>
      </w:hyperlink>
    </w:p>
    <w:p w:rsidR="007B63EA" w:rsidRPr="00346591" w:rsidRDefault="00346591" w:rsidP="00346591">
      <w:pPr>
        <w:pStyle w:val="ad"/>
        <w:snapToGrid w:val="0"/>
        <w:spacing w:after="240" w:line="360" w:lineRule="auto"/>
        <w:jc w:val="center"/>
        <w:rPr>
          <w:rFonts w:ascii="宋体" w:hAnsi="宋体"/>
          <w:color w:val="000000"/>
          <w:sz w:val="24"/>
        </w:rPr>
      </w:pPr>
      <w:r w:rsidRPr="00346591">
        <w:rPr>
          <w:rFonts w:ascii="宋体" w:hAnsi="宋体"/>
          <w:color w:val="000000"/>
          <w:position w:val="-4"/>
          <w:sz w:val="24"/>
          <w:szCs w:val="30"/>
        </w:rPr>
        <w:fldChar w:fldCharType="end"/>
      </w:r>
      <w:bookmarkStart w:id="3" w:name="_GoBack"/>
      <w:bookmarkEnd w:id="3"/>
    </w:p>
    <w:p w:rsidR="007B63EA" w:rsidRDefault="007B63EA">
      <w:pPr>
        <w:autoSpaceDE w:val="0"/>
        <w:autoSpaceDN w:val="0"/>
        <w:adjustRightInd w:val="0"/>
        <w:snapToGrid w:val="0"/>
        <w:spacing w:line="360" w:lineRule="auto"/>
        <w:ind w:left="120" w:rightChars="6" w:right="13"/>
        <w:rPr>
          <w:rFonts w:ascii="宋体" w:hAnsi="宋体"/>
          <w:kern w:val="0"/>
          <w:szCs w:val="24"/>
        </w:rPr>
        <w:sectPr w:rsidR="007B63EA">
          <w:pgSz w:w="11920" w:h="16840"/>
          <w:pgMar w:top="1480" w:right="1680" w:bottom="280" w:left="1680" w:header="0" w:footer="1073" w:gutter="0"/>
          <w:cols w:space="720"/>
        </w:sectPr>
      </w:pPr>
    </w:p>
    <w:p w:rsidR="007B63EA" w:rsidRDefault="00ED741E">
      <w:pPr>
        <w:pStyle w:val="1"/>
        <w:snapToGrid w:val="0"/>
        <w:spacing w:beforeLines="0" w:before="240" w:after="240"/>
        <w:rPr>
          <w:rFonts w:ascii="宋体" w:hAnsi="宋体"/>
          <w:szCs w:val="30"/>
        </w:rPr>
      </w:pPr>
      <w:bookmarkStart w:id="4" w:name="_Toc234408656"/>
      <w:r>
        <w:rPr>
          <w:rFonts w:ascii="Times New Roman" w:hAnsi="Times New Roman"/>
          <w:sz w:val="30"/>
        </w:rPr>
        <w:lastRenderedPageBreak/>
        <w:t>一、绪言</w:t>
      </w:r>
      <w:bookmarkEnd w:id="4"/>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中证环境治理指数型证券投资基金（LOF）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公开募集证券投资基金运作指引第3号——指数基金指引》（以下简称“《指数基金指引》”）和其他相关法律法规的规定以及《交银施罗德中证环境治理指数型证券投资基金（LOF）基金合同》（以下简称“基金合同”）编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变更注册的。本基金管理人没有委托或授权任何其他人提供未在本招募说明书中载明的信息，或对本招募说明书作任何解释或者说明。</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变更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ED741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63EA" w:rsidRDefault="00ED741E">
      <w:pPr>
        <w:pStyle w:val="1"/>
        <w:snapToGrid w:val="0"/>
        <w:spacing w:beforeLines="0" w:before="240" w:after="240"/>
        <w:rPr>
          <w:rFonts w:ascii="宋体" w:hAnsi="宋体"/>
          <w:szCs w:val="30"/>
        </w:rPr>
      </w:pPr>
      <w:bookmarkStart w:id="5" w:name="_Toc234408657"/>
      <w:r>
        <w:rPr>
          <w:rFonts w:ascii="Times New Roman" w:hAnsi="Times New Roman"/>
          <w:sz w:val="30"/>
        </w:rPr>
        <w:lastRenderedPageBreak/>
        <w:t>二、释义</w:t>
      </w:r>
      <w:bookmarkEnd w:id="5"/>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1、基金或本基金：指交银施罗德中证环境治理指数型证券投资基金（LOF），本基金由交银施罗德中证环境治理指数分级证券投资基金转型而来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3、基金托管人或本基金托管人：指中信银行股份有限公司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中证环境治理指数型证券投资基金（LOF）基金合同》及对基金合同的任何有效修订和补充，基金合同由《交银施罗德中证环境治理指数分级证券投资基金基金合同》修订而成，基金合同中与基金募集发售等相关的内容仅适用于原交银施罗德中证环境治理指数分级证券投资基金，对变更后的交银施罗德中证环境治理指数型证券投资基金（LOF）不适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中证环境治理指数型证券投资基金（LOF）托管协议》及对该托管协议的任何有效修订和补充，托管协议由《交银施罗德中证环境治理指数分级证券投资基金托管协议》修订而成</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招募说明书》或本招募说明书：指《交银施罗德中证环境治理指数型证券投资基金（LOF）招募说明书》及其更新，本基金招募说明书由《交银施罗德中证环境治理指数分级证券投资基金（更新）招募说明书》修订而成</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7、基金产品资料概要：指《交银施罗德中证环境治理指数型证券投资基金（LOF）基金产品资料概要》及其更新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8、上市交易公告书：指《交银施罗德中证环境治理指数型证券投资基金（LOF）上市交易公告书》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w:t>
      </w:r>
      <w:r>
        <w:rPr>
          <w:rFonts w:ascii="宋体" w:hAnsi="宋体"/>
          <w:sz w:val="24"/>
        </w:rPr>
        <w:lastRenderedPageBreak/>
        <w:t>机关对其不时做出的修订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14、《流动性规定》：指中国证监会2017年8月31日颁布、同年10月1日实施的《公开募集开放式证券投资基金流动性风险管理规定》及颁布机关对其不时做出的修订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15、《指数基金指引》：指中国证监会2021年1月22日颁布、同年2月1日实施的《公开募集证券投资基金运作指引第3号——指数基金指引》及颁布机关对其不时做出的修订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16、中国证监会：指中国证券监督管理委员会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17、银行业监督管理机构：指中国人民银行和/或中国银行业监督管理委员会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18、基金合同当事人：指受基金合同约束，根据基金合同享有权利并承担义务的法律主体，包括基金管理人、基金托管人和基金份额持有人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19、个人投资者：指依据有关法律法规规定可投资于证券投资基金的自然人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20、机构投资者：指依法可以投资证券投资基金的、在中华人民共和国境内合法登记并存续或经有关政府部门批准设立并存续的企业法人、事业法人、社会团体或其他组织</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21、合格境外机构投资者：指符合《合格境外机构投资者境内证券投资管理办法》及相关法律法规规定可以投资于在中国境内依法募集的证券投资基金的中国境外的机构投资者</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22、人民币合格境外机构投资者：指按照《人民币合格境外机构投资者境内证券投资试点办法》及相关法律法规规定，运用来自境外的人民币资金进行中国境内证券投资的境外机构投资者</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23、投资人或投资者：指个人投资者、机构投资者、合格境外机构投资者和人民币合格境外机构投资者以及法律法规或中国证监会允许购买证券投资基金的其他投资人的合称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24、基金份额持有人：指依基金合同和招募说明书合法取得基金份额的投资人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25、基金销售业务：指基金管理人或销售机构宣传推介基金，销售基金份额，办理基金份额的申购、赎回、转换、转托管、定期定额投资等业务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26、销售机构：指交银施罗德基金管理有限公司以及符合《销售办法》和中国</w:t>
      </w:r>
      <w:r>
        <w:rPr>
          <w:rFonts w:ascii="宋体" w:hAnsi="宋体"/>
          <w:sz w:val="24"/>
        </w:rPr>
        <w:lastRenderedPageBreak/>
        <w:t>证监会规定的其他条件，取得基金销售业务资格并与基金管理人签订了基金销售服务协议，办理基金销售业务的机构以及可通过深圳证券交易所交易系统办理基金销售业务的会员单位</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27、会员单位：指深圳证券交易所会员单位</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场外：指不通过深圳证券交易所交易系统，而通过直销机构和其它场外销售机构的柜台系统或其他交易系统办理基金份额申购和赎回等业务的场所。通过该等场所办理基金份额的申购和赎回也称为场外申购和场外赎回</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场内：指通过深圳证券交易所内具有相应业务资格的会员单位利用深圳证券交易所交易系统办理基金份额申购、赎回和上市交易等业务的场所。通过该等场所办理基金份额的申购和赎回也称为场内申购和场内赎回</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30、标的指数：指中证环境治理指数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31、注册登记系统：指中国证券登记结算有限责任公司开放式基金登记结算系统，通过场外申购的基金份额登记在注册登记系统</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32、证券登记结算系统：指中国证券登记结算有限责任公司深圳分公司证券登记结算系统，通过场内申购的基金份额和上市交易买入的基金份额登记在证券登记结算系统</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33、场外份额：指登记在注册登记系统下的基金份额</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34、场内份额：指登记在证券登记结算系统下的基金份额</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登记业务：指基金登记、存管、过户、清算和结算业务，具体内容包括投资人基金账户的建立和管理、基金份额登记、基金销售业务和基金交易的确认、清算和结算、代理发放红利、建立并保管基金份额持有人名册和办理非交易过户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36、登记机构：指办理登记业务的机构。基金的登记机构为交银施罗德基金管理有限公司或接受交银施罗德基金管理有限公司委托办理登记业务的机构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式基金账户：指投资者通过场外销售机构在中国证券登记结算有限责任公司注册的开放式基金账户，基金投资者办理场外申购和场外赎回等业务时需具有开放式基金账户，记录在该账户下的基金份额登记在登记机构的注册登记系统</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深圳证券账户：指在中国证券登记结算有限责任公司深圳分公司开设的深圳证券交易所人民币普通股票账户或证券投资基金账户。基金投资者通过深圳证券交易所交易系统办理基金交易、场内申购和场内赎回等业务时需持有深圳证券账户。记录在该账户下的基金份额登记在登记机构的证券登记结算系统</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39、基金交易账户：指销售机构为投资人开立的、记录投资人通过该销售机构办理申购、赎回、交易、转换及转托管等业务而引起的基金份额变动及结余情况的账户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40、基金合同生效日：指基金募集达到法律法规规定及基金合同规定的条件，基金管理人向中国证监会办理基金备案手续完毕，并获得中国证监会书面确认的日期</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基金转型实施日：指基金管理人公告的交银施罗德中证环境治理指数分级证券投资基金转型为交银施罗德中证环境治理指数型证券投资基金（LOF）的实施日期。《交银施罗德中证环境治理指数型证券投资基金（LOF）基金合同》经基金管理人和基金托管人加盖公章以及双方法定代表人或授权代表签章，自基金转型实施日起生效，《交银施罗德中证环境治理指数分级证券投资基金基金合同》自同一日起失效</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42、基金合同终止日：指基金合同规定的基金合同终止事由出现后，基金财产清算完毕，清算结果报中国证监会备案并予以公告的日期</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43、存续期：指《交银施罗德中证环境治理指数分级证券投资基金基金合同》生效至《交银施罗德中证环境治理指数型证券投资基金（LOF）基金合同》终止之间的不定期期限</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44、工作日：指上海证券交易所、深圳证券交易所的正常交易日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45、T日：指销售机构在规定时间受理投资人申购、赎回或其他业务申请的开放日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46、T+n日：指自T日起第n个工作日(不包含T日)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47、开放日：指为投资人办理基金份额申购、赎回或其他业务的工作日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48、开放时间：指开放日基金接受申购、赎回或其他交易的时间段</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49、《业务规则》：指本基金管理人、深圳证券交易所、中国证券登记结算有限责任公司及销售机构的相关业务规则及其不时做出的修订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50、申购：指基金合同生效后，投资人根据基金合同和招募说明书的规定申请购买基金份额的行为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51、赎回：指基金合同生效后，基金份额持有人按基金合同和招募说明书规定的条件要求将基金份额兑换为现金的行为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52、上市交易：指基金合同生效后，投资人通过场内会员单位以集中竞价的方</w:t>
      </w:r>
      <w:r>
        <w:rPr>
          <w:rFonts w:ascii="宋体" w:hAnsi="宋体"/>
          <w:sz w:val="24"/>
        </w:rPr>
        <w:lastRenderedPageBreak/>
        <w:t>式买卖基金份额的行为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53、基金转换：指基金份额持有人按照基金合同和基金管理人届时有效公告规定的条件，申请将其持有基金管理人管理的、某一基金的基金份额转换为基金管理人管理的其他基金基金份额的行为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54、转托管：指基金份额持有人在本基金的不同销售机构之间实施的变更所持基金份额销售机构的操作</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55、系统内转托管：指基金份额持有人将持有的基金份额在注册登记系统内不同销售机构（网点）之间或证券登记结算系统内不同会员单位（交易单元）之间进行转登记的行为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56、跨系统转托管：指基金份额持有人将持有的A类基金份额在注册登记系统和证券登记结算系统间进行转登记的行为。除经基金管理人另行公告，C类基金份额不能进行跨系统转托管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59、元：指人民币元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60、基金收益：指基金投资所得红利、股息、债券利息、买卖证券价差、银行存款利息、已实现的其他合法收入及因运用基金财产带来的成本和费用的节约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61、基金资产总值：指基金拥有的各类有价证券、股指期货合约、银行存款本息、基金应收申购款及其他资产的价值总和</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62、基金资产净值：指基金资产总值减去基金负债后的价值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63、基金份额净值：指计算日基金资产净值除以计算日基金份额总数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64、基金资产估值：指计算评估基金资产和负债的价值，以确定基金资产净值和基金份额净值的过程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65、销售服务费：指从基金财产中计提的，用于本基金市场推广、销售以及基金份额持有人服务的费用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66、A类基金份额：指在投资人申购时收取申购费用且不从本类别基金资产中</w:t>
      </w:r>
      <w:r>
        <w:rPr>
          <w:rFonts w:ascii="宋体" w:hAnsi="宋体"/>
          <w:sz w:val="24"/>
        </w:rPr>
        <w:lastRenderedPageBreak/>
        <w:t>计提销售服务费的基金份额</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67、C类基金份额：指在投资人申购时不收取申购费用，并从本类别基金资产中计提销售服务费的基金份额</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69、指定媒介：指中国证监会指定的用以进行信息披露的全国性报刊及指定互联网网站（包括基金管理人网站、基金托管人网站、中国证监会基金电子披露网站）等媒介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70、不可抗力：指基金合同当事人不能预见、不能避免且不能克服的客观事件</w:t>
      </w:r>
    </w:p>
    <w:p w:rsidR="00B439CC" w:rsidRDefault="00ED741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63EA" w:rsidRDefault="00ED741E">
      <w:pPr>
        <w:pStyle w:val="1"/>
        <w:snapToGrid w:val="0"/>
        <w:spacing w:beforeLines="0" w:before="240" w:after="240"/>
        <w:rPr>
          <w:rFonts w:ascii="宋体" w:hAnsi="宋体"/>
          <w:szCs w:val="30"/>
        </w:rPr>
      </w:pPr>
      <w:bookmarkStart w:id="6" w:name="_Toc234408658"/>
      <w:r>
        <w:rPr>
          <w:rFonts w:ascii="Times New Roman" w:hAnsi="Times New Roman"/>
          <w:sz w:val="30"/>
        </w:rPr>
        <w:lastRenderedPageBreak/>
        <w:t>三、基金管理人</w:t>
      </w:r>
      <w:bookmarkEnd w:id="6"/>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邵文婷女士:多资产研究部副总监、基金经理。英国诺丁汉大学金融与投资硕士、西南财经大学数学与经济学双学士。10年证券投资行业从业经验。2016年加入交银施罗德基金管理有限公司，曾任量化投资部研究员、投资经理，现任多资产研究部副总监、基金经理。曾任交银施罗德定期支付月月丰债券型证券投资基金(2022年11月30日至2024年12月27日)的基金经理。现任交银施罗德深证300价值交易型开放式指数证券投资基金联接基金(2021年04月30日至今)、交银施罗德中证海外中国互联网指数型证券投资基金(LOF)(2021年04月30日至今)、交银施罗德创业板50指数型证券投资基金(2021年04月30日至今)、上证180公司治理交易型开放式指数证券投资基金(2021年04月30日至今)、交银施罗德国证新能源指数证券投资基金（LOF）(2021年04月30日至今)、交银施罗德中证环境治理指数型证券投资基金(LOF)(2021年04月30日至今)、深证300价值交易型开放式指数证券投资基金(2021年04月30日至今)、交银施罗德上证180公司治理交易型开放式指数证券投资基金联接基金(2021年04月30日至今)、交银施罗德中证红利低波动100指数型证券投资基金(2024年03月15日至今)、交银施罗德中证A500指数型证券投资基金(2025年01月22日至今)、交银施罗德上证科创板100指数型证券投资基金(2025年02月26日至今)、交银施罗德中证A50指数型证券投资基金(2025年04月02日至今)、交银施罗德恒生港股通创新药精选指数型证券投资基金(2025年08月20日至今)、交银施罗德中证港股通央企红利指数型证券投资基金(2025年10月28日至今)、交银施罗德中证智选沪深港科技50交易型开放式指数证券投资基金(2025年12月10日至今)、交银施罗德中证A500指数增强型发起式证券投资基金(2026年02月10日至今)的基金经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蔡铮先生(2016年07月19日至2021年04月30日)。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马韬（研究总监）</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（6）法律、行政法规和中国证监会禁止的其他行为。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2、风险管理和内部风险控制体系结构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制定了完整的培训计划，为所有员工提供足够和适当的培训，使员工明确其职责所在，控制风险。</w:t>
      </w:r>
    </w:p>
    <w:p w:rsidR="00B439CC" w:rsidRDefault="00ED741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63EA" w:rsidRDefault="00ED741E">
      <w:pPr>
        <w:pStyle w:val="1"/>
        <w:snapToGrid w:val="0"/>
        <w:spacing w:beforeLines="0" w:before="240" w:after="240"/>
        <w:rPr>
          <w:rFonts w:ascii="宋体" w:hAnsi="宋体"/>
          <w:szCs w:val="30"/>
        </w:rPr>
      </w:pPr>
      <w:bookmarkStart w:id="7" w:name="_Toc234408659"/>
      <w:r>
        <w:rPr>
          <w:rFonts w:ascii="Times New Roman" w:hAnsi="Times New Roman"/>
          <w:sz w:val="30"/>
        </w:rPr>
        <w:lastRenderedPageBreak/>
        <w:t>四、基金托管人</w:t>
      </w:r>
      <w:bookmarkEnd w:id="7"/>
    </w:p>
    <w:p w:rsidR="007B63EA" w:rsidRDefault="00ED741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名称：中信银行股份有限公司（简称“中信银行”）</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办公地址：北京市朝阳区光华路10号院1号楼6-30层、32-42层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注册资本：556.4516亿元人民币</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联系人：中信银行资产托管部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联系电话：4006800000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客服电话：95558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网址：www.citicbank.com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w:t>
      </w:r>
      <w:r>
        <w:rPr>
          <w:rFonts w:ascii="宋体" w:hAnsi="宋体"/>
          <w:sz w:val="24"/>
        </w:rPr>
        <w:lastRenderedPageBreak/>
        <w:t>交易所和香港联合交易所A+H 股同步上市。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家附属机构。其中，中信国际金融控股有限公司子公司中信银行（国际）有限公司在香港、澳门、纽约、 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吕天贵，本行党委副书记、行长、首席合规官。曾任本行信用卡中心党委委员、总裁助理、副总裁、党委书记、总裁，总行零售银行部总经理、私人银行部总</w:t>
      </w:r>
      <w:r>
        <w:rPr>
          <w:rFonts w:ascii="宋体" w:hAnsi="宋体"/>
          <w:sz w:val="24"/>
        </w:rPr>
        <w:lastRenderedPageBreak/>
        <w:t>经理，总行业务总监、党委委员、副行长，中信信托有限责任公司党委书记、董事长；中信百信银行股份有限公司董事、董事长，阿尔金银行董事，中国银联股份有限公司董事。此前，曾在中国银行吉林市分行工作。四川大学工商管理硕士，高级会计师。</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截至2026年一季度末，中信银行托管435只公开募集证券投资基金，以及基金公司、证券公司资产管理产品、信托产品、企业年金、股权基金、QDII等其他托管资产，托管总规模达到19.28万亿元人民币。</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内部控制组织结构。中信银行总行建立了风险管理委员会，负责全行的风</w:t>
      </w:r>
      <w:r>
        <w:rPr>
          <w:rFonts w:ascii="宋体" w:hAnsi="宋体"/>
          <w:sz w:val="24"/>
        </w:rPr>
        <w:lastRenderedPageBreak/>
        <w:t>险控制和风险防范工作；托管部内设内控合规岗，专门负责托管部内部风险控制，对基金托管业务的各个工作环节和业务流程进行独立、客观、公正的稽核监察。</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资产托管业务内部控制管理实施细则(3.0版，2026年)》、《中信银行公开募集证券投资基金信息披露操作规程（1.0版,2025年）》和《中信银行公开募集证券投资基金托管风险准备金管理办法（2.0版，2023年）》等一整套规章制度，涵盖证券投资基金托管业务的各个环节，保证证券投资基金托管业务合法、合规、持续、稳健发展。</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建立了各项规章制度、操作流程、岗位职责、行为规范等，从制度、流程、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rsidR="00B439CC" w:rsidRDefault="00ED741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63EA" w:rsidRDefault="00ED741E">
      <w:pPr>
        <w:pStyle w:val="1"/>
        <w:snapToGrid w:val="0"/>
        <w:spacing w:beforeLines="0" w:before="240" w:after="240"/>
        <w:rPr>
          <w:rFonts w:ascii="宋体" w:hAnsi="宋体"/>
          <w:szCs w:val="30"/>
        </w:rPr>
      </w:pPr>
      <w:bookmarkStart w:id="8" w:name="_Toc234408660"/>
      <w:r>
        <w:rPr>
          <w:rFonts w:ascii="Times New Roman" w:hAnsi="Times New Roman"/>
          <w:sz w:val="30"/>
        </w:rPr>
        <w:lastRenderedPageBreak/>
        <w:t>五、相关服务机构</w:t>
      </w:r>
      <w:bookmarkEnd w:id="8"/>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2、A类基金份额的场内销售机构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具有基金销售业务资格、经深圳证券交易所和中国证券登记结算有限责任公司认可的、通过深圳证券交易所交易系统办理基金销售业务的深圳证券交易所场内会员单位（具体名单见深圳证券交易所网站）。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3、其他销售机构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本基金A类基金份额的其他销售机构：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传真：0519-89995170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（2）名称：东莞农村商业银行股份有限公司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（3）名称：中信银行股份有限公司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（4）名称：上海银行股份有限公司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网址：www.bankofshanghai.com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（5）名称：交通银行股份有限公司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（6）名称：招商银行股份有限公司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（7）名称：宁波银行股份有限公司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（8）名称：平安银行股份有限公司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法定代表人：谢永林</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（9）名称：中国邮政储蓄银行股份有限公司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（10）名称：中国工商银行股份有限公司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注册地址：北京市西城区复兴门内大街55号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办公地址：北京市西城区复兴门内大街55号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网址：www.icbc.com.cn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（11）名称：光大证券股份有限公司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（12）名称：国投证券股份有限公司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住所：深圳市福田区福田街道福华一路119号安信金融大厦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（13）名称：兴业证券股份有限公司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（14）名称：长江证券股份有限公司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（15）名称：招商证券股份有限公司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联系人：黄婵君</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（16）名称：国新证券股份有限公司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（17）名称：西南证券股份有限公司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（18）名称：信达证券股份有限公司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（19）名称：国金证券股份有限公司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（20）名称：中国国际金融股份有限公司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（21）名称：江海证券有限公司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（22）名称：中泰证券股份有限公司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传真：（0531）68889752</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（23）名称：申万宏源西部证券有限公司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（24）名称：中国银河证券股份有限公司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（25）名称：申万宏源证券有限公司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（26）名称：国都证券股份有限公司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住所：北京市东城区东直门南大街3号国华投资大厦9层10层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（27）名称：平安证券股份有限公司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（28）名称：金融街证券股份有限公司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（29）名称：方正证券股份有限公司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联系人：张达</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（30）名称：中信建投证券股份有限公司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（31）名称：华宝证券股份有限公司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（32）名称：华西证券股份有限公司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（33）名称：中国中金财富证券有限公司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住所：深圳市福田区益田路与福中路交界处荣超商务中心A栋第18层-21层及第04层01.02.03.05.11.12.13.15.16.18.19.20.21.22.23单元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（34）名称：华泰证券股份有限公司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（35）名称：中信证券（山东）有限责任公司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（36）名称：中信证券股份有限公司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电话：010-60838888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（37）名称：中信证券华南股份有限公司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（38）名称：广发证券股份有限公司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（39）名称：北京广源达信基金销售有限公司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（40）名称：天相投资顾问有限公司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（41）名称：深圳市新兰德证券投资咨询有限公司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（42）名称：大连网金基金销售有限公司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（43）名称：阳光人寿保险股份有限公司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法定代表人：李科</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（44）名称：玄元保险代理有限公司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（45）名称：上海大智慧基金销售有限公司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（46）名称：和耕传承基金销售有限公司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联系人：胡静华</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（47）名称：珠海盈米基金销售有限公司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（48）名称：上海华夏财富投资管理有限公司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（49）名称：北京度小满基金销售有限公司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（50）名称：南京苏宁基金销售有限公司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（51）名称：嘉实财富管理有限公司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（52）名称：北京汇成基金销售有限公司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（53）名称：上海利得基金销售有限公司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法定代表人：李兴春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（54）名称：北京虹点基金销售有限公司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（55）名称：上海挖财基金销售有限公司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（56）名称：万家财富基金销售（天津）有限公司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传真：（010）59013828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（57）名称：上海万得基金销售有限公司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（58）名称：格上富信投资顾问有限公司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（59）名称：深圳市金斧子基金销售有限公司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网址：www.jfzinv.com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（60）名称：北京雪球基金销售有限公司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（61）名称：北京新浪仓石基金销售有限公司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（62）名称：上海证达通基金销售有限公司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（63）名称：北京创金启富基金销售有限公司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 北京市西城区白纸坊东街2号院6号楼712室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（64）名称：奕丰基金销售有限公司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（65）名称：上海天天基金销售有限公司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（66）名称：和讯信息科技有限公司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（67）名称：诺亚正行基金销售有限公司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（68）名称：上海好买基金销售有限公司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（69）名称：上海长量基金销售有限公司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客户服务电话：400-820-2899</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（70）名称：深圳众禄基金销售股份有限公司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（71）名称：上海基煜基金销售有限公司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（72）名称：浙江同花顺基金销售有限公司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（73）名称：宜信普泽（北京）基金销售有限公司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（74）名称：上海联泰基金销售有限公司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（75）名称：泛华普益基金销售有限公司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（76）名称：北京展恒基金销售股份有限公司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法定代表人：闫振杰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（77）名称：上海中欧财富基金销售有限公司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（78）名称：腾安基金销售（深圳）有限公司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（79）名称：济安财富（北京）基金销售有限公司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联系人：宋静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（80）名称：博时财富基金销售有限公司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（81）名称：深圳前海微众银行股份有限公司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（82）名称：上海攀赢基金销售有限公司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客户服务电话：021-68889082</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网址：www.weonefunds.com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（83）名称：中国人寿保险股份有限公司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 www.e-chinalife.com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（84）名称：中信期货有限公司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（85）名称：蚂蚁（杭州）基金销售有限公司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（86）名称：京东肯特瑞基金销售有限公司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网址：kenterui.jd.com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（87）名称：上海陆金所基金销售有限公司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名称：安永华明会计师事务所（特殊普通合伙）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ED741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63EA" w:rsidRDefault="00ED741E">
      <w:pPr>
        <w:pStyle w:val="1"/>
        <w:snapToGrid w:val="0"/>
        <w:spacing w:beforeLines="0" w:before="240" w:after="240"/>
        <w:rPr>
          <w:rFonts w:ascii="宋体" w:hAnsi="宋体"/>
          <w:szCs w:val="30"/>
        </w:rPr>
      </w:pPr>
      <w:bookmarkStart w:id="9" w:name="_Toc234408661"/>
      <w:r>
        <w:rPr>
          <w:rFonts w:ascii="Times New Roman" w:hAnsi="Times New Roman"/>
          <w:sz w:val="30"/>
        </w:rPr>
        <w:lastRenderedPageBreak/>
        <w:t>六、基金的历史沿革</w:t>
      </w:r>
      <w:bookmarkEnd w:id="9"/>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交银施罗德中证环境治理指数型证券投资基金（LOF）由交银施罗德中证环境治理指数分级证券投资基金转型而来。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交银施罗德中证环境治理指数分级证券投资基金经2015 年5月20日中国证监会证监许可【2015】940号文准予募集注册，基金管理人为交银施罗德基金管理有限公司，基金托管人为中信银行股份有限公司。经中国证监会书面确认，《交银施罗德中证环境治理指数分级证券投资基金基金合同》于2015年8月13日生效。</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中证环境治理指数分级证券投资基金以通讯方式召开基金份额持有人大会，大会于2016年6月30日表决通过了《关于交银施罗德中证环境治理指数分级证券投资基金转型及基金合同修改有关事项的议案》，同意交银施罗德中证环境治理指数分级证券投资基金由指数分级基金转为上市开放式基金（LOF），基金名称相应变更为“交银施罗德中证环境治理指数型证券投资基金（LOF）”，交银施罗德中证环境治理指数分级证券投资基金之交银环境治理份额、交银环境治理A份额及交银环境治理B份额均转换为交银施罗德中证环境治理指数型证券投资基金（LOF）份额。转型后，基金的投资目标、投资范围不变。</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表决通过之日起生效，基金管理人根据基金份额持有人大会的授权，定于2016年7月19日正式实施基金转型，自基金转型实施日起，《交银施罗德中证环境治理指数分级证券投资基金基金合同》失效且《交银施罗德中证环境治理指数型证券投资基金（LOF）基金合同》同时生效，交银施罗德中证环境治理指数分级证券投资基金正式变更为交银施罗德中证环境治理指数型证券投资基金（LOF）。</w:t>
      </w:r>
    </w:p>
    <w:p w:rsidR="00B439CC" w:rsidRDefault="00ED741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63EA" w:rsidRDefault="00ED741E">
      <w:pPr>
        <w:pStyle w:val="1"/>
        <w:snapToGrid w:val="0"/>
        <w:spacing w:beforeLines="0" w:before="240" w:after="240"/>
        <w:rPr>
          <w:rFonts w:ascii="宋体" w:hAnsi="宋体"/>
          <w:szCs w:val="30"/>
        </w:rPr>
      </w:pPr>
      <w:bookmarkStart w:id="10" w:name="_Toc234408662"/>
      <w:r>
        <w:rPr>
          <w:rFonts w:ascii="Times New Roman" w:hAnsi="Times New Roman"/>
          <w:sz w:val="30"/>
        </w:rPr>
        <w:lastRenderedPageBreak/>
        <w:t>七、基金的存续</w:t>
      </w:r>
      <w:bookmarkEnd w:id="10"/>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ED741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63EA" w:rsidRDefault="00ED741E">
      <w:pPr>
        <w:pStyle w:val="1"/>
        <w:snapToGrid w:val="0"/>
        <w:spacing w:beforeLines="0" w:before="240" w:after="240"/>
        <w:rPr>
          <w:rFonts w:ascii="宋体" w:hAnsi="宋体"/>
          <w:szCs w:val="30"/>
        </w:rPr>
      </w:pPr>
      <w:bookmarkStart w:id="11" w:name="_Toc234408663"/>
      <w:r>
        <w:rPr>
          <w:rFonts w:ascii="Times New Roman" w:hAnsi="Times New Roman"/>
          <w:sz w:val="30"/>
        </w:rPr>
        <w:lastRenderedPageBreak/>
        <w:t>八、基金的上市交易</w:t>
      </w:r>
      <w:bookmarkEnd w:id="11"/>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基金合同生效后，基金管理人将根据有关规定，申请本基金A类基金份额上市交易。如无特别说明，本部分约定仅适用于本基金A类基金份额。</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上市后，登记在证券登记结算系统中的A类基金份额可直接在深圳证券交易所上市；登记在注册登记系统中的A类基金份额可通过办理跨系统转托管业务将基金份额转托管在证券登记结算系统中后，再上市交易。</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未来，基金管理人在符合法律法规的情况下也可申请本基金C类基金份额的上市交易，基金管理人可根据需要修改基金合同相关内容，但应在实施日前依照《信息披露办法》的有关规定在指定媒介上公告。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（一）上市交易的地点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本基金A类基金份额上市交易的地点为深圳证券交易所。</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（二）上市交易的时间</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基金合同生效后，本基金A类基金份额将申请在深圳证券交易所上市交易。</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在确定上市交易的时间后，基金管理人应依照《信息披露办法》的有关规定在指定媒介上刊登A类基金份额上市交易公告书。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（三）上市交易的规则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本基金A类基金份额在深圳证券交易所的上市交易需遵循《深圳证券交易所证券投资基金上市规则》、《深圳证券交易所交易规则》、《深圳证券交易所证券投资基金交易和申购赎回实施细则》等有关规定。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（四）上市交易的费用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本基金A类基金份额上市交易的费用按照深圳证券交易所有关规定执行。</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（五）上市交易的行情揭示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本基金A类基金份额在深圳证券交易所挂牌交易，交易行情通过行情发布系统揭示。行情发布系统同时揭示前一交易日A类基金份额的基金份额净值。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（六）上市交易的停复牌、暂停上市、恢复上市和终止上市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本基金A类基金份额的停复牌、暂停上市、恢复上市和终止上市按照相关法律法规和深圳证券交易所的相关规定执行。</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（七）相关法律法规、中国证监会及深圳证券交易所对基金上市交易的规则等相关规定内容进行调整的，基金合同相应予以修改，且此项修改无须召开基金份额</w:t>
      </w:r>
      <w:r>
        <w:rPr>
          <w:rFonts w:ascii="宋体" w:hAnsi="宋体"/>
          <w:sz w:val="24"/>
        </w:rPr>
        <w:lastRenderedPageBreak/>
        <w:t>持有人大会。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（八）若深圳证券交易所、中国证券登记结算有限责任公司增加了基金场内交易的新业务，基金管理人可以在履行适当的程序后为本基金增加办理相应的新业务。</w:t>
      </w:r>
    </w:p>
    <w:p w:rsidR="00B439CC" w:rsidRDefault="00ED741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63EA" w:rsidRDefault="00ED741E">
      <w:pPr>
        <w:pStyle w:val="1"/>
        <w:snapToGrid w:val="0"/>
        <w:spacing w:beforeLines="0" w:before="240" w:after="240"/>
        <w:rPr>
          <w:rFonts w:ascii="宋体" w:hAnsi="宋体"/>
          <w:szCs w:val="30"/>
        </w:rPr>
      </w:pPr>
      <w:bookmarkStart w:id="12" w:name="_Toc234408664"/>
      <w:r>
        <w:rPr>
          <w:rFonts w:ascii="Times New Roman" w:hAnsi="Times New Roman"/>
          <w:sz w:val="30"/>
        </w:rPr>
        <w:lastRenderedPageBreak/>
        <w:t>九、基金份额的申购与赎回</w:t>
      </w:r>
      <w:bookmarkEnd w:id="12"/>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投资者可通过场外和场内两种方式申购与赎回A类基金份额；C类基金份额不上市交易，也不开设场内申购、赎回的方式，投资者只能通过场外方式申购与赎回C类基金份额。</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个人投资者可以通过基金管理人网上直销交易平台办理开户、本基金的场外申购、赎回、定期定额投资等业务，具体交易细则请参阅基金管理人网站。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2、具有基金销售业务资格、经深圳证券交易所和中国证券登记结算有限责任公司认可的通过深圳证券交易所交易系统办理相关业务的深圳证券交易所会员单位，具体名单详见深圳证券交易所网站。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3、不通过深圳证券交易所交易系统办理相关业务的场外销售机构（除本基金管理人）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本基金除基金管理人之外的其他场外销售机构参见本招募说明书“五、相关服务机构”章节或拨打本公司客户服务电话进行咨询。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投资人应通过上述销售机构办理基金申购、赎回业务的营业场所或按上述销售机构提供的其他方式进行申购或赎回。本基金管理人可根据情况变更或增减基金场外销售机构，并在管理人网站公示。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若基金管理人或其指定的销售机构开通电话、传真或网上等交易方式，投资人可以通过上述方式进行申购与赎回。</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本基金A类基金份额已于2016年7月20日起开放申购、赎回业务。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本基金C类基金份额已于2021年8月27日起开放申购、赎回业务。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3、当日的场外申购与赎回申请可以在基金管理人规定的时间以内撤销，但申请经登记机构受理的不得撤销；</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4、投资者办理基金份额场外申购、赎回应使用开放式基金账户，办理基金份额场内申购、赎回应使用深圳证券账户；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在场外赎回基金份额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6、投资人通过深圳证券交易所交易系统办理基金份额的场内申购、赎回业务</w:t>
      </w:r>
      <w:r>
        <w:rPr>
          <w:rFonts w:ascii="宋体" w:hAnsi="宋体"/>
          <w:sz w:val="24"/>
        </w:rPr>
        <w:lastRenderedPageBreak/>
        <w:t>时，需遵守深圳证券交易所和中国证券登记结算有限责任公司的相关业务规则。若相关法律法规、中国证监会、深圳证券交易所或中国证券登记结算有限责任公司对场内申购、赎回业务规则有新的规定，按新规定执行。</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场外申购时，除基金管理人之外的场外销售机构每个账户单笔申购的最低金额为单笔1元（含申购费），如果销售机构业务规则规定的最低单笔申购金额高于1元，以销售机构的规定为准。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场内申购时，每笔申购金额最低为50,000元（含申购费）。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本基金对单个投资人累计持有的基金份额不设上限。</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赎回的最低份额为1份基金份额，如果销售机构业务规则规定的最低单笔赎回份额高于1份，以该销售机构的规定为准。场内赎回时，赎回的最低份额为50份基金份额，同时赎回份额必须是整数份额。如果销售机构业务规则规定的最低单笔赎回份额高于上述限制，以该销售机构的规定为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场内赎回发生上述情形时，需遵守深圳证券交易所及中国证券登记结算有限责任公司的相关业务规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w:t>
      </w:r>
      <w:r>
        <w:rPr>
          <w:rFonts w:ascii="宋体" w:hAnsi="宋体"/>
          <w:sz w:val="24"/>
        </w:rPr>
        <w:lastRenderedPageBreak/>
        <w:t>请参见相关公告。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基金份额保留余额的数量限制，基金管理人必须在调整实施前依照《信息披露办法》的有关规定在指定媒介上刊登公告并报中国证监会备案。</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6、投资人通过深圳证券交易所交易系统办理场内申购、赎回业务时，需遵守深圳证券交易所及中国证券登记结算有限责任公司对场内申购、赎回数额限定的相关业务规则。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基金合同有关条款处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w:t>
      </w:r>
      <w:r>
        <w:rPr>
          <w:rFonts w:ascii="宋体" w:hAnsi="宋体"/>
          <w:sz w:val="24"/>
        </w:rPr>
        <w:lastRenderedPageBreak/>
        <w:t>构确实接收到申购、赎回申请。申购、赎回申请的确认以登记机构的确认结果为准。对于申请的确认情况，投资者应及时查询。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本基金A类基金份额的申购费用由申购A类基金份额的基金申购人承担，不列入基金财产，主要用于本基金的市场推广、销售、登记等各项费用。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本基金A类基金份额（非养老金客户）的场外申购费率如下：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7B63EA">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类基金份额的场外申购费率</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类基金份额场外申购费率</w:t>
            </w:r>
          </w:p>
        </w:tc>
      </w:tr>
      <w:tr w:rsidR="007B63E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63EA" w:rsidRDefault="007B63E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7B63E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63EA" w:rsidRDefault="007B63E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7B63E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63EA" w:rsidRDefault="007B63E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7B63E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63EA" w:rsidRDefault="007B63E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7B63E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63EA" w:rsidRDefault="007B63E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本基金A类基金份额的场内申购费率由场内销售机构参照上表场外申购费率设定。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w:t>
      </w:r>
      <w:r>
        <w:rPr>
          <w:rFonts w:ascii="宋体" w:hAnsi="宋体"/>
          <w:sz w:val="24"/>
        </w:rPr>
        <w:lastRenderedPageBreak/>
        <w:t>购费率。</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如将来出现经养老基金监管部门认可的新的养老基金类型，本公司可在招募说明书更新或发布临时公告将其纳入养老金客户范围，并按规定向中国证监会备案。</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通过基金管理人直销柜台申购A类基金份额的养老金客户特定场外申购费率如下表：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7B63EA">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类基金份额的场外申购费率</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类基金份额特定场外申购费率</w:t>
            </w:r>
          </w:p>
        </w:tc>
      </w:tr>
      <w:tr w:rsidR="007B63E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63EA" w:rsidRDefault="007B63E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0.24%</w:t>
            </w:r>
          </w:p>
        </w:tc>
      </w:tr>
      <w:tr w:rsidR="007B63E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63EA" w:rsidRDefault="007B63E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0.16%</w:t>
            </w:r>
          </w:p>
        </w:tc>
      </w:tr>
      <w:tr w:rsidR="007B63E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63EA" w:rsidRDefault="007B63E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7B63E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63EA" w:rsidRDefault="007B63E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w:t>
            </w:r>
          </w:p>
        </w:tc>
      </w:tr>
      <w:tr w:rsidR="007B63E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63EA" w:rsidRDefault="007B63E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的赎回费用由赎回该类基金份额的基金份额持有人承担，在基金份额持有人赎回基金份额时收取，赎回费总额的25%应归基金财产，其余用于支付登记费和其他必要的手续费。其中，对持续持有期少于7日的投资者收取不低于1.5%的赎回费并全额计入基金财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本基金A类基金份额的场外赎回费率如下：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7B63EA">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类基金份额的场外赎回费</w:t>
            </w:r>
            <w:r>
              <w:rPr>
                <w:rFonts w:ascii="Times New Roman" w:hAnsi="Times New Roman"/>
                <w:color w:val="000000"/>
                <w:kern w:val="0"/>
                <w:sz w:val="25"/>
                <w:szCs w:val="24"/>
              </w:rPr>
              <w:lastRenderedPageBreak/>
              <w:t>率</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类基金份额场外赎回费率</w:t>
            </w:r>
          </w:p>
        </w:tc>
      </w:tr>
      <w:tr w:rsidR="007B63E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63EA" w:rsidRDefault="007B63E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7B63E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63EA" w:rsidRDefault="007B63E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7B63E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63EA" w:rsidRDefault="007B63E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rsidR="007B63E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63EA" w:rsidRDefault="007B63E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上表中的“年”指的是365个自然日。场外赎回A类基金份额时，其持有期限的计算以中国证券登记结算有限责任公司的相关业务规则为准。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本基金A类基金份额的场内赎回费率如下：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7B63EA">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类基金份额的场内赎回费率</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类基金份额场内赎回费率</w:t>
            </w:r>
          </w:p>
        </w:tc>
      </w:tr>
      <w:tr w:rsidR="007B63E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63EA" w:rsidRDefault="007B63E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7B63E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63EA" w:rsidRDefault="007B63E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bl>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7B63EA">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类基金份额赎回费率</w:t>
            </w:r>
          </w:p>
        </w:tc>
      </w:tr>
      <w:tr w:rsidR="007B63E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63EA" w:rsidRDefault="007B63E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7B63E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63EA" w:rsidRDefault="007B63E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场外申购份额计算结果按四舍五入方法，保留到小数点后2位，由此产生的收益或损失由基金财产承担，场内申购份额计算结果采用截位的方式，保留到整数位，剩余部分折回金额返还至投资人资金账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和C类基金份额有效赎回份额乘以当日该类基金份额的基金份额净值并扣除相应的费用（如有），赎回金额单位为元。赎回金额计算结果按四舍五入方法，保留到小数点后2位，由此产生的收益或损失由基金财产承担。</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（1）A类基金份额的申购</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例一：某投资者（非养老金客户）投资50,000元场外申购本基金A类基金份额，假设申购当日A类基金份额净值为1.0400元，申购费率为1.2%，则其可得到的申购份额为：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申购总金额＝50,000元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净申购金额=50,000/（1+1.2%）=49,407.11元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申购费用=50,000-49,407.11=592.89元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申购份额=（50,000-592.89）/1.0400=47,506.84份</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即：某投资者（非养老金客户）投资50,000元场外申购本基金A类基金份额，假设申购当日A类基金份额净值为1.0400元，则其可得到47,506.84份A类基金份额。</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如果投资者是场内申购，则申购份额为47,506份，其余0.84份对应金额返回给投资者。退款金额具体计算如下：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实际净申购金额=47,506×1.0400=49,406.24元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对应返还申购金额=50,000-49,406.24-592.89=0.87元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例二：某养老金客户投资100,000元通过基金管理人的直销柜台申购本基金A类基金份额，假设申购当日A类基金份额净值为1.0400元，申购费率为0.24%，则其可得到的申购份额为：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净申购金额=100,000/（1+0.24%）=99,760.57元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申购费用=100,000-99,760.57=239.43元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申购份额=（100,000-239.43）/1.0400=95,923.63份</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即：该养老金客户投资100,000元通过基金管理人的直销柜台申购本基金A类基</w:t>
      </w:r>
      <w:r>
        <w:rPr>
          <w:rFonts w:ascii="宋体" w:hAnsi="宋体"/>
          <w:sz w:val="24"/>
        </w:rPr>
        <w:lastRenderedPageBreak/>
        <w:t>金份额，假设申购当日A类基金份额净值为1.0400元，则其可得到95,923.63份A类基金份额。</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场外赎回和场内赎回均采用份额赎回的方式。赎回金额为按实际确认的A类基金份额和C类基金份额有效赎回份额乘以当日该类基金份额的基金份额净值并扣除相应的费用（如有），赎回金额单位为元，计算结果保留到小数点后两位，第三位四舍五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投资者赎回A类基金份额，赎回金额的计算方法如下：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例四：某投资者在场外赎回持有的50,000份A类基金份额，持有期限为1.5年，对应的赎回费率为0.2%，假设赎回当日A类基金份额净值是1.0160元，则其可得到的赎回金额为：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50,000×1.0160×0.2%＝101.60元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50,000×1.0160-101.60＝50,698.40元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即：投资者在场外赎回50,000份A类基金份额，对应的赎回费率为0.2%，假设赎回当日A类基金份额净值是1.0160元，则其可得到的赎回金额为50,698.40元。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例五：某投资者在场内赎回持有的50,000份A类基金份额，持有期限为1.5年，对应的赎回费率固定值为0.5%，假设赎回当日A类基金份额净值是1.0160元，则其可得到的赎回金额为：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 = 50,000×1.0160×0.5%＝254.00元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50,000×1.0160-254.00＝50,546.00元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即：投资者在场内赎回50,000份A类基金份额，对应的赎回费率为0.5%，假设赎回当日A类基金份额净值是1.0160元，则其可得到的赎回金额为50,546.00元。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例六：某投资者赎回100,000份C类基金份额，持有期限为20日，对应的赎回费率为0，假设赎回当日C类基金份额净值是1.0160元，则其可得到的赎回金额为：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赎回费用=100,000×1.0160×0%＝0.00元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赎回金额=100,000×1.0160-0＝101,600.00元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即：投资者赎回100,000份C类基金份额，持有期限为20日，对应的赎回费率为0，假设赎回当日C类基金份额净值是1.0160元，则其可得到的赎回金额为101,600.00元。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内（包括该日）公告。遇特殊情况，经中国证监会同意，可以适当延迟计算或公告。本基金A类基金份额和C类基金份额的基金份额净值的计算，均保留到小数点后4位，小数点后第5位四舍五入，由此误差产生的收益或损失由基金财产承担。</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w:t>
      </w:r>
      <w:r>
        <w:rPr>
          <w:rFonts w:ascii="宋体" w:hAnsi="宋体"/>
          <w:sz w:val="24"/>
        </w:rPr>
        <w:lastRenderedPageBreak/>
        <w:t>金资产净值。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4、基金管理人认为接受某笔或某些申购申请可能会影响或损害现有基金份额持有人利益时。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5、基金资产规模过大，使基金管理人无法找到合适的投资品种，或其他可能对基金业绩产生负面影响，或基金管理人认定的其他损害现有基金份额持有人利益的情形。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8、基金管理人接受某笔或者某些申购申请有可能导致单一投资者持有基金份额的比例超过50%，或者变相规避50%集中度的情形时。出现上述情形时，基金管理人有权将上述申购申请全部或部分确认失败。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除第4、8项以外的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（九）暂停赎回或延缓支付赎回款项的情形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5、继续接受赎回申请将损害现有基金份额持有人利益的情形时，可暂停接受</w:t>
      </w:r>
      <w:r>
        <w:rPr>
          <w:rFonts w:ascii="宋体" w:hAnsi="宋体"/>
          <w:sz w:val="24"/>
        </w:rPr>
        <w:lastRenderedPageBreak/>
        <w:t>投资人的赎回申请。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7、基金合同约定、法律法规规定或中国证监会认定的其他情形。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对于场外的赎回申请，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场外赎回时可事先选择将当日可能未获受理部分予以撤销。对于场内赎回部分，按照深圳证券交易所及中国证券登记结算有限责任公司的有关规定办理。在暂停赎回的情况消除时，基金管理人应及时恢复赎回业务的办理并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当基金出现巨额赎回时，对于场外赎回申请，基金管理人可以根据基金当时的资产组合状况决定全额赎回或部分延期赎回。</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w:t>
      </w:r>
      <w:r>
        <w:rPr>
          <w:rFonts w:ascii="宋体" w:hAnsi="宋体"/>
          <w:sz w:val="24"/>
        </w:rPr>
        <w:lastRenderedPageBreak/>
        <w:t>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巨额赎回业务的场内处理，按照深圳证券交易所及中国证券登记结算有限责任公司的有关规定办理。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当发生上述延期赎回并延期办理时，基金管理人应当通过邮寄、传真或者通知销售机构代为告知的方式在3个交易日内通知基金份额持有人，说明有关处理方法，并在2日内在指定媒介上刊登公告。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各类基金份额的基金份额净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（十二）基金转换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w:t>
      </w:r>
      <w:r>
        <w:rPr>
          <w:rFonts w:ascii="宋体" w:hAnsi="宋体"/>
          <w:sz w:val="24"/>
        </w:rPr>
        <w:lastRenderedPageBreak/>
        <w:t>基金托管人与相关机构。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（十三）定期定额投资计划</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本基金2021年12月11日刊登公告自2021年12月14日起开通定期定额投资计划业务，具体开通销售机构名单和业务规则参见相关公告。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（十四）基金的非交易过户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（十五）基金的转托管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基金份额持有人可办理已持有基金份额在不同销售机构之间的转托管，基金销售机构可以按照规定的标准收取转托管费。本基金份额的转托管包括系统内转托管和跨系统转托管。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1、基金份额的登记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份额采用分系统登记的原则。场外认购、申购的基金份额登记在注册登记系统中基金份额持有人的开放式基金账户下；场内认购、申购的基金份额，以及上市交易买入的基金份额，登记在证券登记结算系统基金份额持有人深圳证券账户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（2）登记在证券登记结算系统中的基金份额，可以在深圳证券交易所上市交易，也可以直接申请场内赎回，或经跨系统转托管至注册登记系统后申请场外赎</w:t>
      </w:r>
      <w:r>
        <w:rPr>
          <w:rFonts w:ascii="宋体" w:hAnsi="宋体"/>
          <w:sz w:val="24"/>
        </w:rPr>
        <w:lastRenderedPageBreak/>
        <w:t>回。</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（3）登记在注册登记系统中的A类基金份额，既可以直接申请场外赎回，也可经跨系统转托管至证券登记结算系统后，在深圳证券交易所上市交易。</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2、系统内转托管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（1）系统内转托管是指基金份额持有人将持有的基金份额在注册登记系统内不同销售机构之间，或在证券登记结算系统内不同会员单位（交易单元）之间进行转登记的行为。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（2）基金份额登记在注册登记系统的基金份额持有人在变更办理基金份额场外赎回业务的销售机构时，需办理已持有基金份额的系统内转托管。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（3）基金份额登记在证券登记结算系统的基金份额持有人在变更办理基金份额场内赎回的会员单位（交易单元）时，需办理已持有基金份额的系统内转托管。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3、跨系统转托管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（1）跨系统转托管是指基金份额持有人将持有的A类基金份额在注册登记系统和证券登记结算系统之间进行转登记的行为。除经基金管理人另行公告，C类基金份额不能进行跨系统转托管。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（2）本基金跨系统转托管的具体业务按照中国证券登记结算有限责任公司及深圳证券交易所的相关规定办理。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（十六）基金份额的冻结和解冻</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（十七）其他业务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转让或其他基金业务，基金管理人可制定相应的业务规则，并依照《信息披露办法》的有关规定进行公告。</w:t>
      </w:r>
    </w:p>
    <w:p w:rsidR="00B439CC" w:rsidRDefault="00ED741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63EA" w:rsidRDefault="00ED741E">
      <w:pPr>
        <w:pStyle w:val="1"/>
        <w:snapToGrid w:val="0"/>
        <w:spacing w:beforeLines="0" w:before="240" w:after="240"/>
        <w:rPr>
          <w:rFonts w:ascii="宋体" w:hAnsi="宋体"/>
          <w:szCs w:val="30"/>
        </w:rPr>
      </w:pPr>
      <w:bookmarkStart w:id="13" w:name="_Toc234408665"/>
      <w:r>
        <w:rPr>
          <w:rFonts w:ascii="Times New Roman" w:hAnsi="Times New Roman"/>
          <w:sz w:val="30"/>
        </w:rPr>
        <w:lastRenderedPageBreak/>
        <w:t>十、基金的投资</w:t>
      </w:r>
      <w:bookmarkEnd w:id="13"/>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本基金采用指数化投资，紧密跟踪标的指数，追求跟踪偏离度与跟踪误差最小化。本基金力争控制本基金日均跟踪偏离度的绝对值不超过0.35%，年跟踪误差不超过4%。</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具有良好流动性的金融工具，以中证环境治理指数的成份股（含存托凭证）及其备选成份股(含中小板、创业板及其他经中国证监会核准的上市股票、存托凭证)为主要投资对象。为更好地实现投资目标，本基金也可少量投资于其他股票(非标的指数成份股（含存托凭证）及其备选成份股（含存托凭证）)、债券、中期票据、货币市场工具、债券回购、权证、资产支持证券、股指期货以及法律法规或中国证监会允许基金投资的其他金融工具（但须符合中国证监会相关规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基金的投资组合比例为：本基金的股票资产（含存托凭证）投资比例不低于基金资产的 90%，本基金投资于中证环境治理指数的成份股（含存托凭证）及其备选成份股（含存托凭证）的比例不低于非现金基金资产的90%，投资于权证的比例不得超过基金资产净值的3%，每个交易日日终在扣除股指期货合约需缴纳的交易保证金以后，持有现金或到期日在一年以内的政府债券的比例不低于基金资产净值的5%，其中现金不包括结算备付金、存出保证金、应收申购款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指数型基金，绝大部分资产采用完全复制标的指数的方法跟踪标的指数，即按照中证环境治理指数中的成份股组成及其权重构建股票投资组合，并根据标的指数成份股及其权重的变动进行相应调整。当预期成份股发生调整和成份股发生配股、增发、分红等行为时，或因基金的申购和赎回等对本基金跟踪标的指数的效果可能带来影响时，或因某些特殊情况导致成份股流动性不足时，或其他原因导</w:t>
      </w:r>
      <w:r>
        <w:rPr>
          <w:rFonts w:ascii="宋体" w:hAnsi="宋体"/>
          <w:sz w:val="24"/>
        </w:rPr>
        <w:lastRenderedPageBreak/>
        <w:t>致无法有效复制和跟踪标的指数时，基金管理人可以对投资组合管理进行适当变通和调整，从而使得投资组合紧密地跟踪标的指数。在正常市场情况下，力争控制本基金日均跟踪偏离度的绝对值不超过0.35%，年跟踪误差不超过4%。如因指数编制规则调整或其他因素导致跟踪偏离度和跟踪误差超过上述范围，基金管理人应采取合理措施避免跟踪偏离度、跟踪误差进一步扩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本基金的股票资产投资比例不低于基金资产的 90%，本基金投资于中证环境治理指数的成份股及其备选成份股的比例不低于非现金基金资产的90%，其余资产可投资于其他股票（非标的指数成份股及其备选成份股）、债券、中期票据、货币市场工具、债券回购、权证、资产支持证券、股指期货以及法律法规或中国证监会批准的允许基金投资的其它金融工具（但须符合中国证监会相关规定），其目的是在保证基金资产流动性的前提下，有效利用基金资产，更好地实现跟踪标的指数的投资目标。</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股指期货将根据风险管理的原则，以套期保值为目的，主要选择流动性好、交易活跃的股指期货合约。在建仓期或者出现大量净申购或净赎回的情况时，本基金将使用股指期货来进行流动性风险管理。本基金力争利用股指期货的杠杆作用，降低股票仓位频繁调整的交易成本和跟踪误差，达到有效跟踪标的指数的目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（1）本基金的股票资产（含存托凭证）投资比例不低于基金资产的 90%，本基金投资于中证环境治理指数的成份股（含存托凭证）及其备选成份股（含存托凭</w:t>
      </w:r>
      <w:r>
        <w:rPr>
          <w:rFonts w:ascii="宋体" w:hAnsi="宋体"/>
          <w:sz w:val="24"/>
        </w:rPr>
        <w:lastRenderedPageBreak/>
        <w:t>证）的比例不低于非现金基金资产的90%；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（2）本基金每个交易日日终在扣除股指期货合约需缴纳的交易保证金后，保持不低于基金资产净值5%的现金或者到期日在一年以内的政府债券，其中现金不包括结算备付金、存出保证金、应收申购款等；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（3）本基金持有的全部权证，其市值不得超过基金资产净值的3%；</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（4）本基金管理人管理的全部基金持有的同一权证，不得超过该权证的10%；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（5）本基金在任何交易日买入权证的总金额，不得超过上一交易日基金资产净值的0.5%；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（6）本基金投资于同一原始权益人的各类资产支持证券的比例，不得超过基金资产净值的10%；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（7）本基金持有的全部资产支持证券，其市值不得超过基金资产净值的20%；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（8）本基金持有的同一(指同一信用级别)资产支持证券的比例，不得超过该资产支持证券规模的10%；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（9）本基金管理人管理的全部基金投资于同一原始权益人的各类资产支持证券，不得超过其各类资产支持证券合计规模的10%；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（10）本基金应投资于信用级别评级为BBB以上(含BBB)的资产支持证券。基金持有资产支持证券期间，如果其信用等级下降、不再符合投资标准，应在评级报告发布之日起3个月内予以全部卖出；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（11）基金财产参与股票发行申购，本基金所申报的金额不超过本基金的总资产，本基金所申报的股票数量不超过拟发行股票公司本次发行股票的总量；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（12）本基金进入全国银行间同业市场进行债券回购的资金余额不得超过基金资产净值的40%；本基金进入全国银行间同业市场进行债券回购的最长期限为1年,债券回购到期后不得展期；</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（13）本基金在任何交易日日终，持有的买入股指期货合约价值，不得超过基金资产净值的10%；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在任何交易日日终，持有的买入期货合约价值与有价证券市值之和,不得超过基金资产净值的100%。其中，有价证券指股票、债券（不含到期日在一年以内的政府债券）、权证、资产支持证券、买入返售金融资产（不含质押式回购）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（15）本基金在任何交易日日终，持有的卖出期货合约价值不得超过基金持有</w:t>
      </w:r>
      <w:r>
        <w:rPr>
          <w:rFonts w:ascii="宋体" w:hAnsi="宋体"/>
          <w:sz w:val="24"/>
        </w:rPr>
        <w:lastRenderedPageBreak/>
        <w:t>的股票总市值的20%；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（16）本基金所持有的股票市值和买入、卖出股指期货合约价值，合计（轧差计算）应当符合基金合同关于股票投资比例的有关约定；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（17）本基金在任何交易日内交易（不包括平仓）的股指期货合约的成交金额不得超过上一交易日基金资产净值的20%；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（18）本基金的基金资产总值不得超过基金资产净值的140%；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投资流通受限证券，基金管理人应事先根据中国证监会相关规定，与基金托管人在基金托管协议中明确基金投资流通受限证券的相关事宜。基金管理人应制订严格的投资决策流程和风险控制制度，防范流动性风险、法律风险和操作风险等各种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（21）本基金与私募类证券资管产品及中国证监会认定的其他主体为交易对手开展逆回购交易的，可接受质押品的资质要求应当与基金合同约定的投资范围保持一致；</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（23）法律法规及中国证监会规定的和《基金合同》约定的其他投资限制。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10）、（20）、（21）项另有约定外，因证券、期货市场波动、证券发行人合并、基金规模变动、股权分置改革中支付对价等基金管理人之外的因素致使基金投资比例不符合上述规定投资比例的，基金管理人应当在10个交易日内进行调整，但中国证监会规定的特殊情形除外。法律法规另有规定的，从其规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转型实施日起6个月内使基金的投资组合比例符合基金合同的有关约定。在上述期间内，本基金的投资范围、投资策略应当符合基金合同的约定。基金托管人对基金的投资的监督与检查自基金合同生效之日起开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w:t>
      </w:r>
      <w:r>
        <w:rPr>
          <w:rFonts w:ascii="宋体" w:hAnsi="宋体"/>
          <w:sz w:val="24"/>
        </w:rPr>
        <w:lastRenderedPageBreak/>
        <w:t>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中证环境治理指数收益率×95%＋银行活期存款利率（税后）×5%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本基金的标的指数为中证环境治理指数。中证环境治理指数是由中证指数有限公司编制，代表性和可投资性受到市场认可。</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本基金每个交易日日终在扣除股指期货合约需缴纳的交易保证金后，投资于现金或者到期日在一年以内的政府债券不低于基金资产净值的5%，因此本基金业绩比较基准中同时加入了5%的银行活期存款利率(税后)。本基金管理人认为，该业绩比较基准目前能够忠实地反映本基金的风险收益特征。</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若出现标的指数不符合要求（不包括因成份股价格波动等指数编制方法变动之外的因素致使标的指数不符合要求的情形）、指数编制机构退出等情形，基金管理人应当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w:t>
      </w:r>
      <w:r>
        <w:rPr>
          <w:rFonts w:ascii="宋体" w:hAnsi="宋体"/>
          <w:sz w:val="24"/>
        </w:rPr>
        <w:lastRenderedPageBreak/>
        <w:t>上述事项表决未通过的，基金合同终止。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自指数编制机构停止标的指数的编制及发布至解决方案确定期间，基金管理人应按照指数编制机构提供的最近一个交易日的指数信息遵循基金份额持有人利益优先原则维持基金投资运作。</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若基金标的指数发生变更，基金业绩比较基准随之变更，由基金管理人根据标的指数变更情形履行对应适当程序，并在调整实施前依照《信息披露办法》的有关规定在中国证监会指定媒介上刊登公告。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股票型基金，其预期风险与预期收益高于混合型基金、债券型基金和货币市场基金，属于承担较高预期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（七）基金管理人代表基金行使股东及债权人权利的处理原则及方法</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（八）基金投资组合报告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基金托管人中信银行股份有限公司根据本基金合同规定，于2026年04月20日复核了本报告中的财务指标、净值表现和投资组合报告等内容，保证复核内容不存在虚假记载、误导性陈述或者重大遗漏。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本报告期为2026年01月01日起至03月31日。本报告财务资料未经审计师审计。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80,421,112.48</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93.02</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80,421,112.48</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93.02</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5,834,336.45</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6.75</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204,336.14</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0.24</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86,459,785.07</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报告期末指数投资按行业分类的境内股票投资组合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33,507,087.51</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38.99</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11,590,424.18</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13.49</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1,092,420.00</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1.27</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2,529,750.00</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2.94</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31,697,893.56</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36.89</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O</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7B63EA">
            <w:pPr>
              <w:widowControl/>
              <w:snapToGrid w:val="0"/>
              <w:jc w:val="left"/>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80,417,575.25</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93.58</w:t>
            </w:r>
          </w:p>
        </w:tc>
      </w:tr>
    </w:tbl>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报告期末积极投资按行业分类的境内股票投资组合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1,963.95</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1,573.28</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7B63EA">
            <w:pPr>
              <w:widowControl/>
              <w:snapToGrid w:val="0"/>
              <w:jc w:val="left"/>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3,537.23</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bl>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 报告期末按行业分类的港股通投资股票投资组合</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3.1 报告期末指数投资按公允价值占基金资产净值比例大小排序的前十名股票投资明细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603588</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高能环境</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219,621</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3,283,333.95</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3.82</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003035</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南网能源</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337,300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2,529,750.00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2.94</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000155</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川能动力</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131,900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2,093,253.00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2.44</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600481</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双良节能</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306,100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2,008,016.00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2.34</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301500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飞南资源</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102,020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1,964,905.20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2.29</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601388</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怡球资源</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510,400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1,954,832.00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2.27</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000967</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盈峰环境</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228,012</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1,940,382.12</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2.26</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002479</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富春环保</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313,000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1,884,260.00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2.19</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000551</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创元科技</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139,820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1,851,216.80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2.15</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301175</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中科环保</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288,200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1,815,660.00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2.11</w:t>
            </w:r>
          </w:p>
        </w:tc>
      </w:tr>
    </w:tbl>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 报告期末积极投资按公允价值占基金资产净值比例大小排序的前五名股票投资明细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003039</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顺控发展</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62</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911.40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601200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上海环境</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98</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824.18</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000885</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城发环境</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55</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749.10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600283</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钱江水利</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80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738.40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600168</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武汉控股</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61</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314.15</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bl>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2026年02月28日，中国证监会下发《立案告知书》（证监立案字[0102026009]号）给予双良节能系统股份有限公司，因公司涉嫌信息披露误导性陈述等违法违规行为，根据《中华人民共和国证券法》《中华人民共和国行政处罚法》等法律法规，决定对公司立案。</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2026年03月23日,江苏证监局公示苏证监罚字[2026]10号行政处罚决定书,给予双良节能系统股份有限公司400万元人民币的行政处罚。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遵循指数化投资理念，绝大部分资产采用完全复制法跟踪指数，以完全按照标的指数成份股组成及其权重构建基金股票投资组合为原则，进行被动式指数化投资。本基金对上述主体发行证券的投资遵守本基金管理人基金投资管理相关制度及被动式指数化投资策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11.2 基金投资的前十名股票是否超出基金合同规定的备选股票库</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18,994.93</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185,341.21</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right"/>
              <w:rPr>
                <w:rFonts w:ascii="宋体" w:hAnsi="宋体"/>
                <w:color w:val="000000"/>
                <w:kern w:val="0"/>
                <w:sz w:val="25"/>
                <w:szCs w:val="24"/>
              </w:rPr>
            </w:pPr>
            <w:r>
              <w:rPr>
                <w:rFonts w:ascii="Times New Roman" w:hAnsi="Times New Roman"/>
                <w:color w:val="000000"/>
                <w:kern w:val="0"/>
                <w:sz w:val="25"/>
                <w:szCs w:val="24"/>
              </w:rPr>
              <w:t>204,336.14</w:t>
            </w:r>
          </w:p>
        </w:tc>
      </w:tr>
    </w:tbl>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报告期末股票中存在流通受限情况的说明</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报告期末指数投资前十名股票中存在流通受限情况的说明</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报告期末积极投资前五名股票中存在流通受限情况的说明</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ED741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63EA" w:rsidRDefault="00ED741E">
      <w:pPr>
        <w:pStyle w:val="1"/>
        <w:snapToGrid w:val="0"/>
        <w:spacing w:beforeLines="0" w:before="240" w:after="240"/>
        <w:rPr>
          <w:rFonts w:ascii="宋体" w:hAnsi="宋体"/>
          <w:szCs w:val="30"/>
        </w:rPr>
      </w:pPr>
      <w:bookmarkStart w:id="14" w:name="_Toc234408666"/>
      <w:r>
        <w:rPr>
          <w:rFonts w:ascii="Times New Roman" w:hAnsi="Times New Roman"/>
          <w:sz w:val="30"/>
        </w:rPr>
        <w:lastRenderedPageBreak/>
        <w:t>十一、基金的业绩</w:t>
      </w:r>
      <w:bookmarkEnd w:id="14"/>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基金业绩截止日为2026年03月31日，所载业绩数据未经审计师审计。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（1）交银施罗德中证环境治理指数型证券投资基金(LOF)A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7B63E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7B63E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2.12%</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1.45%</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2.43%</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7B63E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17.84%</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18.23%</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1.13%</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7B63E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6.33%</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1.87%</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6.44%</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1.89%</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7B63E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-11.24%</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0.83%</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-10.92%</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7B63E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-25.69%</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1.45%</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-25.10%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7B63E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19.96%</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21.38%</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1.34%</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-1.42%</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7B63E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-3.73%</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1.60%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-3.89%</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1.63%</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7B63E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3.03%</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1.52%</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4.17%</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1.56%</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-1.14%</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7B63E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-45.48%</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1.55%</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-44.44%</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1.55%</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-1.04%</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7B63E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-7.16%</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-6.36%</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1.18%</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7B63E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年度（自基金转型日至</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3.06%</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3.73%</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bl>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（2）交银施罗德中证环境治理指数型证券投资基金(LOF)C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7B63E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7B63E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1.45%</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2.43%</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7B63E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17.68%</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18.23%</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1.13%</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7B63E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6.24%</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1.87%</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6.44%</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1.89%</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7B63E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-11.32%</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0.83%</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-10.92%</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7B63E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-25.75%</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1.45%</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-25.10%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7B63E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12.30%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13.56%</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-1.26%</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bl>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交银施罗德中证环境治理指数分级证券投资基金从2016年7月19日起正式转型为交银施罗德中证环境治理指数型证券投资基金(LOF)，本表列示的是本基金转型后的基金净值表现，转型后基金的业绩比较基准为中证环境治理指数收益率×95%＋银行活期存款利率（税后）×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（3）交银施罗德中证环境治理指数分级证券投资基金</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7B63E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7B63E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日至</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18</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3.04%</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3.08%</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7B63E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年度（自</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1</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日至</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18</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-16.75%</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2.50%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-15.74%</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2.30%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r>
      <w:tr w:rsidR="007B63E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14.00%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1.75%</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-4.37%</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2.91%</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18.37%</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-1.16%</w:t>
            </w:r>
          </w:p>
        </w:tc>
      </w:tr>
    </w:tbl>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交银施罗德中证环境治理指数分级证券投资基金从2016年7月19日起正式转型为交银施罗德中证环境治理指数型证券投资基金(LOF)，本表列示的是本基金转型前的基金净值表现，转型前基金的业绩比较基准为中证环境治理指数收益率×95%＋银行活期存款利率（税后）×5%。</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2、基金份额累计净值增长率变动及其与同期业绩比较基准收益率变动的比较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（1）自基金转型以来基金份额累计净值增长率变动及其与同期业绩比较基准收益率变动的比较</w:t>
      </w:r>
    </w:p>
    <w:p w:rsidR="007B63EA" w:rsidRDefault="00ED741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lastRenderedPageBreak/>
        <w:t>交银施罗德中证环境治理指数型证券投资基金(LOF)</w:t>
      </w:r>
    </w:p>
    <w:p w:rsidR="007B63EA" w:rsidRDefault="00ED741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7B63EA" w:rsidRDefault="00ED741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（2016年7月19日至2026年03月31日）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交银施罗德中证环境治理指数型证券投资基金(LOF)A</w:t>
      </w:r>
    </w:p>
    <w:p w:rsidR="007B63EA" w:rsidRDefault="00346591">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交银施罗德中证环境治理指数型证券投资基金(LOF)C</w:t>
      </w:r>
    </w:p>
    <w:p w:rsidR="007B63EA" w:rsidRDefault="00346591">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7" type="#_x0000_t75" style="width:439.5pt;height:268.5pt">
            <v:imagedata r:id="rId17" o:title="1521256610242020828"/>
          </v:shape>
        </w:pic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注：1、本基金由交银施罗德中证环境治理指数分级证券投资基金转型而来。</w:t>
      </w:r>
      <w:r>
        <w:rPr>
          <w:rFonts w:ascii="宋体" w:hAnsi="宋体"/>
          <w:sz w:val="24"/>
        </w:rPr>
        <w:lastRenderedPageBreak/>
        <w:t>基金转型日为2016年7月19日。本基金的投资转型期为交银施罗德中证环境治理指数分级证券投资基金转型实施日（即2016年7月19日）起的6个月。截至投资转型期结束，本基金各项资产配置比例符合基金合同及招募说明书有关投资比例的约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2、本基金自2021年8月27日起，开始销售C类份额，投资者提交的申购申请于2021年8月30日被确认并将有效份额登记在册。</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7B63EA" w:rsidRDefault="00ED741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交银施罗德中证环境治理指数分级证券投资基金</w:t>
      </w:r>
    </w:p>
    <w:p w:rsidR="007B63EA" w:rsidRDefault="00ED741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累计份额净值增长率与业绩比较基准收益率历史走势对比图</w:t>
      </w:r>
    </w:p>
    <w:p w:rsidR="007B63EA" w:rsidRDefault="00ED741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（2015年8月13日至2016年7月18日）</w:t>
      </w:r>
    </w:p>
    <w:p w:rsidR="007B63EA" w:rsidRDefault="00346591">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8" type="#_x0000_t75" style="width:439.5pt;height:268.5pt">
            <v:imagedata r:id="rId18" o:title="1521256610242020828"/>
          </v:shape>
        </w:pic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基金合同生效日为2015年8月13日，基金合同生效日至报告期期末，本基金运作时间未满一年。本基金建仓期为自基金合同生效日起的6个月。截至建仓期结束，本基金各项资产配置比例符合基金合同及招募说明书有关投资比例的约定。</w:t>
      </w:r>
    </w:p>
    <w:p w:rsidR="00B439CC" w:rsidRDefault="00ED741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63EA" w:rsidRDefault="00ED741E">
      <w:pPr>
        <w:pStyle w:val="1"/>
        <w:snapToGrid w:val="0"/>
        <w:spacing w:beforeLines="0" w:before="240" w:after="240"/>
        <w:rPr>
          <w:rFonts w:ascii="宋体" w:hAnsi="宋体"/>
          <w:szCs w:val="30"/>
        </w:rPr>
      </w:pPr>
      <w:bookmarkStart w:id="15" w:name="_Toc234408667"/>
      <w:r>
        <w:rPr>
          <w:rFonts w:ascii="Times New Roman" w:hAnsi="Times New Roman"/>
          <w:sz w:val="30"/>
        </w:rPr>
        <w:lastRenderedPageBreak/>
        <w:t>十二、基金的财产</w:t>
      </w:r>
      <w:bookmarkEnd w:id="15"/>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账户以及投资所需的其他专用账户。开立的基金专用账户与基金管理人、基金托管人、基金销售机构和基金登记机构自有的财产账户以及其他基金财产账户相独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ED741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63EA" w:rsidRDefault="00ED741E">
      <w:pPr>
        <w:pStyle w:val="1"/>
        <w:snapToGrid w:val="0"/>
        <w:spacing w:beforeLines="0" w:before="240" w:after="240"/>
        <w:rPr>
          <w:rFonts w:ascii="宋体" w:hAnsi="宋体"/>
          <w:szCs w:val="30"/>
        </w:rPr>
      </w:pPr>
      <w:bookmarkStart w:id="16" w:name="_Toc234408668"/>
      <w:r>
        <w:rPr>
          <w:rFonts w:ascii="Times New Roman" w:hAnsi="Times New Roman"/>
          <w:sz w:val="30"/>
        </w:rPr>
        <w:lastRenderedPageBreak/>
        <w:t>十三、基金资产的估值</w:t>
      </w:r>
      <w:bookmarkEnd w:id="16"/>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（三）估值方法</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的投资品种，如估值日有市价的，采用市价确定公允价值；估值日无市价，但最近交易日后经济环境未发生重大变化且证券发行机构未发生影响证券价格的重大事件的，采用最近交易市价确定公允价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存在活跃市场的投资品种，如估值日无市价，且最近交易日后经济环境发生了重大变化或证券发行机构发生了影响证券价格的重大事件的，可参考类似投资品种的现行市价及重大变化等因素，调整最近交易市价，确定公允价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（3）当投资品种不存在活跃市场，采用市场参与者普遍认同，且被以往市场实际交易价格验证具有可靠性的估值技术，确定投资品种的公允价值。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（4）如有充足理由认为按原有方法进行估值不能客观反映上述资产或负债公允价值的，基金管理人可根据具体情况与基金托管人商定后，按最能反映公允价值的方法估值。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（5）本基金投资存托凭证的估值核算依照境内上市交易的股票执行。</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（6）存在相关法律法规以及监管部门有相关规范的，从其规定。如有新增事项，按监管部门最新规定估值。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（四）估值程序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1、各类基金份额的基金份额净值是按照每个工作日闭市后，该类基金份额的基金资产净值除以当日该类基金份额的余额数量计算，精确到0.0001元，小数点后第五位四舍五入。国家另有规定的，从其规定。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基金管理人于每个工作日计算各类基金份额的基金资产净值及基金份额净值，并按规定公告。如遇特殊情况，经中国证监会同意，可以适当延迟计算或公告。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（五）估值错误的处理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 发生估值错误时，视为基金份额净值错误。</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w:t>
      </w:r>
      <w:r>
        <w:rPr>
          <w:rFonts w:ascii="宋体" w:hAnsi="宋体"/>
          <w:sz w:val="24"/>
        </w:rPr>
        <w:lastRenderedPageBreak/>
        <w:t>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（3）前述内容如法律法规或监管机关另有规定的，从其规定处理。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（六）暂停估值的情形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4、当前一估值日基金资产净值50%以上的资产出现无可参考的活跃市场价格且采用估值技术仍导致公允价值存在重大不确定性时，经与基金托管人协商确认后，基金管理人应当暂停估值；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（七）基金净值的确认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（八）特殊情形的处理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1、基金管理人或基金托管人按估值方法的第（4）项进行估值时，所造成的误差不作为基金资产估值错误处理。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份额净值计算错误，基金管理人、基金托管人免除赔偿责任。但基金管理人、基金托管人应积极采取必要的措施减轻或消除由此造成的影响。</w:t>
      </w:r>
    </w:p>
    <w:p w:rsidR="00B439CC" w:rsidRDefault="00ED741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63EA" w:rsidRDefault="00ED741E">
      <w:pPr>
        <w:pStyle w:val="1"/>
        <w:snapToGrid w:val="0"/>
        <w:spacing w:beforeLines="0" w:before="240" w:after="240"/>
        <w:rPr>
          <w:rFonts w:ascii="宋体" w:hAnsi="宋体"/>
          <w:szCs w:val="30"/>
        </w:rPr>
      </w:pPr>
      <w:bookmarkStart w:id="17" w:name="_Toc234408669"/>
      <w:r>
        <w:rPr>
          <w:rFonts w:ascii="Times New Roman" w:hAnsi="Times New Roman"/>
          <w:sz w:val="30"/>
        </w:rPr>
        <w:lastRenderedPageBreak/>
        <w:t>十四、基金收益与分配</w:t>
      </w:r>
      <w:bookmarkEnd w:id="17"/>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1、若《基金合同》生效不满3个月可不进行收益分配；</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场内基金份额收益分配方式只能为现金分红；场内基金份额具体收益分配程序等有关事项遵循深圳证券交易所及登记机构的相关规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4、由于本基金A类基金份额不收取销售服务费，C类基金份额收取销售服务费，各基金份额类别对应的可供分配利润将有所不同；本基金同一基金份额类别的每一基金份额享有同等分配权；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法律法规或监管机关另有规定的，从其规定。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相应类别的基金份额。红利再投资的计算方法，依照《业务规则》执行。</w:t>
      </w:r>
    </w:p>
    <w:p w:rsidR="00B439CC" w:rsidRDefault="00ED741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63EA" w:rsidRDefault="00ED741E">
      <w:pPr>
        <w:pStyle w:val="1"/>
        <w:snapToGrid w:val="0"/>
        <w:spacing w:beforeLines="0" w:before="240" w:after="240"/>
        <w:rPr>
          <w:rFonts w:ascii="宋体" w:hAnsi="宋体"/>
          <w:szCs w:val="30"/>
        </w:rPr>
      </w:pPr>
      <w:bookmarkStart w:id="18" w:name="_Toc234408670"/>
      <w:r>
        <w:rPr>
          <w:rFonts w:ascii="Times New Roman" w:hAnsi="Times New Roman"/>
          <w:sz w:val="30"/>
        </w:rPr>
        <w:lastRenderedPageBreak/>
        <w:t>十五、基金的费用与税收</w:t>
      </w:r>
      <w:bookmarkEnd w:id="18"/>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3、基金上市初费及上市年费；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4、《基金合同》生效后与基金相关的信息披露费用；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5、《基金合同》生效后与基金相关的会计师费、律师费、仲裁费和诉讼费；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6、基金份额持有人大会费用；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7、基金的证券、期货交易费用；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8、基金的银行汇划费用；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9、基金的开户费用、账户维护费用；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10、本基金从C类基金份额的基金财产中计提的销售服务费；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11、按照国家有关规定和《基金合同》约定，可以在基金财产中列支的其他费用。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本基金的管理费按前一日基金资产净值的1.0%年费率计提。管理费的计算方法如下：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H＝E×1.0%÷当年天数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基金转型实施日起，基金管理费每日计提，按月支付。由基金管理人与基金托管人核对一致后，由基金托管人于次月首日起第3个工作日从基金财产中一次性支付给基金管理人。若遇法定节假日、休息日或不可抗力致使无法按时支付的，支付日期顺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本基金的托管费按前一日基金资产净值的0.2%的年费率计提。托管费的计算方法如下：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H＝E×0.2%÷当年天数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基金转型实施日起，基金托管费每日计提，按月支付。由基金管理人与基金托管人核对一致后，由基金托管人复核后于次月首日起第3个工作日从基金财产中一次性支付给基金托管人。若遇法定节假日、休息日或不可抗力致使无法按时支付的，支付日期顺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本基金A类基金份额不收取销售服务费，C类基金份额的销售服务费按前一日C类基金资产净值的0.1%年费率计提。计算方法如下：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逐日累计至每月月末，按月支付。由基金管理人与基金托管人核对一致后，由基金托管人按照与基金管理人协商一致的方式自动于次月首日起5个工作日内从基金财产中一次性支付给基金管理人，由基金管理人代付给销售机构，若遇法定节假日、休息日或不可抗力致使无法按时支付的，支付日期顺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C类基金份额的销售服务费将专门用于本基金的市场推广、销售与基金份额持有人服务。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（4）上述“（一）基金费用的种类”中第3－9项、第11项费用，根据有关法规及相应协议规定，按费用实际支出金额列入当期费用，由基金托管人从基金财产中支付。</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（三）不列入基金费用的项目</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3、《交银施罗德中证环境治理指数分级证券投资基金基金合同》生效前的相关费用；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4、标的指数许可使用费。标的指数许可使用费由基金管理人承担，不得从基金财产中列支；</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5、其他根据相关法律法规及中国证监会的有关规定不得列入基金费用的项目。</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由交银施罗德中证环境治理指数分级证券投资基金转型而来，基金转型实施日前的信息披露费、律师费和会计师费以及相关费用按照《交银施罗德中证环境治理指数分级证券投资基金基金合同》的相关约定处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（五）基金管理人和基金托管人可根据基金发展情况调整基金管理费率、基金托管费率、销售服务费率等相关费率。基金管理人必须依照有关规定于新的费率实施日前在指定媒介上刊登公告。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ED741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63EA" w:rsidRDefault="00ED741E">
      <w:pPr>
        <w:pStyle w:val="1"/>
        <w:snapToGrid w:val="0"/>
        <w:spacing w:beforeLines="0" w:before="240" w:after="240"/>
        <w:rPr>
          <w:rFonts w:ascii="宋体" w:hAnsi="宋体"/>
          <w:szCs w:val="30"/>
        </w:rPr>
      </w:pPr>
      <w:bookmarkStart w:id="19" w:name="_Toc234408671"/>
      <w:r>
        <w:rPr>
          <w:rFonts w:ascii="Times New Roman" w:hAnsi="Times New Roman"/>
          <w:sz w:val="30"/>
        </w:rPr>
        <w:lastRenderedPageBreak/>
        <w:t>十六、基金的会计与审计</w:t>
      </w:r>
      <w:bookmarkEnd w:id="19"/>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3、基金管理人认为有充足理由更换会计师事务所，须通报基金托管人。更换会计师事务所需依照《信息披露办法》的有关规定在指定媒介公告。</w:t>
      </w:r>
    </w:p>
    <w:p w:rsidR="00B439CC" w:rsidRDefault="00ED741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63EA" w:rsidRDefault="00ED741E">
      <w:pPr>
        <w:pStyle w:val="1"/>
        <w:snapToGrid w:val="0"/>
        <w:spacing w:beforeLines="0" w:before="240" w:after="240"/>
        <w:rPr>
          <w:rFonts w:ascii="宋体" w:hAnsi="宋体"/>
          <w:szCs w:val="30"/>
        </w:rPr>
      </w:pPr>
      <w:bookmarkStart w:id="20" w:name="_Toc234408672"/>
      <w:r>
        <w:rPr>
          <w:rFonts w:ascii="Times New Roman" w:hAnsi="Times New Roman"/>
          <w:sz w:val="30"/>
        </w:rPr>
        <w:lastRenderedPageBreak/>
        <w:t>十七、基金的信息披露</w:t>
      </w:r>
      <w:bookmarkEnd w:id="20"/>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（一）本基金的信息披露应符合《基金法》、《运作办法》、《信息披露办法》、《流动性规定》、《基金合同》及其他有关规定。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自基金合同生效日起，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交银施罗德中证环境治理指数分级证券投资基金转型而来，经中国证监会注册后，基金管理人按照《基金法》、《信息披露办法》、基金合同编制并在本基金正式实施转型前，将基金招募说明书、《基金合同》摘要登载在指定媒介上；基金管理人、基金托管人应当将《基金合同》、基金托管协议登载在网站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2、上市交易公告书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本基金获准在深圳证券交易所上市交易的，基金管理人应当在基金份额上市交易3个工作日前，将上市交易公告书登载在指定网站上，并将上市公告交易书提示性公告登载在指定报刊上。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3、基金净值信息</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《基金合同》生效后，在开始办理基金份额申购或者赎回前，基金管理人应当至少每周在指定网站分别披露一次A类基金份额和C类基金份额所对应的基金份额净值和基金份额累计净值。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在开始办理基金份额申购或者赎回后，基金管理人应当在不晚于每个开放日的次日，通过指定网站、基金销售机构网站或者营业网点分别披露开放日的A类基金</w:t>
      </w:r>
      <w:r>
        <w:rPr>
          <w:rFonts w:ascii="宋体" w:hAnsi="宋体"/>
          <w:sz w:val="24"/>
        </w:rPr>
        <w:lastRenderedPageBreak/>
        <w:t>份额和C类基金份额所对应的基金份额净值和基金份额累计净值。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基金管理人应当在不晚于半年度和年度最后一日的次日，在指定网站披露半年度和年度最后一日的A类基金份额和C类基金份额所对应的基金份额净值和基金份额累计净值。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4、基金份额申购、赎回价格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基金管理人应当在《基金合同》、招募说明书等信息披露文件上载明基金份额申购、赎回价格的计算方式及有关申购、赎回费率，并保证投资者能够在基金销售机构网站或者营业网点查阅或者复制前述信息资料。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5、基金定期报告，包括基金年度报告、基金中期报告和基金季度报告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自基金合同生效日起不足2个月的，基金管理人可以不编制当期季度报告、中期报告或者年度报告。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6、临时报告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（2）《基金合同》终止、基金清算；</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（8）基金管理人的高级管理人员、基金经理和基金托管人专门基金托管部门负责人发生变动；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（9）基金管理人的董事在最近12个月内变更超过百分之五十，基金管理人、基金托管人专门基金托管部门的主要业务人员在最近12个月内变动超过百分之三十；</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（10）涉及基金财产、基金管理业务、基金托管业务的诉讼或仲裁；</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（11）基金管理人或其高级管理人员、基金经理因基金管理业务相关行为受到重大行政处罚、刑事处罚，基金托管人或其专门基金托管部门负责人因基金托管业务相关行为受到重大行政处罚、刑事处罚；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（13）基金收益分配事项；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（14）管理费、托管费、销售服务费、申购费、赎回费等费用计提标准、计提方式和费率发生变更；</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（15）任一类基金份额净值计价错误达该类基金份额净值百分之零点五；</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（16）本基金开始办理申购、赎回；</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（17）本基金发生巨额赎回并延期办理；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（18）本基金连续发生巨额赎回并暂停接受赎回申请或延缓支付赎回款项；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（19）本基金暂停接受申购、赎回申请或重新接受申购、赎回申请；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（20）发生涉及基金申购、赎回事项调整或潜在影响投资者赎回等重大事项</w:t>
      </w:r>
      <w:r>
        <w:rPr>
          <w:rFonts w:ascii="宋体" w:hAnsi="宋体"/>
          <w:sz w:val="24"/>
        </w:rPr>
        <w:lastRenderedPageBreak/>
        <w:t>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（21）本基金增加或调整基金份额类别；</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（22）本基金停复牌、暂停上市、恢复上市或终止上市；</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（23）基金信息披露义务人认为可能对基金份额持有人权益或者基金份额的价格产生重大影响的其他事项或中国证监会规定和基金合同约定的其他事项。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7、澄清公告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基金上市交易的证券交易所。</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8、基金份额持有人大会决议</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9、清算报告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12、基金管理人应在本基金投资非公开发行股票后两个交易日内，在中国证监</w:t>
      </w:r>
      <w:r>
        <w:rPr>
          <w:rFonts w:ascii="宋体" w:hAnsi="宋体"/>
          <w:sz w:val="24"/>
        </w:rPr>
        <w:lastRenderedPageBreak/>
        <w:t>会指定媒介披露所投资非公开发行股票的名称、数量、总成本、账面价值，以及总成本和账面价值占基金资产净值的比例、锁定期等信息。</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13、中国证监会规定的其他信息。</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累计净值、基金份额申购赎回价格、基金定期报告、更新的招募说明书、基金产品资料概要、基金清算报告等公开披露的相关基金信息进行复核、审查，并向基金管理人进行书面或电子确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和基金上市交易的证券交易所网站披露信息，并且在不同媒介上披露同一信息的内容应当一致。</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为基金信息披露义务人公开披露的基金信息出具审计报告、法律意见书的专业机构，应当制作工作底稿，并将相关档案至少保存到《基金合同》终止后十年。</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依法必须披露的信息发布后，基金管理人、基金托管人应当按照相关法律法规规定将信息置备于各自住所和基金上市交易的证券交易所网站，供社会公众查阅、复制。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（八）本基金信息披露事项以法律法规规定及本章节约定的内容为准。</w:t>
      </w:r>
    </w:p>
    <w:p w:rsidR="00B439CC" w:rsidRDefault="00ED741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63EA" w:rsidRDefault="00ED741E">
      <w:pPr>
        <w:pStyle w:val="1"/>
        <w:snapToGrid w:val="0"/>
        <w:spacing w:beforeLines="0" w:before="240" w:after="240"/>
        <w:rPr>
          <w:rFonts w:ascii="宋体" w:hAnsi="宋体"/>
          <w:szCs w:val="30"/>
        </w:rPr>
      </w:pPr>
      <w:bookmarkStart w:id="21" w:name="_Toc234408673"/>
      <w:r>
        <w:rPr>
          <w:rFonts w:ascii="Times New Roman" w:hAnsi="Times New Roman"/>
          <w:sz w:val="30"/>
        </w:rPr>
        <w:lastRenderedPageBreak/>
        <w:t>十八、风险揭示</w:t>
      </w:r>
      <w:bookmarkEnd w:id="21"/>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后扣除申购申请份额总数及基金转换中转入申请份额总数后的余额）超过基金总份额的百分之十时，投资人将可能无法及时赎回持有的全部基金份额。</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分红等行为导致基金份额净值调整至1元初始面值或1元附近，在市场波动等因素的影响下，基金投资仍有可能出现亏损或基金净值仍有可能低于初始面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w:t>
      </w:r>
      <w:r>
        <w:rPr>
          <w:rFonts w:ascii="宋体" w:hAnsi="宋体"/>
          <w:sz w:val="24"/>
        </w:rPr>
        <w:lastRenderedPageBreak/>
        <w:t>金份额净值。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当基金出现巨额赎回时，对于场外赎回申请，基金管理人可以根据基金当时的资产组合状况决定全额赎回或部分延期赎回。</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巨额赎回业务的场内处理，按照深圳证券交易所及中国证券登记结算有限责任公司的有关规定办理。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（四）信用风险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（五）本基金投资策略所特有的指数化投资风险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1、标的指数回报与股票市场平均回报偏离的风险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标的指数并不能完全代表整个股票市场。标的指数成份股的平均回报率与整个股票市场的平均回报率可能存在偏离。</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2、标的指数波动的风险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标的指数成份股的价格可能受到政治因素、经济因素、上市公司经营状况、投资人心理和交易制度等各种因素的影响而波动，导致指数波动，从而使基金收益水</w:t>
      </w:r>
      <w:r>
        <w:rPr>
          <w:rFonts w:ascii="宋体" w:hAnsi="宋体"/>
          <w:sz w:val="24"/>
        </w:rPr>
        <w:lastRenderedPageBreak/>
        <w:t>平发生变化，产生风险。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3、基金投资组合回报与标的指数回报偏离的风险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以下因素可能使基金投资组合的收益率与标的指数的收益率发生偏离：</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（1）由于标的指数调整成份股或变更编制方法，使本基金在相应的组合调整中产生跟踪偏离度与跟踪误差。</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（2）由于标的指数成份股发生配股、增发等行为导致成份股在标的指数中的权重发生变化，使本基金在相应的组合调整中产生跟踪偏离度和跟踪误差。</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（3）标的指数成份股派发现金红利、新股市值配售收益将导致基金收益率超过标的指数收益率，产生正的跟踪偏离度。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（4）由于标的指数成份股停牌、摘牌或流动性差等原因使本基金无法及时调整投资组合或承担冲击成本而产生跟踪偏离度和跟踪误差。</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（5）因法律法规的限制或其他限制，本基金可能不能投资于部分标的指数成分股。在使用替代方法，如投资同行业中相关性较高的股票以替代上述投资受限股票时，会产生一定的跟踪偏离度和跟踪误差。</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（6）基金有投资成本、各种费用及税收，而指数编制不考虑费用和税收，这将导致基金收益率落后于标的指数收益率，产生负的跟踪偏离度。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（7）在本基金指数化投资过程中，基金管理人的管理能力，例如跟踪指数的水平、技术手段、买入卖出的时机选择等，都会对本基金的收益产生影响，从而影响本基金对标的指数的跟踪程度。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其他因素产生的偏离。如因受到最低买入股数的限制，基金投资组合中个别股票的持有比例与标的指数中该股票的权重可能不完全相同；因缺乏卖空、对冲机制及其他工具造成的指数跟踪成本较大；因基金申购与赎回带来的现金变动；因指数发布机构指数编制错误等，由此产生跟踪偏离度与跟踪误差。</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4、标的指数变更的风险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尽管可能性很小，但根据基金合同规定，如出现变更标的指数的情形，本基金将变更标的指数。基于原标的指数的投资政策将会改变，投资组合将随之调整，基金的收益风险特征将与新的标的指数保持一致，投资人须承担此项调整带来的风险与成本。</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5、跟踪误差控制未达约定目标的风险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本基金力争控制本基金日均跟踪偏离度的绝对值不超过0.35%，年跟踪误差不</w:t>
      </w:r>
      <w:r>
        <w:rPr>
          <w:rFonts w:ascii="宋体" w:hAnsi="宋体"/>
          <w:sz w:val="24"/>
        </w:rPr>
        <w:lastRenderedPageBreak/>
        <w:t>超过4%。但因标的指数编制规则调整或其他因素可能导致跟踪误差超过上述范围，本基金净值表现与指数价格走势可能发生较大偏离。</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6、指数编制机构停止服务的风险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标的指数由指数编制机构发布并管理和维护，未来指数编制机构可能由于各种原因停止对指数的管理和维护，本基金将根据基金合同的约定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投资人将面临更换基金标的指数、转换运作方式，与其他基金合并或者终止基金合同等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7、成份股停牌的风险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标的指数成份股可能因各种原因临时或长期停牌，发生成份股停牌时可能面临如下风险：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（1）基金可能因无法及时调整投资组合而导致跟踪偏离度和跟踪误差扩大。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（2）若成份股停牌时间较长，在约定时间内仍未能及时买入或卖出的，由此可能影响投资者的投资损益并使基金产生跟踪偏离度和跟踪误差。</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极端情况下，标的指数成份股可能大面积停牌，基金可能无法及时卖出成份股以获取足额的符合要求的赎回款项，由此基金管理人可能采取暂停赎回的措施，投资者将面临无法赎回全部或部分基金份额的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当标的指数成份股发生明显负面事件面临退市，且指数编制机构暂未作出调整的，基金管理人应当按照持有人利益优先的原则，履行内部决策程序后及时对相关成份股进行调整，可能影响投资者的投资损益并使基金产生跟踪偏离度和跟踪误差。</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（六）基金运作的特定风险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1、上市交易风险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本基金A类基金份额上市交易后，由于上市期间可能因发生停牌情形导致基金</w:t>
      </w:r>
      <w:r>
        <w:rPr>
          <w:rFonts w:ascii="宋体" w:hAnsi="宋体"/>
          <w:sz w:val="24"/>
        </w:rPr>
        <w:lastRenderedPageBreak/>
        <w:t>停牌，投资人在停牌期间不能买卖对应上市交易份额，从而产生不能买卖A类基金份额的风险；同时，可能因上市后交易对手不足而产生流动性风险；另外，当本基金A类基金份额存续期内不满足深圳证券交易所规定的上市条件时，本基金A类基金份额存在暂停上市或终止上市的可能。</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2、基金份额的折/溢价交易风险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本基金A类基金份额上市交易后，由于受市场供求关系的影响，A类基金份额的交易价格与A类基金份额的基金份额净值可能发生偏离而出现折/溢价交易风险。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（七）投资股指期货的特定风险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（八）投资科创板股票的特定风险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（1）市场风险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（九）投资存托凭证的特定风险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w:t>
      </w:r>
      <w:r>
        <w:rPr>
          <w:rFonts w:ascii="宋体" w:hAnsi="宋体"/>
          <w:sz w:val="24"/>
        </w:rPr>
        <w:lastRenderedPageBreak/>
        <w:t>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（十）本基金法律文件风险收益特征表述与销售机构基金风险评价可能不一致的风险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（十一）其他风险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ED741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63EA" w:rsidRDefault="00ED741E">
      <w:pPr>
        <w:pStyle w:val="1"/>
        <w:snapToGrid w:val="0"/>
        <w:spacing w:beforeLines="0" w:before="240" w:after="240"/>
        <w:rPr>
          <w:rFonts w:ascii="宋体" w:hAnsi="宋体"/>
          <w:szCs w:val="30"/>
        </w:rPr>
      </w:pPr>
      <w:bookmarkStart w:id="22" w:name="_Toc234408674"/>
      <w:r>
        <w:rPr>
          <w:rFonts w:ascii="Times New Roman" w:hAnsi="Times New Roman"/>
          <w:sz w:val="30"/>
        </w:rPr>
        <w:lastRenderedPageBreak/>
        <w:t>十九、基金合同的变更、终止与基金财产的清算</w:t>
      </w:r>
      <w:bookmarkEnd w:id="22"/>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（1）《基金合同》终止情形出现时，由基金财产清算小组统一接管基金财产；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依据基金财产清算的分配方案，将基金财产清算后的全部剩余资产扣除基金财产清算费用、交纳所欠税款并清偿基金债务后，按基金合同终止日基金份额持有人持有的基金份额比例进行分配。</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ED741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63EA" w:rsidRDefault="00ED741E">
      <w:pPr>
        <w:pStyle w:val="1"/>
        <w:snapToGrid w:val="0"/>
        <w:spacing w:beforeLines="0" w:before="240" w:after="240"/>
        <w:rPr>
          <w:rFonts w:ascii="宋体" w:hAnsi="宋体"/>
          <w:szCs w:val="30"/>
        </w:rPr>
      </w:pPr>
      <w:bookmarkStart w:id="23" w:name="_Toc234408675"/>
      <w:r>
        <w:rPr>
          <w:rFonts w:ascii="Times New Roman" w:hAnsi="Times New Roman"/>
          <w:sz w:val="30"/>
        </w:rPr>
        <w:lastRenderedPageBreak/>
        <w:t>二十、基金合同内容摘要</w:t>
      </w:r>
      <w:bookmarkEnd w:id="23"/>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（一）基金份额持有人、基金管理人和基金托管人的权利与义务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16）在符合有关法律、法规的前提下，制定和调整有关基金申购、赎回、转</w:t>
      </w:r>
      <w:r>
        <w:rPr>
          <w:rFonts w:ascii="宋体" w:hAnsi="宋体"/>
          <w:sz w:val="24"/>
        </w:rPr>
        <w:lastRenderedPageBreak/>
        <w:t>换、上市交易等的业务规则；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1）依法募集资金，办理或者委托经中国证监会认定的其他机构办理基金份额的申购、赎回和登记事宜；</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8）采取适当合理的措施使计算基金份额申购、赎回和注销价格的方法符合《基金合同》等法律文件的规定，按有关规定计算并公告基金净值信息，确定基金份额申购、赎回的价格；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15）依据《基金法》、《基金合同》及其他有关规定召集基金份额持有人大会或配合基金托管人、基金份额持有人依法召集基金份额持有人大会；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24）执行生效的基金份额持有人大会的决议；</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25）建立并保存基金份额持有人名册；</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26）法律法规及中国证监会规定的和《基金合同》约定的其他义务。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4）根据相关市场规则，为基金开设资金账户、证券账户等投资所需账户、协助开立股指期货业务相关账户及交易编码、为基金办理证券交易资金清算；</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8）复核、审查基金管理人计算的基金资产净值、各类基金份额净值、基金份额申购、赎回价格；</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w:t>
      </w:r>
      <w:r>
        <w:rPr>
          <w:rFonts w:ascii="宋体" w:hAnsi="宋体"/>
          <w:sz w:val="24"/>
        </w:rPr>
        <w:lastRenderedPageBreak/>
        <w:t>理人有未执行《基金合同》规定的行为，还应当说明基金托管人是否采取了适当的措施；</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同一类别的每份基金份额具有同等的合法权益。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2）参与分配清算后的剩余基金财产；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4）缴纳基金申购款项及法律法规和《基金合同》所规定的费用；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9）遵守基金管理人、基金托管人、深圳证券交易所、销售机构和登记机构的相关交易及业务规则；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（二）基金份额持有人大会召集、议事及表决的程序和规则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w:t>
      </w:r>
      <w:r>
        <w:rPr>
          <w:rFonts w:ascii="宋体" w:hAnsi="宋体"/>
          <w:sz w:val="24"/>
        </w:rPr>
        <w:lastRenderedPageBreak/>
        <w:t>有权代表基金份额持有人出席会议并表决。基金份额持有人持有的每一基金份额拥有平等的投票权。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5）提高基金管理人、基金托管人的报酬标准或提高销售服务费率；</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11）终止基金上市，但因基金不再具备上市条件而被深圳证券交易所终止上市的除外；</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12）单独或合计持有本基金总份额10%以上（含10%）基金份额的基金份额持有人（以基金管理人收到提议当日的基金份额计算，下同）就同一事项书面要求召开基金份额持有人大会；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13）对基金合同当事人权利和义务产生重大影响的其他事项；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14）法律法规、《基金合同》或中国证监会规定的其他应当召开基金份额持有人大会的事项。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（2）在符合法律法规及本基金合同规定、并且对基金份额持有人利益无实质不利影响的前提下，以下情况可由基金管理人和基金托管人协商后修改，不需召开基金份额持有人大会：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1）法律法规要求增加的基金费用的收取；</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2）在法律法规和《基金合同》规定的范围内调整本基金的申购费率、调低赎回费率及销售服务费率、在对现有基金份额持有人利益无实质性不利影响的前提下</w:t>
      </w:r>
      <w:r>
        <w:rPr>
          <w:rFonts w:ascii="宋体" w:hAnsi="宋体"/>
          <w:sz w:val="24"/>
        </w:rPr>
        <w:lastRenderedPageBreak/>
        <w:t>变更或增加收费方式；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3）调整基金份额类别设置、对基金份额分类办法及规则进行调整；</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4）标的指数供应商根据相应指数使用许可协议变更标的指数许可使用费费率和计费方式；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5）因相应的法律法规、深圳证券交易所或登记机构的相关业务规则发生变动而应当对《基金合同》进行修改；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6）对《基金合同》的修改对基金份额持有人利益无实质性不利影响或修改不涉及《基金合同》当事人权利义务关系发生重大变化；</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7）在法律法规允许的情况下基金推出新业务或服务，且对基金份额持有人利益无实质性不利影响；</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8）变更标的指数对基金投资范围和投资策略无实质性影响（包括但不限于指数编制单位变更、指数更名等事项），且对基金份额持有人利益无实质性不利影响；</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9）基金管理人、登记机构、深圳证券交易所、销售机构在法律法规规定的范围内调整有关基金申购、赎回、转换、非交易过户、转托管、上市交易等业务的规则；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10）按照法律法规和《基金合同》规定不需召开基金份额持有人大会的以外的其他情形。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w:t>
      </w:r>
      <w:r>
        <w:rPr>
          <w:rFonts w:ascii="宋体" w:hAnsi="宋体"/>
          <w:sz w:val="24"/>
        </w:rPr>
        <w:lastRenderedPageBreak/>
        <w:t>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w:t>
      </w:r>
      <w:r>
        <w:rPr>
          <w:rFonts w:ascii="宋体" w:hAnsi="宋体"/>
          <w:sz w:val="24"/>
        </w:rPr>
        <w:lastRenderedPageBreak/>
        <w:t>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w:t>
      </w:r>
      <w:r>
        <w:rPr>
          <w:rFonts w:ascii="宋体" w:hAnsi="宋体"/>
          <w:sz w:val="24"/>
        </w:rPr>
        <w:lastRenderedPageBreak/>
        <w:t>知规定的方式收取基金份额持有人的书面表决意见；基金托管人或基金管理人经通知不参加收取书面表决意见的，不影响表决效力；</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基金份额持有人大会的各项提案或同一项提案内并列的各项议题应当分开审议、逐项表决。</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基金管理人、基金托管人和基金份额持有人应当执行生效的基金份额持有人大会的决议。生效的基金份额持有人大会决议对全体基金份额持有人、基金管理人、基金托管人均有约束力。</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（三）基金合同解除和终止的事由、程序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（2）基金财产清算小组组成：基金财产清算小组成员由基金管理人、基金托管人、具有从事证券相关业务资格的注册会计师、律师以及中国证监会指定的人员组成。基金财产清算小组可以聘用必要的工作人员。</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依据基金财产清算的分配方案，将基金财产清算后的全部剩余资产扣除基金财产清算费用、交纳所欠税款并清偿基金债务后，按基金合同终止日基金份额持有人持有的基金份额比例进行分配。</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（四）争议解决方式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仲裁费用由败诉方承担。</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（五）基金合同存放地和投资者取得基金合同的方式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ED741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63EA" w:rsidRDefault="00ED741E">
      <w:pPr>
        <w:pStyle w:val="1"/>
        <w:snapToGrid w:val="0"/>
        <w:spacing w:beforeLines="0" w:before="240" w:after="240"/>
        <w:rPr>
          <w:rFonts w:ascii="宋体" w:hAnsi="宋体"/>
          <w:szCs w:val="30"/>
        </w:rPr>
      </w:pPr>
      <w:bookmarkStart w:id="24" w:name="_Toc234408676"/>
      <w:r>
        <w:rPr>
          <w:rFonts w:ascii="Times New Roman" w:hAnsi="Times New Roman"/>
          <w:sz w:val="30"/>
        </w:rPr>
        <w:lastRenderedPageBreak/>
        <w:t>二十一、托管协议的内容摘要</w:t>
      </w:r>
      <w:bookmarkEnd w:id="24"/>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批准设立机关：中国证监会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批准设立文号：证监基金字[2005]128号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w:t>
      </w:r>
      <w:r>
        <w:rPr>
          <w:rFonts w:ascii="宋体" w:hAnsi="宋体"/>
          <w:sz w:val="24"/>
        </w:rPr>
        <w:lastRenderedPageBreak/>
        <w:t>业务；保险兼业代理业务（有效期至2017年09月08日）。（依法须经批准的项目，经相关部门批准后依批准的内容开展经营活动。）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包括具有良好流动性的金融工具，包括：以中证环境治理指数的成份股（含存托凭证）及其备选成份股(含中小板、创业板及其他经中国证监会核准的上市股票、存托凭证)为主要投资对象。为更好地实现投资目标，本基金也可少量投资于其他股票(非标的指数成份股（含存托凭证）及其备选成份股（含存托凭证）)、债券、中期票据、货币市场工具、债券回购、权证、资产支持证券、股指期货以及法律法规或中国证监会允许基金投资的其他金融工具（但须符合中国证监会相关规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本基金各类资产的投资比例范围为：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本基金的股票资产（含存托凭证）投资比例不低于基金资产的 90%，本基金投资于中证环境治理指数的成份股（含存托凭证）及其备选成份股（含存托凭证）的比例不低于非现金基金资产的90%，投资于权证的比例不得超过基金资产净值的3%，每个交易日日终在扣除股指期货合约需缴纳的交易保证金以后，持有现金或到期日在一年以内的政府债券的比例不低于基金资产净值的5%，其中现金不包括结算备付金、存出保证金、应收申购款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1）本基金股票资产（含存托凭证）的投资比例不低于基金资产的90%；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2）本基金投资于中证环境治理指数的成份股（含存托凭证）及其备选成份股（含存托凭证）的比例不低于非现金基金资产的90%；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3）本基金持有的全部权证，其市值不得超过基金资产净值的3％，基金管理人</w:t>
      </w:r>
      <w:r>
        <w:rPr>
          <w:rFonts w:ascii="宋体" w:hAnsi="宋体"/>
          <w:sz w:val="24"/>
        </w:rPr>
        <w:lastRenderedPageBreak/>
        <w:t>管理的全部基金持有同一权证的比例不超过该权证的10%，本基金在任何交易日买入权证的总金额，不得超过上一交易日基金资产净值的0.5%。法律法规或中国证监会另有规定的，遵从其规定；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4）本基金进入全国银行间同业市场进行债券回购的资金余额不得超过基金资产净值的40%；本基金进入全国银行间同业市场进行债券回购的最长期限为1年,债券回购到期后不得展期；</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本基金持有的全部资产支持证券，其市值不得超过基金资产净值的20%；本基金持有的同一(指同一信用级别)资产支持证券的比例，不得超过该资产支持证券规模的10%；本基金管理人管理的全部基金投资于同一原始权益人的各类资产支持证券，不得超过其各类资产支持证券合计规模的10%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6）本基金应投资于信用级别评级为BBB以上（含BBB）的资产支持证券。基金持有资产支持证券期间，如果其信用等级下降、不再符合投资标准，应在评级报告发布之日起3个月内予以全部卖出；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7）基金财产参与股票发行申购，本基金所申报的金额不超过本基金的总资产，本基金所申报的股票数量不超过拟发行股票公司本次发行股票的总量；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8）本基金每个交易日日终在扣除股指期货合约需缴纳的交易保证金后，保持不低于基金资产净值5％的现金或者到期日在一年以内的政府债券，其中现金不包括结算备付金、存出保证金、应收申购款等；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9）本基金资产配置比例需满足基金合同中投资范围的约定。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10）本基金在任何交易日日终，持有的买入股指期货合约价值，不得超过基金资产净值的10%；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在任何交易日日终，持有的买入期货合约价值与有价证券市值之和,不得超过基金资产净值的100%。其中，有价证券指股票、债券（不含到期日在一年以内的政府债券）、权证、资产支持证券、买入返售金融资产（不含质押式回购）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12）本基金在任何交易日日终，持有的卖出期货合约价值不得超过基金持有的股票总市值的20%；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13）本基金所持有的股票市值和买入、卖出股指期货合约价值，合计（轧差计算）应当符合基金合同关于股票投资比例的有关约定；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14）本基金在任何交易日内交易（不包括平仓）的股指期货合约的成交金额不得超过上一交易日基金资产净值的20%；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15）本基金的基金资产总值不得超过基金资产净值的140%；</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投资流通受限证券，基金管理人应事先根据中国证监会相关规定，与基金托管人在基金托管协议中明确基金投资流通受限证券的比例，根据比例进行投资。基金管理人应制订严格的投资决策流程和风险控制制度，防范流动性风险、法律风险和操作风险等各种风险；</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18）本基金与私募类证券资管产品及中国证监会认定的其他主体为交易对手开展逆回购交易的，可接受质押品的资质要求应当与基金合同约定的投资范围保持一致；</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19）本基金投资存托凭证的比例限制依照境内上市交易的股票执行；</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20）法律法规及中国证监会规定的和《基金合同》约定的其他投资限制。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如果法律法规对基金合同约定投资组合比例限制进行变更的，以变更后的规定为准。法律法规或监管部门取消上述限制，如适用于本基金，基金管理人在履行适当程序后，则本基金投资不再受相关限制。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转型实施日起6个月内使基金的投资组合比例符合基金合同的有关约定。在上述期间内，本基金的投资范围、投资策略应当符合基金合同的约定。基金托管人对基金投资的监督与检查自基金合同生效之日起开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6）、8）、17）、18）项另有约定外，因证券、期货市场波动、证券发行人合并、基金规模变动、股权分置改革中支付对价等基金管理人之外的因素致使基金投资比例不符合上述规定投资比例的，基金管理人应当在10个交易日内进行调整，但中国证监会规定的特殊情形除外。法律法规另有规定的，从其规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2）违反规定向他人贷款或提供担保；</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6）从事内幕交易、操纵证券价格及其他不正当的证券交易活动；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（4）基金托管人依据有关法律法规的规定和基金合同的约定对于基金关联投资进行监督：</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w:t>
      </w:r>
      <w:r>
        <w:rPr>
          <w:rFonts w:ascii="宋体" w:hAnsi="宋体"/>
          <w:sz w:val="24"/>
        </w:rPr>
        <w:lastRenderedPageBreak/>
        <w:t>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（6）基金托管人对基金投资流通受限证券的监督：</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有关法律法规规定。流通受限证券指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2个工作日将上述资料书面发至基金托管人，保证基金托管人有足够的时间进行审核。基金托管人应在收到上述资料后2个工作日内，以书面或其他双方认可的方式确认收到上述资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w:t>
      </w:r>
      <w:r>
        <w:rPr>
          <w:rFonts w:ascii="宋体" w:hAnsi="宋体"/>
          <w:sz w:val="24"/>
        </w:rPr>
        <w:lastRenderedPageBreak/>
        <w:t>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如果基金托管人切实履行监督职责，则不承担任何责任。如果基金托管人没有切实履行监督职责，导致基金出现风险，基金托管人应承担连带责任。</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（7）基金托管人对基金投资中期票据的监督：</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管理的基金在投资中期票据前，基金管理人须根据法律、法规、监管部门的规定，制定严格的关于投资中期票据的风险控制制度和流动性风险处置预案，并书面提供给基金托管人，基金托管人依据上述文件对基金管理人投资中期票据的额度和比例进行监督。</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2）如未来有关监管部门发布的法律法规对证券投资基金投资中期票据另有规定的，从其约定。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权监督基金管理人在相关基金投资中期票据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督促基金管理人改正。如果基金管理人违规事项未能在限期内纠正的，基金托管人应报告中国证监会。如果基金托管人未能切实履行监督职责，导致基金出现风险，基金托管人应承担连带责任。</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（8）基金托管人根据有关法律法规的规定及基金合同的约定，对基金管理人选择存款银行进行监督：</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w:t>
      </w:r>
      <w:r>
        <w:rPr>
          <w:rFonts w:ascii="宋体" w:hAnsi="宋体"/>
          <w:sz w:val="24"/>
        </w:rPr>
        <w:lastRenderedPageBreak/>
        <w:t>行存款业务账目及核算的真实、准确。</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3）基金托管人应加强对基金银行存款业务的监督与核查，严格审查、复核相关协议、账户资料、投资指令、存款证实书等有关文件，切实履行托管职责。</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2、基金托管人对基金管理人业务进行监督和核查的有关措施：</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（3）在限期内，基金托管人有权随时对通知事项进行复查，督促基金管理人改正。基金管理人对基金托管人通知的违规事项未能在限期内纠正的，基金托管人应报告中国证监会。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（4）基金托管人发现基金管理人的投资指令违反关法律法规规定或者违反基金合同约定的，应当拒绝执行，立即通知基金管理人。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（5）基金托管人发现基金管理人依据交易程序已经生效的投资指令违反法</w:t>
      </w:r>
      <w:r>
        <w:rPr>
          <w:rFonts w:ascii="宋体" w:hAnsi="宋体"/>
          <w:sz w:val="24"/>
        </w:rPr>
        <w:lastRenderedPageBreak/>
        <w:t>律、行政法规和其他有关规定，或者违反基金合同约定的，应当立即通知基金管理人，并及时向中国证监会报告，基金管理人应依法承担相应责任。</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（7）基金托管人发现基金管理人有重大违规行为，应立即报告中国证监会，同时通知基金管理人限期纠正。</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但不限于基金托管人安全保管基金财产、开设基金财产的资金账户、证券账户和期货账户等投资所需账户、复核基金管理人计算的基金资产净值、各类基金份额净值、根据基金管理人指令办理清算交收、相关信息披露和监督基金投资运作等行为。</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3、基金管理人发现基金托管人有重大违规行为，应立即报告中国证监会和银行业监督管理机构，同时通知基金托管人限期纠正。</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4、基金托管人应积极配合基金管理人的核查行为，包括但不限于：提交相关资料以供基金管理人核查托管财产的完整性和真实性，在规定时间内答复基金管理人并改正。</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5、基金托管人无正当理由，拒绝、阻挠基金管理人根据本协议规定行使监督</w:t>
      </w:r>
      <w:r>
        <w:rPr>
          <w:rFonts w:ascii="宋体" w:hAnsi="宋体"/>
          <w:sz w:val="24"/>
        </w:rPr>
        <w:lastRenderedPageBreak/>
        <w:t>权，或采取拖延、欺诈等手段妨碍基金管理人进行有效监督，情节严重或经基金管理人提出警告仍不改正的，基金管理人应报告中国证监会。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（四）基金财产保管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（3）基金托管人按照规定开设基金财产的资金账户和证券账户，协助开立股指期货业务相关账户及交易编码。</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（6）除依据法律法规和基金合同的规定外，基金托管人不得委托第三人托管基金资产。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2、募集资金的验资</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交银施罗德中证环境治理指数型证券投资基金（LOF）由交银施罗德中证环境治理指数分级证券投资基金转型而来。交银施罗德中证环境治理指数分级证券投资基金经2015 年5月20日中国证监会证监许可【2015】940号文准予募集注册，基金管理人为交银施罗德基金管理有限公司，基金托管人为中信银行股份有限公司。经中国证监会书面确认，《交银施罗德中证环境治理指数分级证券投资基金基金合同》于2015年8月13日生效。具体募集情况如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普华永道中天会计师事务所验资，本次募集的有效净认购金额为300,893,584.37元人民币，折合基金份额300,893,584.37份；认购款项在基金验资确认日之前产生的银行利息共计102,007.38元人民币，折合基金份额102,007.38份。本次募集所有资金已于2015年8月12日全额划入该基金在基金托管人中信银行股份有限公司开立的交银施罗德中证环境治理指数分级证券投资基金托管专户。该基金按照每份基金份额面值1.00 元人民币计算，募集期间募集资金及其利息结转的基金份额共计300,995,591.75份。</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3、基金的银行账户的开立和管理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（3）基金银行账户的开立和管理应符合有关法律法规以及银行业监督管理机构的有关规定。</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（1）基金托管人以基金托管人和本基金联名的方式在中国证券登记结算有限责任公司上海分公司/深圳分公司开设证券账户。</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（2）基金托管人以基金托管人的名义在中国证券登记结算有限责任公司上海分公司/深圳分公司开立基金证券交易资金账户，用于证券清算。</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（3）基金证券账户的开立和使用，限于满足开展本基金业务的需要。基金托管人和基金管理人不得出借和未经对方同意擅自转让基金的任何证券账户；亦不得使用基金的任何账户进行本基金业务以外的活动。</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5、债券托管账户的开立和管理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本基金的名义申请并取得进入全国银行间同业拆借市场的交易资格，并代表基金进行交易；基金托管人负责以本基金的名义在中央国债登记结算有限责任公司开设银行间债券市场债券托管账户，并由基金托管人负责本基金的债券的后台匹配及资金的清算。</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财产投资的有关实物证券由基金托管人存放于基金托管人的保管库；其中实物证券也可存入中央国债登记结算有限责任公司、银行间市场清算所股份有限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但应勤勉履行定期查询等合理注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对于无法取得二份以上的正本的，基金管理人应向基金托管人提供加盖授权业务章的合同传真件，未经双方协商或未在合同约定范围内，合同原件不得转移，由基金管理人保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（五）基金资产净值计算与复核</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价值。各类基金份额的基金份额净值计算以基金合同约定为准。各类基金份额净值的计算均保留到小数点后4位，小数点后第5位四舍五入，由此产生的误差计入基金财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工作日对基金资产估值，但基金管理人根据法律法规或基金合同的规定暂停估值时除外。估值原则应符合基金合同及相关法律、法规的规定。用于基金信息披露的各类基金份额的基金资产净值和基金份额净值由基金管理人负责计算，基金托管人复核。基金管理人应于每个工作日交易结束后计算当日各类基金份额的基金份额净值并以双方认可的方式发送给基金托管人。基金托管人对基金份额净值计算结果复核后以双方认可的方式发送给基金管理人，由基金管理人依据基金合同和相关法律法规的规定予以公布。月末、年中和年末估值复核与基金会计账目的核对同时进行。</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3、根据《基金法》，基金管理人计算并公告基金资产净值，基金托管人复核、</w:t>
      </w:r>
      <w:r>
        <w:rPr>
          <w:rFonts w:ascii="宋体" w:hAnsi="宋体"/>
          <w:sz w:val="24"/>
        </w:rPr>
        <w:lastRenderedPageBreak/>
        <w:t>审查基金管理人计算的基金资产净值。因此，本基金的会计责任方是基金管理人，就与本基金有关的会计问题，如经相关各方在平等基础上充分讨论后，仍无法达成一致的意见，按照基金管理人对基金资产净值的计算结果对外予以公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（六）基金份额持有人名册的登记与保管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1、基金管理人和基金托管人须分别妥善保管的基金份额持有人名册，基金份额持有人名册的内容必须包括基金份额持有人的名称和持有的基金份额。</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2、基金份额持有人名册由基金的登记机构根据基金管理人的指令编制和保管，基金管理人和基金托管人应按照目前相关规则分别保管基金份额持有人名册。保管方式可以采用电子或文档的形式。保管期限为15年。</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4、若基金管理人或基金托管人由于自身原因无法妥善保管基金份额持有人名册，应按有关法规规定各自承担相应的责任。</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仲裁费用由败诉方承担。</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（2）基金托管人解散、依法被撤销、破产或由其他基金托管人接管基金资产；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ED741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63EA" w:rsidRDefault="00ED741E">
      <w:pPr>
        <w:pStyle w:val="1"/>
        <w:snapToGrid w:val="0"/>
        <w:spacing w:beforeLines="0" w:before="240" w:after="240"/>
        <w:rPr>
          <w:rFonts w:ascii="宋体" w:hAnsi="宋体"/>
          <w:szCs w:val="30"/>
        </w:rPr>
      </w:pPr>
      <w:bookmarkStart w:id="25" w:name="_Toc234408677"/>
      <w:r>
        <w:rPr>
          <w:rFonts w:ascii="Times New Roman" w:hAnsi="Times New Roman"/>
          <w:sz w:val="30"/>
        </w:rPr>
        <w:lastRenderedPageBreak/>
        <w:t>二十二、对基金份额持有人的服务</w:t>
      </w:r>
      <w:bookmarkEnd w:id="25"/>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场外申购、赎回、定期定额投资等业务。通过网上直销交易平台办理本基金A类基金份额申购业务的个人投资者将享受申购费率的优惠，其他费率标准不变。</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基金网上直销交易平台已开通的银行卡及各银行卡交易金额限额请参阅本基金管理人网站。</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投资人如果想查询基金份额净值、相关公告、基金产品与服务等信息，请拨打本基金管理人客户服务电话（400-700-5000，021-61055000）或登录本基金管理人网站（www.fund001.com）进行咨询、查询。</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（四）基金转换业务</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在条件成熟时，本基金管理人可通过销售机构为投资人提供基金转换业务服务，具体实施方法另行公告。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（五）定期定额投资计划</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ED741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63EA" w:rsidRDefault="00ED741E">
      <w:pPr>
        <w:pStyle w:val="1"/>
        <w:snapToGrid w:val="0"/>
        <w:spacing w:beforeLines="0" w:before="240" w:after="240"/>
        <w:rPr>
          <w:rFonts w:ascii="宋体" w:hAnsi="宋体"/>
          <w:szCs w:val="30"/>
        </w:rPr>
      </w:pPr>
      <w:bookmarkStart w:id="26" w:name="_Toc234408678"/>
      <w:r>
        <w:rPr>
          <w:rFonts w:ascii="Times New Roman" w:hAnsi="Times New Roman"/>
          <w:sz w:val="30"/>
        </w:rPr>
        <w:lastRenderedPageBreak/>
        <w:t>二十三、其他应披露事项</w:t>
      </w:r>
      <w:bookmarkEnd w:id="26"/>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交银施罗德中证环境治理指数型证券投资基金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交银施罗德中证环境治理指数型证券投资基金（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交银施罗德中证环境治理指数型证券投资基金（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交银施罗德中证环境治理指数型证券投资基金</w:t>
            </w:r>
            <w:r>
              <w:rPr>
                <w:rFonts w:ascii="Times New Roman" w:hAnsi="Times New Roman"/>
                <w:color w:val="000000"/>
                <w:kern w:val="0"/>
                <w:sz w:val="25"/>
                <w:szCs w:val="24"/>
              </w:rPr>
              <w:t>(LOF)2025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2025-08-08</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交银施罗德中证环境治理指数型证券投资基金</w:t>
            </w:r>
            <w:r>
              <w:rPr>
                <w:rFonts w:ascii="Times New Roman" w:hAnsi="Times New Roman"/>
                <w:color w:val="000000"/>
                <w:kern w:val="0"/>
                <w:sz w:val="25"/>
                <w:szCs w:val="24"/>
              </w:rPr>
              <w:t>(LOF)2025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交银施罗德中证环境治理指数型证券投资基金</w:t>
            </w:r>
            <w:r>
              <w:rPr>
                <w:rFonts w:ascii="Times New Roman" w:hAnsi="Times New Roman"/>
                <w:color w:val="000000"/>
                <w:kern w:val="0"/>
                <w:sz w:val="25"/>
                <w:szCs w:val="24"/>
              </w:rPr>
              <w:t>(LOF)2025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交银施罗德中证环境治理指数型证券投资基金</w:t>
            </w:r>
            <w:r>
              <w:rPr>
                <w:rFonts w:ascii="Times New Roman" w:hAnsi="Times New Roman"/>
                <w:color w:val="000000"/>
                <w:kern w:val="0"/>
                <w:sz w:val="25"/>
                <w:szCs w:val="24"/>
              </w:rPr>
              <w:t>(LOF)2025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交银施罗德中证环境治理指数型证券投资基金</w:t>
            </w:r>
            <w:r>
              <w:rPr>
                <w:rFonts w:ascii="Times New Roman" w:hAnsi="Times New Roman"/>
                <w:color w:val="000000"/>
                <w:kern w:val="0"/>
                <w:sz w:val="25"/>
                <w:szCs w:val="24"/>
              </w:rPr>
              <w:t>(LOF)2025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交银施罗德中证环境治理指数型证券投资基金</w:t>
            </w:r>
            <w:r>
              <w:rPr>
                <w:rFonts w:ascii="Times New Roman" w:hAnsi="Times New Roman"/>
                <w:color w:val="000000"/>
                <w:kern w:val="0"/>
                <w:sz w:val="25"/>
                <w:szCs w:val="24"/>
              </w:rPr>
              <w:t>(LOF)2026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rsidR="007B63E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63EA" w:rsidRDefault="00ED741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ED741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63EA" w:rsidRDefault="00ED741E">
      <w:pPr>
        <w:pStyle w:val="1"/>
        <w:snapToGrid w:val="0"/>
        <w:spacing w:beforeLines="0" w:before="240" w:after="240"/>
        <w:rPr>
          <w:rFonts w:ascii="宋体" w:hAnsi="宋体"/>
          <w:szCs w:val="30"/>
        </w:rPr>
      </w:pPr>
      <w:bookmarkStart w:id="27" w:name="_Toc234408679"/>
      <w:r>
        <w:rPr>
          <w:rFonts w:ascii="Times New Roman" w:hAnsi="Times New Roman"/>
          <w:sz w:val="30"/>
        </w:rPr>
        <w:lastRenderedPageBreak/>
        <w:t>二十四、招募说明书的存放及查阅方式</w:t>
      </w:r>
      <w:bookmarkEnd w:id="27"/>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ED741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63EA" w:rsidRDefault="00ED741E">
      <w:pPr>
        <w:pStyle w:val="1"/>
        <w:snapToGrid w:val="0"/>
        <w:spacing w:beforeLines="0" w:before="240" w:after="240"/>
        <w:rPr>
          <w:rFonts w:ascii="宋体" w:hAnsi="宋体"/>
          <w:szCs w:val="30"/>
        </w:rPr>
      </w:pPr>
      <w:bookmarkStart w:id="28" w:name="_Toc234408680"/>
      <w:r>
        <w:rPr>
          <w:rFonts w:ascii="Times New Roman" w:hAnsi="Times New Roman"/>
          <w:sz w:val="30"/>
        </w:rPr>
        <w:lastRenderedPageBreak/>
        <w:t>二十五、备查文件</w:t>
      </w:r>
      <w:bookmarkEnd w:id="28"/>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（一）中国证监会准予交银施罗德中证环境治理指数分级证券投资基金募集注册的文件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（二）中国证监会准予交银施罗德中证环境治理指数分级证券投资基金变更注册为交银施罗德中证环境治理指数型证券投资基金（LOF）的文件</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（三）《交银施罗德中证环境治理指数型证券投资基金（LOF）基金合同》</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（四）《交银施罗德中证环境治理指数型证券投资基金（LOF）托管协议》</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（五）基金管理人业务资格批件、营业执照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（六）基金托管人业务资格批件、营业执照</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（七）关于申请募集注册交银施罗德中证环境治理指数分级证券投资基金的法律意见书</w:t>
      </w:r>
    </w:p>
    <w:p w:rsidR="007B63EA" w:rsidRDefault="00ED741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（八）关于申请交银施罗德中证环境治理指数分级证券投资基金变更注册为交银施罗德中证环境治理指数型证券投资基金（LOF）的法律意见书</w:t>
      </w:r>
    </w:p>
    <w:sectPr w:rsidR="007B63EA">
      <w:footerReference w:type="default" r:id="rId19"/>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1A35" w:rsidRDefault="00ED741E">
      <w:r>
        <w:separator/>
      </w:r>
    </w:p>
  </w:endnote>
  <w:endnote w:type="continuationSeparator" w:id="0">
    <w:p w:rsidR="00501A35" w:rsidRDefault="00ED7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3EA" w:rsidRDefault="007B63EA">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3EA" w:rsidRDefault="00346591">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7B63EA" w:rsidRDefault="00ED741E">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346591">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3EA" w:rsidRDefault="007B63EA">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3EA" w:rsidRDefault="00346591">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7B63EA" w:rsidRDefault="00ED741E">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346591">
                  <w:rPr>
                    <w:rFonts w:ascii="Times New Roman" w:hAnsi="Times New Roman"/>
                    <w:noProof/>
                    <w:kern w:val="0"/>
                    <w:sz w:val="18"/>
                    <w:szCs w:val="18"/>
                  </w:rPr>
                  <w:t>150</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1A35" w:rsidRDefault="00ED741E">
      <w:r>
        <w:separator/>
      </w:r>
    </w:p>
  </w:footnote>
  <w:footnote w:type="continuationSeparator" w:id="0">
    <w:p w:rsidR="00501A35" w:rsidRDefault="00ED74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3EA" w:rsidRDefault="007B63E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3EA" w:rsidRDefault="00ED741E">
    <w:pPr>
      <w:pStyle w:val="a3"/>
      <w:jc w:val="right"/>
      <w:rPr>
        <w:rFonts w:ascii="宋体" w:hAnsi="宋体"/>
      </w:rPr>
    </w:pPr>
    <w:r>
      <w:rPr>
        <w:rFonts w:ascii="宋体" w:hAnsi="宋体" w:hint="eastAsia"/>
      </w:rPr>
      <w:t>交银施罗德中证环境治理指数型证券投资基金(LOF)招募说明书更新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3EA" w:rsidRDefault="007B63EA">
    <w:pPr>
      <w:pStyle w:val="10"/>
      <w:jc w:val="right"/>
    </w:pPr>
  </w:p>
  <w:p w:rsidR="007B63EA" w:rsidRDefault="007B63EA">
    <w:pPr>
      <w:pStyle w:val="10"/>
      <w:jc w:val="right"/>
    </w:pPr>
  </w:p>
  <w:p w:rsidR="007B63EA" w:rsidRDefault="007B63EA">
    <w:pPr>
      <w:pStyle w:val="a3"/>
      <w:jc w:val="right"/>
    </w:pPr>
  </w:p>
  <w:p w:rsidR="007B63EA" w:rsidRDefault="00ED741E">
    <w:pPr>
      <w:pStyle w:val="a3"/>
      <w:jc w:val="right"/>
      <w:rPr>
        <w:rFonts w:ascii="宋体" w:hAnsi="宋体"/>
      </w:rPr>
    </w:pPr>
    <w:r>
      <w:rPr>
        <w:rFonts w:ascii="宋体" w:hAnsi="宋体" w:hint="eastAsia"/>
      </w:rPr>
      <w:t>交银施罗德中证环境治理指数型证券投资基金(LOF)招募说明书更新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3EA" w:rsidRDefault="007B63EA">
    <w:pPr>
      <w:pStyle w:val="a3"/>
      <w:jc w:val="right"/>
    </w:pPr>
  </w:p>
  <w:p w:rsidR="007B63EA" w:rsidRDefault="007B63EA">
    <w:pPr>
      <w:pStyle w:val="a3"/>
      <w:jc w:val="right"/>
    </w:pPr>
  </w:p>
  <w:p w:rsidR="007B63EA" w:rsidRDefault="007B63EA">
    <w:pPr>
      <w:pStyle w:val="a3"/>
      <w:jc w:val="right"/>
    </w:pPr>
  </w:p>
  <w:p w:rsidR="007B63EA" w:rsidRDefault="00ED741E">
    <w:pPr>
      <w:pStyle w:val="a3"/>
      <w:jc w:val="right"/>
      <w:rPr>
        <w:rFonts w:ascii="宋体" w:hAnsi="宋体"/>
      </w:rPr>
    </w:pPr>
    <w:r>
      <w:rPr>
        <w:rFonts w:ascii="宋体" w:hAnsi="宋体" w:hint="eastAsia"/>
      </w:rPr>
      <w:t>交银施罗德中证环境治理指数型证券投资基金(LOF)招募说明书更新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8"/>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6591"/>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1A35"/>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3EA"/>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D741E"/>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8"/>
    <o:shapelayout v:ext="edit">
      <o:idmap v:ext="edit" data="3"/>
    </o:shapelayout>
  </w:shapeDefaults>
  <w:decimalSymbol w:val="."/>
  <w:listSeparator w:val=","/>
  <w15:docId w15:val="{FCE2B7BA-5E66-4CFC-A488-E8E05A369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151</Pages>
  <Words>15555</Words>
  <Characters>88667</Characters>
  <Application>Microsoft Office Word</Application>
  <DocSecurity>0</DocSecurity>
  <Lines>738</Lines>
  <Paragraphs>208</Paragraphs>
  <ScaleCrop>false</ScaleCrop>
  <Company>Microsoft</Company>
  <LinksUpToDate>false</LinksUpToDate>
  <CharactersWithSpaces>104014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2026-07-08T05:10:00Z</dcterms:created>
  <dcterms:modified xsi:type="dcterms:W3CDTF">2026-07-08T05:10:00Z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