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交银施罗德裕惠纯债债券型证券投资基金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496884613"/>
      <w:bookmarkStart w:id="1" w:name="_Toc234241338"/>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裕惠纯债债券型证券投资基金（以下简称“本基金”）由交银施罗德理财60天债券型证券投资基金变更注册而来。2020年4月15日中国证券监督管理委员会（以下简称“中国证监会”）证监许可【2020】714号文准予交银施罗德理财60天债券型证券投资基金变更注册。自2020年7月28日起，由《交银施罗德理财60天债券型证券投资基金基金合同》修订而成的《交银施罗德裕惠纯债债券型证券投资基金基金合同》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理财60天债券型证券投资基金的核准以及变更注册，并不表明其对本基金的投资价值和市场前景作出实质性判断或保证，也不表明投资于本基金没有风险。中国证监会不对基金的投资价值及市场前景等作出实质性判断或者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五十个工作日出现基金份额持有人数量不满200人或基金资产净值低于5000万元情形时基金管理人提前终止基金合同的风险；投资本基金特有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"_Toc234241338"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_Toc234241338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"_Toc234241339"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_Toc234241339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"_Toc234241340"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_Toc234241340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"_Toc234241341"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_Toc234241341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"_Toc234241342"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_Toc234241342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"_Toc234241343"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_Toc234241343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"_Toc234241344" </w:instrText>
      </w:r>
      <w:r>
        <w:fldChar w:fldCharType="separate"/>
      </w:r>
      <w:r>
        <w:rPr>
          <w:rStyle w:val="18"/>
          <w:rFonts w:hint="eastAsia" w:ascii="宋体" w:hAnsi="宋体"/>
          <w:sz w:val="24"/>
        </w:rPr>
        <w:t>六、基金的历史沿革</w:t>
      </w:r>
      <w:r>
        <w:rPr>
          <w:rFonts w:ascii="宋体" w:hAnsi="宋体"/>
          <w:sz w:val="24"/>
        </w:rPr>
        <w:tab/>
      </w:r>
      <w:r>
        <w:rPr>
          <w:rFonts w:ascii="宋体" w:hAnsi="宋体"/>
          <w:sz w:val="24"/>
        </w:rPr>
        <w:fldChar w:fldCharType="begin"/>
      </w:r>
      <w:r>
        <w:rPr>
          <w:rFonts w:ascii="宋体" w:hAnsi="宋体"/>
          <w:sz w:val="24"/>
        </w:rPr>
        <w:instrText xml:space="preserve"> PAGEREF _Toc234241344 \h </w:instrText>
      </w:r>
      <w:r>
        <w:rPr>
          <w:rFonts w:ascii="宋体" w:hAnsi="宋体"/>
          <w:sz w:val="24"/>
        </w:rPr>
        <w:fldChar w:fldCharType="separate"/>
      </w:r>
      <w:r>
        <w:rPr>
          <w:rFonts w:ascii="宋体" w:hAnsi="宋体"/>
          <w:sz w:val="24"/>
        </w:rPr>
        <w:t>31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"_Toc234241345" </w:instrText>
      </w:r>
      <w:r>
        <w:fldChar w:fldCharType="separate"/>
      </w:r>
      <w:r>
        <w:rPr>
          <w:rStyle w:val="18"/>
          <w:rFonts w:hint="eastAsia" w:ascii="宋体" w:hAnsi="宋体"/>
          <w:sz w:val="24"/>
        </w:rPr>
        <w:t>七、基金的存续</w:t>
      </w:r>
      <w:r>
        <w:rPr>
          <w:rFonts w:ascii="宋体" w:hAnsi="宋体"/>
          <w:sz w:val="24"/>
        </w:rPr>
        <w:tab/>
      </w:r>
      <w:r>
        <w:rPr>
          <w:rFonts w:ascii="宋体" w:hAnsi="宋体"/>
          <w:sz w:val="24"/>
        </w:rPr>
        <w:fldChar w:fldCharType="begin"/>
      </w:r>
      <w:r>
        <w:rPr>
          <w:rFonts w:ascii="宋体" w:hAnsi="宋体"/>
          <w:sz w:val="24"/>
        </w:rPr>
        <w:instrText xml:space="preserve"> PAGEREF _Toc234241345 \h </w:instrText>
      </w:r>
      <w:r>
        <w:rPr>
          <w:rFonts w:ascii="宋体" w:hAnsi="宋体"/>
          <w:sz w:val="24"/>
        </w:rPr>
        <w:fldChar w:fldCharType="separate"/>
      </w:r>
      <w:r>
        <w:rPr>
          <w:rFonts w:ascii="宋体" w:hAnsi="宋体"/>
          <w:sz w:val="24"/>
        </w:rPr>
        <w:t>32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"_Toc234241346"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_Toc234241346 \h </w:instrText>
      </w:r>
      <w:r>
        <w:rPr>
          <w:rFonts w:ascii="宋体" w:hAnsi="宋体"/>
          <w:sz w:val="24"/>
        </w:rPr>
        <w:fldChar w:fldCharType="separate"/>
      </w:r>
      <w:r>
        <w:rPr>
          <w:rFonts w:ascii="宋体" w:hAnsi="宋体"/>
          <w:sz w:val="24"/>
        </w:rPr>
        <w:t>33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"_Toc234241347"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_Toc234241347 \h </w:instrText>
      </w:r>
      <w:r>
        <w:rPr>
          <w:rFonts w:ascii="宋体" w:hAnsi="宋体"/>
          <w:sz w:val="24"/>
        </w:rPr>
        <w:fldChar w:fldCharType="separate"/>
      </w:r>
      <w:r>
        <w:rPr>
          <w:rFonts w:ascii="宋体" w:hAnsi="宋体"/>
          <w:sz w:val="24"/>
        </w:rPr>
        <w:t>45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"_Toc234241348"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_Toc234241348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"_Toc234241349"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_Toc234241349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"_Toc234241350"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_Toc234241350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"_Toc234241351"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_Toc234241351 \h </w:instrText>
      </w:r>
      <w:r>
        <w:rPr>
          <w:rFonts w:ascii="宋体" w:hAnsi="宋体"/>
          <w:sz w:val="24"/>
        </w:rPr>
        <w:fldChar w:fldCharType="separate"/>
      </w:r>
      <w:r>
        <w:rPr>
          <w:rFonts w:ascii="宋体" w:hAnsi="宋体"/>
          <w:sz w:val="24"/>
        </w:rPr>
        <w:t>65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"_Toc234241352"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_Toc234241352 \h </w:instrText>
      </w:r>
      <w:r>
        <w:rPr>
          <w:rFonts w:ascii="宋体" w:hAnsi="宋体"/>
          <w:sz w:val="24"/>
        </w:rPr>
        <w:fldChar w:fldCharType="separate"/>
      </w:r>
      <w:r>
        <w:rPr>
          <w:rFonts w:ascii="宋体" w:hAnsi="宋体"/>
          <w:sz w:val="24"/>
        </w:rPr>
        <w:t>71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"_Toc234241353"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_Toc234241353 \h </w:instrText>
      </w:r>
      <w:r>
        <w:rPr>
          <w:rFonts w:ascii="宋体" w:hAnsi="宋体"/>
          <w:sz w:val="24"/>
        </w:rPr>
        <w:fldChar w:fldCharType="separate"/>
      </w:r>
      <w:r>
        <w:rPr>
          <w:rFonts w:ascii="宋体" w:hAnsi="宋体"/>
          <w:sz w:val="24"/>
        </w:rPr>
        <w:t>73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"_Toc234241354"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_Toc234241354 \h </w:instrText>
      </w:r>
      <w:r>
        <w:rPr>
          <w:rFonts w:ascii="宋体" w:hAnsi="宋体"/>
          <w:sz w:val="24"/>
        </w:rPr>
        <w:fldChar w:fldCharType="separate"/>
      </w:r>
      <w:r>
        <w:rPr>
          <w:rFonts w:ascii="宋体" w:hAnsi="宋体"/>
          <w:sz w:val="24"/>
        </w:rPr>
        <w:t>76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"_Toc234241355"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_Toc234241355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"_Toc234241356"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_Toc234241356 \h </w:instrText>
      </w:r>
      <w:r>
        <w:rPr>
          <w:rFonts w:ascii="宋体" w:hAnsi="宋体"/>
          <w:sz w:val="24"/>
        </w:rPr>
        <w:fldChar w:fldCharType="separate"/>
      </w:r>
      <w:r>
        <w:rPr>
          <w:rFonts w:ascii="宋体" w:hAnsi="宋体"/>
          <w:sz w:val="24"/>
        </w:rPr>
        <w:t>83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"_Toc234241357"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_Toc234241357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"_Toc234241358"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_Toc234241358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"_Toc234241359"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_Toc234241359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"_Toc234241360"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_Toc234241360 \h </w:instrText>
      </w:r>
      <w:r>
        <w:rPr>
          <w:rFonts w:ascii="宋体" w:hAnsi="宋体"/>
          <w:sz w:val="24"/>
        </w:rPr>
        <w:fldChar w:fldCharType="separate"/>
      </w:r>
      <w:r>
        <w:rPr>
          <w:rFonts w:ascii="宋体" w:hAnsi="宋体"/>
          <w:sz w:val="24"/>
        </w:rPr>
        <w:t>112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"_Toc234241361"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_Toc234241361 \h </w:instrText>
      </w:r>
      <w:r>
        <w:rPr>
          <w:rFonts w:ascii="宋体" w:hAnsi="宋体"/>
          <w:sz w:val="24"/>
        </w:rPr>
        <w:fldChar w:fldCharType="separate"/>
      </w:r>
      <w:r>
        <w:rPr>
          <w:rFonts w:ascii="宋体" w:hAnsi="宋体"/>
          <w:sz w:val="24"/>
        </w:rPr>
        <w:t>128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"_Toc234241362"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_Toc234241362 \h </w:instrText>
      </w:r>
      <w:r>
        <w:rPr>
          <w:rFonts w:ascii="宋体" w:hAnsi="宋体"/>
          <w:sz w:val="24"/>
        </w:rPr>
        <w:fldChar w:fldCharType="separate"/>
      </w:r>
      <w:r>
        <w:rPr>
          <w:rFonts w:ascii="宋体" w:hAnsi="宋体"/>
          <w:sz w:val="24"/>
        </w:rPr>
        <w:t>130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"_Toc234241363"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_Toc234241363 \h </w:instrText>
      </w:r>
      <w:r>
        <w:rPr>
          <w:rFonts w:ascii="宋体" w:hAnsi="宋体"/>
          <w:sz w:val="24"/>
        </w:rPr>
        <w:fldChar w:fldCharType="separate"/>
      </w:r>
      <w:r>
        <w:rPr>
          <w:rFonts w:ascii="宋体" w:hAnsi="宋体"/>
          <w:sz w:val="24"/>
        </w:rPr>
        <w:t>132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"_Toc234241364"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_Toc234241364 \h </w:instrText>
      </w:r>
      <w:r>
        <w:rPr>
          <w:rFonts w:ascii="宋体" w:hAnsi="宋体"/>
          <w:sz w:val="24"/>
        </w:rPr>
        <w:fldChar w:fldCharType="separate"/>
      </w:r>
      <w:r>
        <w:rPr>
          <w:rFonts w:ascii="宋体" w:hAnsi="宋体"/>
          <w:sz w:val="24"/>
        </w:rPr>
        <w:t>133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4241339"/>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裕惠纯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裕惠纯债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4241340"/>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1、基金或本基金：指交银施罗德裕惠纯债债券型证券投资基金，由交银施罗德理财60天债券型证券投资基金转型而来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4、基金合同：指《交银施罗德裕惠纯债债券型证券投资基金基金合同》及对基金合同的任何有效修订和补充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5、托管协议：指基金管理人与基金托管人就本基金签订之《交银施罗德裕惠纯债债券型证券投资基金托管协议》及对该托管协议的任何有效修订和补充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6、招募说明书或本招募说明书：指《交银施罗德裕惠纯债债券型证券投资基金招募说明书》及其更新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7、基金产品资料概要：指《交银施罗德裕惠纯债债券型证券投资基金基金产品资料概要》及其更新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15、银行业监督管理机构：指中国人民银行和/或国家金融监督管理总局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29、基金合同生效日：指《交银施罗德裕惠纯债债券型证券投资基金基金合同》生效日，原《交银施罗德理财60天债券型证券投资基金基金合同》自同一日起失效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30、基金转型实施日：指基金管理人公告的交银施罗德理财60天债券型证券投资基金转型为交银施罗德裕惠纯债债券型证券投资基金的实施日期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32、存续期：指《交银施罗德理财60天债券型证券投资基金基金合同》生效至《交银施罗德裕惠纯债债券型证券投资基金基金合同》终止之间的不定期期限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46、基金收益：指基金投资所得债券利息、买卖证券价差、银行存款利息、已实现的其他合法收入及因运用基金财产带来的成本和费用的节约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4241341"/>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端清先生:基金经理。复旦大学经济学博士，17年证券投资相关从业经验。2009年至2011年于交通银行总行金融市场部任职，2011年至2013年任湘财证券研究所研究员，2013年至2015年任中航信托资产管理部投资经理。2015年加入交银施罗德基金管理有限公司，曾任固定收益部基金经理，现任混合资产投资部基金经理。曾任交银施罗德丰盈收益债券型证券投资基金(2015年08月04日至2024年12月03日)、交银施罗德现金宝货币市场基金(2015年08月04日至2019年08月02日)、交银施罗德丰润收益债券型证券投资基金(2015年08月04日至2020年08月21日)、交银施罗德货币市场证券投资基金(2015年10月16日至2019年08月02日)、交银施罗德理财60天债券型证券投资基金(2015年10月16日至2020年07月27日)、交银施罗德活期通货币市场基金(2016年07月27日至2024年04月26日)、交银施罗德天利宝货币市场基金(2016年10月19日至2019年09月27日)、交银施罗德裕隆纯债债券型证券投资基金(2016年11月28日至2019年09月27日)、交银施罗德天鑫宝货币市场基金(2016年12月07日至2019年08月02日)、交银施罗德天益宝货币市场基金(2016年12月20日至2019年09月27日)、交银施罗德境尚收益债券型证券投资基金(2017年03月03日至2019年09月27日)、交银施罗德裕兴纯债债券型证券投资基金(2017年03月31日至2018年08月23日)、交银施罗德裕盈纯债债券型证券投资基金(2017年03月31日至2022年11月19日)、交银施罗德天运宝货币市场基金(2017年12月29日至2019年08月02日)的基金经理。现任交银施罗德裕利纯债债券型证券投资基金(2017年03月31日至今)、交银施罗德裕惠纯债债券型证券投资基金(2020年07月28日至今)、交银施罗德中高等级信用债债券型证券投资基金(2022年07月06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胡军华女士(2013年03月13日至2014年03月30日)；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孙超先生(2014年08月26日至2015年11月18日)。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4241342"/>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注册资本：贰仟陆佰壹拾陆亿零叁拾捌万壹仟肆佰伍拾玖元整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4241343"/>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4241344"/>
      <w:r>
        <w:rPr>
          <w:rFonts w:ascii="Times New Roman" w:hAnsi="Times New Roman"/>
          <w:sz w:val="30"/>
        </w:rPr>
        <w:t>六、基金的历史沿革</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交银施罗德裕惠纯债债券型证券投资基金由交银施罗德理财60天债券型证券投资基金转型而来。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理财60天债券型证券投资基金经中国证监会证监许可【2012】1768号文核准，自2013年3月4日起向社会公开募集，于2013年3月8日结束募集工作，并于2013年3月13日获得中国证监会的书面确认，《交银施罗德理财60天债券型证券投资基金基金合同》自该日起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关于实施&lt;公开募集证券投资基金运作管理办法&gt;有关问题的规定》、《交银施罗德理财60天债券型证券投资基金基金合同》，交银施罗德理财60天债券型证券投资基金以通讯方式召开基金份额持有人大会，大会于2020年6月23日表决通过了《关于交银施罗德理财60天债券型证券投资基金转型及修改基金合同有关事项的议案》，同意交银施罗德理财60天债券型证券投资基金变更基金名称、投资目标、投资范围、投资策略、业绩比较基准、投资限制、基金的估值、基金的费用以及其他部分条款，授权基金管理人办理本次基金转型及修改基金合同有关具体事宜。基金份额持有人大会决议自表决通过之日起生效，基金管理人根据基金份额持有人大会的授权，定于2020年7月28日正式实施基金转型，自基金转型实施日起，《交银施罗德理财60天债券型证券投资基金基金合同》失效且《交银施罗德裕惠纯债债券型证券投资基金基金合同》同时生效。</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4241345"/>
      <w:r>
        <w:rPr>
          <w:rFonts w:ascii="Times New Roman" w:hAnsi="Times New Roman"/>
          <w:sz w:val="30"/>
        </w:rPr>
        <w:t>七、基金的存续</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4241346"/>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本基金已于2020年7月28日起开放申购、赎回业务。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开放日规定的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本基金的申购费用由基金申购人承担，不列入基金财产，主要用于本基金的市场推广、销售、登记结算等各项费用。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投资人因红利自动再投资而产生的基金份额，不收取相应的申购费用。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投资者赎回基金份额收取赎回费用，该费用随基金份额的持有时间递减。本基金的赎回费用由基金份额赎回人承担，对于持续持有期少于7天的投资人收取的赎回费全额计入基金财产。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（1）申购基金份额的有效份额为净申购金额除以当日基金份额净值，有效份额单位为份，申购份额计算结果按四舍五入方法，保留到小数点后2位，由此产生的收益或损失由基金财产承担。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例一：某投资者（非养老金客户）投资100,000元申购本基金，假设申购当日基金份额净值为1.0400元，申购费率为0.3%，则其可得到的申购份额为：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净申购金额=100,000/（1+0.3%）=99,700.90元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申购费用=100,000-99,700.90=299.10元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申购份额=（100,000-299.10）/1.0400=95,866.25份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即：某投资者（非养老金客户）投资100,000元申购本基金，假设申购当日基金份额净值为1.0400元，则其可得到95,866.25份基金份额。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例二：某养老金客户投资100,000元通过基金管理人的直销柜台申购本基金，假设申购当日基金份额净值为1.0400元，申购费率为0.12%，则其可得到的申购份额为：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净申购金额=100,000/（1+0.12%）=99,880.14元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申购费用=100,000-99,880.14=119.86元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申购份额=（100,000-119.86）/1.0400=96,038.60份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即：该养老金客户投资100,000元通过基金管理人的直销柜台申购本基金，假设申购当日基金份额净值为1.0400元，则其可得到96,038.60份基金份额。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例三：某投资者赎回100,000份基金份额，持有5日，对应的赎回费率为1.5%，假设赎回当日基金份额净值是1.0160元，则其可得到的赎回金额为：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赎回费用=100,000×1.0160×1.5%＝1524.00元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赎回金额=100,000×1.0160-1524.00＝100,076.00元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即：投资者赎回100,000份基金份额，持有5日，对应的赎回费率为1.5%，假设赎回当日基金份额净值是1.0160元，则其可得到的赎回金额为100,076.00元。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基金份额净值＝基金份额的基金资产净值总额/发行在外的基金份额总数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按基金合同的约定公告。遇特殊情况，经履行适当程序，可以适当延迟计算或公告。本基金基金份额净值的计算，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本基金2020年7月28日刊登公告自2020年7月28日起开通定期定额投资计划业务，具体开通销售机构名单和业务规则参见相关公告。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4241347"/>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8月24日刊登公告自2020年8月26日起开放日常转换业务。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4241348"/>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在严格控制风险和保持较高流动性的前提下，力求获得高于业绩比较基准的投资收益。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资产的比例不低于基金资产的80%。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信用评级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该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本报告期自2026年01月01日起至03月31日止。本报告财务资料未经审计师审计。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1,990,211,258.09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1,990,211,258.09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28,681,713.21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2,018,892,972.65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1,584,302,915.07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78.50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1,150,790,254.79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405,908,343.02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1,990,211,258.09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98.61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160213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16国开13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450,956,000.00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25进出06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333,200,095.89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240202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24国开02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222,774,953.42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102501642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25光大集团MTN007A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183,199,818.08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102585000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25华电股MTN011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182,167,643.84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2026年03月05日,国家外汇管理局北京市分局公示京汇罚[2026]14号行政处罚决定书,给予中国进出口银行罚没共计221.24万元人民币的行政处罚。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2025年09月30日,央行公示银罚决字[2025]66号行政处罚决定书,给予国家开发银行123万元人民币的行政处罚。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2025年09月12日,金融监管总局公示行政处罚决定书,给予招商银行股份有限公司60万元人民币的行政处罚。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2025年09月12日,国家金融监督管理总局公示行政处罚决定书,给予中国进出口银行130万元人民币的行政处罚。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2025年08月01日,国家金融监督管理总局公示行政处罚决定书,给予中国农业发展银行1020万元人民币的行政处罚。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2025年07月25日,国家外汇管理局北京市分局公示京汇罚[2025]30号行政处罚决定书,给予国家开发银行罚没共计1394.42万元人民币的行政处罚。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2025年06月27日,国家金融监督管理总局公示行政处罚决定书,给予中国进出口银行1810万元人民币的行政处罚。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4241349"/>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2020年度（自基金合同生效日起至2020年12月31日）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交银施罗德裕惠纯债债券型证券投资基金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（2020年7月28日至2026年03月31日）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由交银施罗德理财60天债券型证券投资基金转型而来。基金转型日为2020年7月28日。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4241350"/>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4241351"/>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（1）交易所市场上市实行净价交易或挂牌转让的固定收益品种（另有规定的除外），选取第三方估值机构提供的相应品种当日的估值净价进行估值；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（3）交易所上市不存在活跃市场的有价证券，采用估值技术确定公允价值。交易所市场挂牌转让的资产支持证券，采用估值技术确定公允价值，在估值技术难以可靠计量公允价值的情况下，按成本估值；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4241352"/>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4241353"/>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本基金的管理费按前一日基金资产净值的0.3%年费率计提。管理费的计算方法如下：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H＝E×0.3%÷当年天数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w:t>
      </w:r>
      <w:r>
        <w:rPr>
          <w:rFonts w:hint="eastAsia" w:ascii="宋体" w:hAnsi="宋体"/>
          <w:sz w:val="24"/>
          <w:lang w:val="en-US" w:eastAsia="zh-CN"/>
        </w:rPr>
        <w:t>0</w:t>
      </w:r>
      <w:r>
        <w:rPr>
          <w:rFonts w:ascii="宋体" w:hAnsi="宋体"/>
          <w:sz w:val="24"/>
        </w:rPr>
        <w:t>5%的年费率计提。托管费的计算方法如下：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w:t>
      </w:r>
      <w:r>
        <w:rPr>
          <w:rFonts w:hint="eastAsia" w:ascii="宋体" w:hAnsi="宋体"/>
          <w:sz w:val="24"/>
          <w:lang w:val="en-US" w:eastAsia="zh-CN"/>
        </w:rPr>
        <w:t>0</w:t>
      </w:r>
      <w:bookmarkStart w:id="29" w:name="_GoBack"/>
      <w:bookmarkEnd w:id="29"/>
      <w:r>
        <w:rPr>
          <w:rFonts w:ascii="宋体" w:hAnsi="宋体"/>
          <w:sz w:val="24"/>
        </w:rPr>
        <w:t>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3、《交银施罗德理财60天债券型证券投资基金基金合同》生效前的相关费用；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4241354"/>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4241355"/>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w:t>
      </w:r>
      <w:r>
        <w:rPr>
          <w:rFonts w:hint="eastAsia" w:ascii="宋体" w:hAnsi="宋体"/>
          <w:kern w:val="0"/>
          <w:sz w:val="24"/>
        </w:rPr>
        <w:t>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w:t>
      </w:r>
      <w:r>
        <w:rPr>
          <w:rFonts w:hint="eastAsia" w:ascii="宋体" w:hAnsi="宋体"/>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证监会变更注册后，并在本基金正式实施转型前，基金管理人按照《信息披露办法》的规定，将基金招募说明书提示性公告和《基金合同》提示性公告登载在指定报刊上，将基金招募说明书、基金产品资料概要、《基金合同》和基金托管协议登载在指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（14）管理费、托管费、申购费、赎回费等费用计提标准、计提方式和费率发生变更；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（15）基金份额净值计价错误达基金份额净值百分之零点五；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（24）《基金合同》生效后，连续30、40、45个工作日出现基金份额持有人数量不满200人或者基金资产净值低于5000万元情形，基金管理人应当发布提示性公告；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4241356"/>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4241357"/>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前一开放日的基金总份额的10%，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1、本基金为债券型基金，投资于债券资产的比例不低于基金资产的80%，因投资债券资产而面临债券资产市场的系统性风险和个券风险；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4、基金合同提前终止风险。连续五十个工作日出现基金份额持有人数量不满200人或者基金资产净值低于5000万元情形的，基金管理人提前终止基金合同，不需召开基金份额持有人大会。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4241358"/>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4241359"/>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（1）当出现或需要决定下列事由之一的，应当召开基金份额持有人大会，法律法规、中国证监会和基金合同另有规定的除外：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4241360"/>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资产的比例不低于基金资产的80%。本基金持有的现金或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信用评级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（4）本基金管理人管理且由本基金托管人托管的全部基金持有一家公司发行的证券，不超过该证券的10％，完全按照有关指数的构成比例进行证券投资的基金品种可以不受此条款规定的比例限制；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该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（5）管理人应于托管产品到期后及时完成收益兑付、费用结清及其他应收应付款项资金划转，在委托资产/投资者赎回款全部划出后的10个工作日内向托管人发出销户申请。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（1）基金托管人在中国证券登记结算有限责任公司为基金开立基金托管人与本基金联名的证券账户。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（5）账户注销时，在遵守中国证券登记结算公司的相关规定下，由管理人和托管人协商确认主要办理人。账户注销期间，主要办理人如需另一方提供配合的，另一方应予以配合。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金额。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2、基金资产估值方法和特殊情形的处理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①交易所市场上市实行净价交易或挂牌转让的固定收益品种（另有规定的除外），选取第三方估值机构提供的相应品种当日的估值净价进行估值；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③交易所上市不存在活跃市场的有价证券，采用估值技术确定公允价值。交易所市场挂牌转让的资产支持证券，采用估值技术确定公允价值，在估值技术难以可靠计量公允价值的情况下，按成本估值。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基金管理人向基金托管人出具加盖公章的书面说明后，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估值错误时，视为基金份额净值错误；基金份额净值计算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2）报表的复核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基金管理人应留足充分的时间，便于基金托管人复核相关报表及报告。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9、基金管理人应在编制季度报告、中期报告或者年度报告之前及时向基金托管人提供基金业绩比较基准的基础数据和编制结果。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（4）发生法律法规、中国证监会规定或《基金合同》约定的终止事项。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4241361"/>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开放期内基金份额的申购、赎回、定期定额投资、转换等业务。通过网上直销交易平台办理本基金基金份额申购业务的个人投资者将享受申购费率的优惠，其他费率标准不变。具体优惠费率请参见公司网站列示的网上直销交易平台申购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4241362"/>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交银施罗德基金管理有限公司关于调整交银施罗德裕惠纯债债券型证券投资基金托管费率并修改基金合同等法律文件的公告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交银施罗德基金管理有限公司关于交银施罗德裕惠纯债债券型证券投资基金基金资产净值连续低于5000万元的提示性公告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交银施罗德基金管理有限公司关于交银施罗德裕惠纯债债券型证券投资基金修改债项评级相关投资限制条款并相应修改法律文件的公告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交银施罗德裕惠纯债债券型证券投资基金2026年第1季度报告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交银施罗德基金管理有限公司关于提高交银施罗德裕惠纯债债券型证券投资基金份额净值精度的公告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4241363"/>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4241364"/>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（一）中国证监会对交银施罗德理财60天债券型证券投资基金转型为交银施罗德裕惠纯债债券型证券投资基金准予变更注册的文件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（二）《交银施罗德裕惠纯债债券型证券投资基金基金合同》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（三）《交银施罗德裕惠纯债债券型证券投资基金托管协议》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133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交银施罗德裕惠纯债债券型证券投资基金招募说明书更新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交银施罗德裕惠纯债债券型证券投资基金招募说明书更新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交银施罗德裕惠纯债债券型证券投资基金招募说明书更新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6586"/>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17EC"/>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5D57"/>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01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33952AA"/>
    <w:rsid w:val="1A113708"/>
    <w:rsid w:val="4D8212ED"/>
    <w:rsid w:val="5A1602DF"/>
    <w:rsid w:val="6B415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134</Pages>
  <Words>13861</Words>
  <Characters>79008</Characters>
  <Lines>658</Lines>
  <Paragraphs>185</Paragraphs>
  <TotalTime>1</TotalTime>
  <ScaleCrop>false</ScaleCrop>
  <LinksUpToDate>false</LinksUpToDate>
  <CharactersWithSpaces>92684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2026-07-06T06:42:00Z</dcterms:created>
  <dc:creator>系统用户</dc:creator>
  <cp:lastModifiedBy>haotingting</cp:lastModifiedBy>
  <cp:lastPrinted>2013-02-18T03:10:00Z</cp:lastPrinted>
  <dcterms:modified xsi:type="dcterms:W3CDTF">2026-07-06T08:03:05Z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AC831BDDEF0D4C4B9E43C263AF373395</vt:lpwstr>
  </property>
</Properties>
</file>