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交银施罗德强化回报债券型证券投资基金（AB类份额）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2026-06-17</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2026-07-10</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交银强化回报债券A/B</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519733</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中信银行股份有限公司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2014-01-28</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债券型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魏玉敏</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2023-04-15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2012-06-28</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基金份额持有人数量不满200人或者基金资产净值低于5000万元的，基金管理人应当及时报告中国证监会；连续20个工作日出现前述情形的，基金管理人应当向中国证监会说明原因并报送解决方案。</w:t>
            </w:r>
          </w:p>
        </w:tc>
      </w:tr>
    </w:tbl>
    <w:p>
      <w:pPr>
        <w:jc w:val="left"/>
        <w:rPr>
          <w:rFonts w:ascii="仿宋_GB2312" w:eastAsia="仿宋_GB2312"/>
          <w:szCs w:val="21"/>
        </w:rPr>
      </w:pPr>
      <w:r>
        <w:rPr>
          <w:rFonts w:hint="eastAsia" w:ascii="仿宋_GB2312" w:hAnsi="宋体" w:eastAsia="仿宋_GB2312" w:cs="宋体"/>
          <w:kern w:val="0"/>
          <w:szCs w:val="21"/>
        </w:rPr>
        <w:t>注：</w:t>
      </w:r>
      <w:r>
        <w:rPr>
          <w:rFonts w:hint="eastAsia" w:ascii="仿宋_GB2312" w:eastAsia="仿宋_GB2312"/>
          <w:szCs w:val="21"/>
        </w:rPr>
        <w:t>519733（A类份额），519734（B类份额）</w:t>
      </w:r>
    </w:p>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本基金在严格控制风险和保持资产流动性的前提下，重点投资于债券资产，力争实现基金资产的长期稳定增值。</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交易的国债、金融债、央行票据、地方政府债、企业债、公司债、短期融资券、中期票据、可转换债券及可分离转债、次级债、债券回购、银行存款、货币市场工具等固定收益类品种，和股票(含中小板、创业板及其他经中国证监会核准上市的股票)、权证等权益类品种以及法律法规或中国证监会允许基金投资的其他金融工具(但须符合中国证监会相关规定)。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本基金投资于债券的比例不低于基金资产的80%；对股票、权证等权益类资产的投资比例不高于基金资产净值的20%；现金或到期日在一年以内的政府债券的投资比例合计不低于基金资产净值的5%，其中现金不包括结算备付金、存出保证金、应收申购款等。</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将严谨、规范化的基本面研究分析与积极主动的投资风格相结合，在分析和判断宏观经济运行状况和金融市场运行趋势的基础上，动态调整债券、股票等大类资产比例。本基金以债券投资为核心，重点关注债券组合久期调整、期限结构配置及债券类属配置，并在严谨深入的信用分析基础上，综合考量信用债券的信用评级，以及各类债券的流动性、供求关系和收益率水平等，同时本基金也通过综合运用骑乘操作、套利操作等策略精选个券，提高投资组合收益。此外，在风险可控的前提下，本基金适度关注股票、权证市场的运行状况与相应风险收益特征，有效把握投资机会，适时增强组合收益。</w:t>
            </w:r>
          </w:p>
          <w:p>
            <w:pPr>
              <w:ind w:firstLine="420"/>
              <w:jc w:val="left"/>
              <w:rPr>
                <w:rFonts w:ascii="仿宋_GB2312" w:eastAsia="仿宋_GB2312"/>
                <w:szCs w:val="21"/>
              </w:rPr>
            </w:pPr>
            <w:r>
              <w:rPr>
                <w:rFonts w:hint="eastAsia" w:ascii="仿宋_GB2312" w:eastAsia="仿宋_GB2312"/>
                <w:szCs w:val="21"/>
              </w:rPr>
              <w:t>1、资产配置策略；2、债券投资策略；3、股票投资策略；4、权证投资策略。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中债综合全价指数</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债券型基金，其风险与预期收益高于货币市场基金，低于混合型基金和股票型基金，属于证券投资基金中中等风险的品种。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详见《交银施罗德强化回报债券型证券投资基金招募说明书》“基金的投资”。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46"/>
        <w:gridCol w:w="2818"/>
        <w:gridCol w:w="1754"/>
        <w:gridCol w:w="1990"/>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pPr>
              <w:rPr>
                <w:rFonts w:ascii="仿宋_GB2312" w:eastAsia="仿宋_GB2312"/>
                <w:szCs w:val="21"/>
              </w:rPr>
            </w:pPr>
            <w:r>
              <w:rPr>
                <w:rFonts w:hint="eastAsia" w:ascii="仿宋_GB2312" w:eastAsia="仿宋_GB2312"/>
                <w:szCs w:val="21"/>
              </w:rPr>
              <w:t>M＜50万元</w:t>
            </w:r>
          </w:p>
        </w:tc>
        <w:tc>
          <w:tcPr>
            <w:tcW w:w="1843" w:type="dxa"/>
            <w:vAlign w:val="center"/>
          </w:tcPr>
          <w:p>
            <w:pPr>
              <w:rPr>
                <w:rFonts w:ascii="仿宋_GB2312" w:eastAsia="仿宋_GB2312"/>
                <w:szCs w:val="21"/>
              </w:rPr>
            </w:pPr>
            <w:r>
              <w:rPr>
                <w:rFonts w:hint="eastAsia" w:ascii="仿宋_GB2312" w:eastAsia="仿宋_GB2312"/>
                <w:szCs w:val="21"/>
              </w:rPr>
              <w:t>0.8%</w:t>
            </w:r>
          </w:p>
        </w:tc>
        <w:tc>
          <w:tcPr>
            <w:tcW w:w="2126" w:type="dxa"/>
            <w:vAlign w:val="center"/>
          </w:tcPr>
          <w:p>
            <w:pPr>
              <w:widowControl/>
              <w:jc w:val="left"/>
              <w:rPr>
                <w:rFonts w:ascii="仿宋_GB2312" w:hAnsi="宋体" w:eastAsia="仿宋_GB2312" w:cs="宋体"/>
                <w:kern w:val="0"/>
                <w:szCs w:val="21"/>
              </w:rPr>
            </w:pPr>
            <w:r>
              <w:rPr>
                <w:rFonts w:hint="eastAsia" w:ascii="仿宋_GB2312" w:eastAsia="仿宋_GB2312"/>
                <w:szCs w:val="21"/>
              </w:rPr>
              <w:t>A类份额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50万元≤M＜100万元</w:t>
            </w:r>
          </w:p>
        </w:tc>
        <w:tc>
          <w:tcPr>
            <w:tcW w:w="1843" w:type="dxa"/>
            <w:vAlign w:val="center"/>
          </w:tcPr>
          <w:p>
            <w:pPr>
              <w:rPr>
                <w:rFonts w:ascii="仿宋_GB2312" w:eastAsia="仿宋_GB2312"/>
                <w:szCs w:val="21"/>
              </w:rPr>
            </w:pPr>
            <w:r>
              <w:rPr>
                <w:rFonts w:hint="eastAsia" w:ascii="仿宋_GB2312" w:eastAsia="仿宋_GB2312"/>
                <w:szCs w:val="21"/>
              </w:rPr>
              <w:t>0.6%</w:t>
            </w:r>
          </w:p>
        </w:tc>
        <w:tc>
          <w:tcPr>
            <w:tcW w:w="2126" w:type="dxa"/>
            <w:vAlign w:val="center"/>
          </w:tcPr>
          <w:p>
            <w:pPr>
              <w:widowControl/>
              <w:jc w:val="left"/>
              <w:rPr>
                <w:rFonts w:ascii="仿宋_GB2312" w:hAnsi="宋体" w:eastAsia="仿宋_GB2312" w:cs="宋体"/>
                <w:kern w:val="0"/>
                <w:szCs w:val="21"/>
              </w:rPr>
            </w:pPr>
            <w:r>
              <w:rPr>
                <w:rFonts w:hint="eastAsia" w:ascii="仿宋_GB2312" w:eastAsia="仿宋_GB2312"/>
                <w:szCs w:val="21"/>
              </w:rPr>
              <w:t>A类份额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100万元≤M＜200万元</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2126" w:type="dxa"/>
            <w:vAlign w:val="center"/>
          </w:tcPr>
          <w:p>
            <w:pPr>
              <w:widowControl/>
              <w:jc w:val="left"/>
              <w:rPr>
                <w:rFonts w:ascii="仿宋_GB2312" w:hAnsi="宋体" w:eastAsia="仿宋_GB2312" w:cs="宋体"/>
                <w:kern w:val="0"/>
                <w:szCs w:val="21"/>
              </w:rPr>
            </w:pPr>
            <w:r>
              <w:rPr>
                <w:rFonts w:hint="eastAsia" w:ascii="仿宋_GB2312" w:eastAsia="仿宋_GB2312"/>
                <w:szCs w:val="21"/>
              </w:rPr>
              <w:t>A类份额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200万元≤M＜500万元</w:t>
            </w:r>
          </w:p>
        </w:tc>
        <w:tc>
          <w:tcPr>
            <w:tcW w:w="1843" w:type="dxa"/>
            <w:vAlign w:val="center"/>
          </w:tcPr>
          <w:p>
            <w:pPr>
              <w:rPr>
                <w:rFonts w:ascii="仿宋_GB2312" w:eastAsia="仿宋_GB2312"/>
                <w:szCs w:val="21"/>
              </w:rPr>
            </w:pPr>
            <w:r>
              <w:rPr>
                <w:rFonts w:hint="eastAsia" w:ascii="仿宋_GB2312" w:eastAsia="仿宋_GB2312"/>
                <w:szCs w:val="21"/>
              </w:rPr>
              <w:t>0.3%</w:t>
            </w:r>
          </w:p>
        </w:tc>
        <w:tc>
          <w:tcPr>
            <w:tcW w:w="2126" w:type="dxa"/>
            <w:vAlign w:val="center"/>
          </w:tcPr>
          <w:p>
            <w:pPr>
              <w:widowControl/>
              <w:jc w:val="left"/>
              <w:rPr>
                <w:rFonts w:ascii="仿宋_GB2312" w:hAnsi="宋体" w:eastAsia="仿宋_GB2312" w:cs="宋体"/>
                <w:kern w:val="0"/>
                <w:szCs w:val="21"/>
              </w:rPr>
            </w:pPr>
            <w:r>
              <w:rPr>
                <w:rFonts w:hint="eastAsia" w:ascii="仿宋_GB2312" w:eastAsia="仿宋_GB2312"/>
                <w:szCs w:val="21"/>
              </w:rPr>
              <w:t>A类份额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500万元≤M</w:t>
            </w:r>
          </w:p>
        </w:tc>
        <w:tc>
          <w:tcPr>
            <w:tcW w:w="1843" w:type="dxa"/>
            <w:vAlign w:val="center"/>
          </w:tcPr>
          <w:p>
            <w:pPr>
              <w:rPr>
                <w:rFonts w:ascii="仿宋_GB2312" w:eastAsia="仿宋_GB2312"/>
                <w:szCs w:val="21"/>
              </w:rPr>
            </w:pPr>
            <w:r>
              <w:rPr>
                <w:rFonts w:hint="eastAsia" w:ascii="仿宋_GB2312" w:eastAsia="仿宋_GB2312"/>
                <w:szCs w:val="21"/>
              </w:rPr>
              <w:t>1,000元每笔</w:t>
            </w:r>
          </w:p>
        </w:tc>
        <w:tc>
          <w:tcPr>
            <w:tcW w:w="2126" w:type="dxa"/>
            <w:vAlign w:val="center"/>
          </w:tcPr>
          <w:p>
            <w:pPr>
              <w:widowControl/>
              <w:jc w:val="left"/>
              <w:rPr>
                <w:rFonts w:ascii="仿宋_GB2312" w:hAnsi="宋体" w:eastAsia="仿宋_GB2312" w:cs="宋体"/>
                <w:kern w:val="0"/>
                <w:szCs w:val="21"/>
              </w:rPr>
            </w:pPr>
            <w:r>
              <w:rPr>
                <w:rFonts w:hint="eastAsia" w:ascii="仿宋_GB2312" w:eastAsia="仿宋_GB2312"/>
                <w:szCs w:val="21"/>
              </w:rPr>
              <w:t>A类份额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申购费（后收费）</w:t>
            </w:r>
          </w:p>
        </w:tc>
        <w:tc>
          <w:tcPr>
            <w:tcW w:w="2409" w:type="dxa"/>
          </w:tcPr>
          <w:p>
            <w:pPr>
              <w:rPr>
                <w:rFonts w:ascii="仿宋_GB2312" w:eastAsia="仿宋_GB2312"/>
                <w:szCs w:val="21"/>
              </w:rPr>
            </w:pPr>
            <w:r>
              <w:rPr>
                <w:rFonts w:hint="eastAsia" w:ascii="仿宋_GB2312" w:eastAsia="仿宋_GB2312"/>
                <w:szCs w:val="21"/>
              </w:rPr>
              <w:t>N≤1年</w:t>
            </w:r>
          </w:p>
        </w:tc>
        <w:tc>
          <w:tcPr>
            <w:tcW w:w="1843" w:type="dxa"/>
            <w:vAlign w:val="center"/>
          </w:tcPr>
          <w:p>
            <w:pPr>
              <w:rPr>
                <w:rFonts w:ascii="仿宋_GB2312" w:eastAsia="仿宋_GB2312"/>
                <w:szCs w:val="21"/>
              </w:rPr>
            </w:pPr>
            <w:r>
              <w:rPr>
                <w:rFonts w:hint="eastAsia" w:ascii="仿宋_GB2312" w:eastAsia="仿宋_GB2312"/>
                <w:szCs w:val="21"/>
              </w:rPr>
              <w:t>1.0%</w:t>
            </w:r>
          </w:p>
        </w:tc>
        <w:tc>
          <w:tcPr>
            <w:tcW w:w="1843" w:type="dxa"/>
            <w:vAlign w:val="center"/>
          </w:tcPr>
          <w:p>
            <w:pPr>
              <w:rPr>
                <w:rFonts w:ascii="仿宋_GB2312" w:eastAsia="仿宋_GB2312"/>
                <w:szCs w:val="21"/>
              </w:rPr>
            </w:pPr>
            <w:r>
              <w:rPr>
                <w:rFonts w:hint="eastAsia" w:ascii="仿宋_GB2312" w:eastAsia="仿宋_GB2312"/>
                <w:szCs w:val="21"/>
              </w:rPr>
              <w:t>B类份额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1年＜N≤3年</w:t>
            </w:r>
          </w:p>
        </w:tc>
        <w:tc>
          <w:tcPr>
            <w:tcW w:w="1843" w:type="dxa"/>
            <w:vAlign w:val="center"/>
          </w:tcPr>
          <w:p>
            <w:pPr>
              <w:rPr>
                <w:rFonts w:ascii="仿宋_GB2312" w:eastAsia="仿宋_GB2312"/>
                <w:szCs w:val="21"/>
              </w:rPr>
            </w:pPr>
            <w:r>
              <w:rPr>
                <w:rFonts w:hint="eastAsia" w:ascii="仿宋_GB2312" w:eastAsia="仿宋_GB2312"/>
                <w:szCs w:val="21"/>
              </w:rPr>
              <w:t>0.6%</w:t>
            </w:r>
          </w:p>
        </w:tc>
        <w:tc>
          <w:tcPr>
            <w:tcW w:w="1843" w:type="dxa"/>
            <w:vAlign w:val="center"/>
          </w:tcPr>
          <w:p>
            <w:pPr>
              <w:rPr>
                <w:rFonts w:ascii="仿宋_GB2312" w:eastAsia="仿宋_GB2312"/>
                <w:szCs w:val="21"/>
              </w:rPr>
            </w:pPr>
            <w:r>
              <w:rPr>
                <w:rFonts w:hint="eastAsia" w:ascii="仿宋_GB2312" w:eastAsia="仿宋_GB2312"/>
                <w:szCs w:val="21"/>
              </w:rPr>
              <w:t>B类份额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3年＜N≤5年</w:t>
            </w:r>
          </w:p>
        </w:tc>
        <w:tc>
          <w:tcPr>
            <w:tcW w:w="1843" w:type="dxa"/>
            <w:vAlign w:val="center"/>
          </w:tcPr>
          <w:p>
            <w:pPr>
              <w:rPr>
                <w:rFonts w:ascii="仿宋_GB2312" w:eastAsia="仿宋_GB2312"/>
                <w:szCs w:val="21"/>
              </w:rPr>
            </w:pPr>
            <w:r>
              <w:rPr>
                <w:rFonts w:hint="eastAsia" w:ascii="仿宋_GB2312" w:eastAsia="仿宋_GB2312"/>
                <w:szCs w:val="21"/>
              </w:rPr>
              <w:t>0.4%</w:t>
            </w:r>
          </w:p>
        </w:tc>
        <w:tc>
          <w:tcPr>
            <w:tcW w:w="1843" w:type="dxa"/>
            <w:vAlign w:val="center"/>
          </w:tcPr>
          <w:p>
            <w:pPr>
              <w:rPr>
                <w:rFonts w:ascii="仿宋_GB2312" w:eastAsia="仿宋_GB2312"/>
                <w:szCs w:val="21"/>
              </w:rPr>
            </w:pPr>
            <w:r>
              <w:rPr>
                <w:rFonts w:hint="eastAsia" w:ascii="仿宋_GB2312" w:eastAsia="仿宋_GB2312"/>
                <w:szCs w:val="21"/>
              </w:rPr>
              <w:t>B类份额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5年＜N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r>
              <w:rPr>
                <w:rFonts w:hint="eastAsia" w:ascii="仿宋_GB2312" w:eastAsia="仿宋_GB2312"/>
                <w:szCs w:val="21"/>
              </w:rPr>
              <w:t>B类份额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7天≤N＜366天</w:t>
            </w:r>
          </w:p>
        </w:tc>
        <w:tc>
          <w:tcPr>
            <w:tcW w:w="1843" w:type="dxa"/>
            <w:vAlign w:val="center"/>
          </w:tcPr>
          <w:p>
            <w:pPr>
              <w:rPr>
                <w:rFonts w:ascii="仿宋_GB2312" w:eastAsia="仿宋_GB2312"/>
                <w:szCs w:val="21"/>
              </w:rPr>
            </w:pPr>
            <w:r>
              <w:rPr>
                <w:rFonts w:hint="eastAsia" w:ascii="仿宋_GB2312" w:eastAsia="仿宋_GB2312"/>
                <w:szCs w:val="21"/>
              </w:rPr>
              <w:t>0.1%</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366天≤N＜731天</w:t>
            </w:r>
          </w:p>
        </w:tc>
        <w:tc>
          <w:tcPr>
            <w:tcW w:w="1843" w:type="dxa"/>
            <w:vAlign w:val="center"/>
          </w:tcPr>
          <w:p>
            <w:pPr>
              <w:rPr>
                <w:rFonts w:ascii="仿宋_GB2312" w:eastAsia="仿宋_GB2312"/>
                <w:szCs w:val="21"/>
              </w:rPr>
            </w:pPr>
            <w:r>
              <w:rPr>
                <w:rFonts w:hint="eastAsia" w:ascii="仿宋_GB2312" w:eastAsia="仿宋_GB2312"/>
                <w:szCs w:val="21"/>
              </w:rPr>
              <w:t>0.05%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731天≤N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2、本基金管理人对养老金客户实施特定申购费率，请详见本基金招募说明书。销售机构若有其他费率优惠请见基金管理人或其他销售机构的有关公告或通知。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0.30%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0.10%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50000.00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0.43%</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（1）政策风险、（2）经济周期风险、（3）利率风险、（4）信用风险、（5）购买力风险、（6）债券收益率曲线变动风险、（7）再投资风险、（8）经营风险、（9）上市公司经营风险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4、交易对手违约风险</w:t>
      </w:r>
    </w:p>
    <w:p>
      <w:pPr>
        <w:ind w:firstLine="420"/>
        <w:jc w:val="left"/>
        <w:rPr>
          <w:rFonts w:ascii="仿宋_GB2312" w:eastAsia="仿宋_GB2312"/>
          <w:szCs w:val="21"/>
        </w:rPr>
      </w:pPr>
      <w:r>
        <w:rPr>
          <w:rFonts w:hint="eastAsia" w:ascii="仿宋_GB2312" w:eastAsia="仿宋_GB2312"/>
          <w:szCs w:val="21"/>
        </w:rPr>
        <w:t>5、本基金投资策略所特有的风险</w:t>
      </w:r>
    </w:p>
    <w:p>
      <w:pPr>
        <w:ind w:firstLine="420"/>
        <w:jc w:val="left"/>
        <w:rPr>
          <w:rFonts w:ascii="仿宋_GB2312" w:eastAsia="仿宋_GB2312"/>
          <w:szCs w:val="21"/>
        </w:rPr>
      </w:pPr>
      <w:r>
        <w:rPr>
          <w:rFonts w:hint="eastAsia" w:ascii="仿宋_GB2312" w:eastAsia="仿宋_GB2312"/>
          <w:szCs w:val="21"/>
        </w:rPr>
        <w:t>（1）本基金为债券型基金，固定收益类资产的比例不低于基金资产净值的80%，因投资固定收益类资产而面临的固定收益类资产市场的系统性风险和个券风险；</w:t>
      </w:r>
    </w:p>
    <w:p>
      <w:pPr>
        <w:ind w:firstLine="420"/>
        <w:jc w:val="left"/>
        <w:rPr>
          <w:rFonts w:ascii="仿宋_GB2312" w:eastAsia="仿宋_GB2312"/>
          <w:szCs w:val="21"/>
        </w:rPr>
      </w:pPr>
      <w:r>
        <w:rPr>
          <w:rFonts w:hint="eastAsia" w:ascii="仿宋_GB2312" w:eastAsia="仿宋_GB2312"/>
          <w:szCs w:val="21"/>
        </w:rPr>
        <w:t>（2）对宏观经济趋势、政策以及债券市场基本面研究是否准确、深入，以及对企业债券的优选和判断是否科学、准确将影响本基金的收益。基本面研究及企业债券分析的错误均可能导致所选择的证券不能完全符合本基金的预期目标；</w:t>
      </w:r>
    </w:p>
    <w:p>
      <w:pPr>
        <w:ind w:firstLine="420"/>
        <w:jc w:val="left"/>
        <w:rPr>
          <w:rFonts w:ascii="仿宋_GB2312" w:eastAsia="仿宋_GB2312"/>
          <w:szCs w:val="21"/>
        </w:rPr>
      </w:pPr>
      <w:r>
        <w:rPr>
          <w:rFonts w:hint="eastAsia" w:ascii="仿宋_GB2312" w:eastAsia="仿宋_GB2312"/>
          <w:szCs w:val="21"/>
        </w:rPr>
        <w:t>（3）本基金在主要投资于固定收益类资产的同时也积极关注股票、权证市场的投资机会，会因投资权益类资产而面临的权益类资产市场的系统性风险和个券风险。</w:t>
      </w:r>
    </w:p>
    <w:p>
      <w:pPr>
        <w:ind w:firstLine="420"/>
        <w:jc w:val="left"/>
        <w:rPr>
          <w:rFonts w:ascii="仿宋_GB2312" w:eastAsia="仿宋_GB2312"/>
          <w:szCs w:val="21"/>
        </w:rPr>
      </w:pPr>
      <w:r>
        <w:rPr>
          <w:rFonts w:hint="eastAsia" w:ascii="仿宋_GB2312" w:eastAsia="仿宋_GB2312"/>
          <w:szCs w:val="21"/>
        </w:rPr>
        <w:t>（4）本基金可投资创业板股票，创业板个股上市后的前五个交易日不设价格涨跌幅限制，第六个交易日开始涨跌幅限制比例为20%。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7、本基金法律文件风险收益特征表述与销售机构基金风险评价可能不一致的风险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8、其他风险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●《交银施罗德强化回报债券型证券投资基金基金合同》、</w:t>
      </w:r>
    </w:p>
    <w:p>
      <w:pPr>
        <w:ind w:firstLine="420"/>
        <w:jc w:val="left"/>
        <w:rPr>
          <w:rFonts w:ascii="仿宋_GB2312" w:eastAsia="仿宋_GB2312"/>
          <w:szCs w:val="21"/>
        </w:rPr>
      </w:pPr>
      <w:r>
        <w:rPr>
          <w:rFonts w:hint="eastAsia" w:ascii="仿宋_GB2312" w:eastAsia="仿宋_GB2312"/>
          <w:szCs w:val="21"/>
        </w:rPr>
        <w:t>《交银施罗德强化回报债券型证券投资基金托管协议》、</w:t>
      </w:r>
    </w:p>
    <w:p>
      <w:pPr>
        <w:ind w:firstLine="420"/>
        <w:jc w:val="left"/>
        <w:rPr>
          <w:rFonts w:ascii="仿宋_GB2312" w:eastAsia="仿宋_GB2312"/>
          <w:szCs w:val="21"/>
        </w:rPr>
      </w:pPr>
      <w:r>
        <w:rPr>
          <w:rFonts w:hint="eastAsia" w:ascii="仿宋_GB2312" w:eastAsia="仿宋_GB2312"/>
          <w:szCs w:val="21"/>
        </w:rPr>
        <w:t>《交银施罗德强化回报债券型证券投资基金招募说明书》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4B20BF"/>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C2918"/>
    <w:rsid w:val="2D151F1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644</Words>
  <Characters>3675</Characters>
  <Lines>30</Lines>
  <Paragraphs>8</Paragraphs>
  <TotalTime>30</TotalTime>
  <ScaleCrop>false</ScaleCrop>
  <LinksUpToDate>false</LinksUpToDate>
  <CharactersWithSpaces>4311</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2026-06-23T08:17:00Z</dcterms:created>
  <dc:creator>Cc</dc:creator>
  <cp:lastModifiedBy>haotingting</cp:lastModifiedBy>
  <dcterms:modified xsi:type="dcterms:W3CDTF">2026-06-30T03:02:38Z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10086F88B82945A0845C2789F275C850</vt:lpwstr>
  </property>
</Properties>
</file>