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交银施罗德环球精选价值证券投资基金（A类份额）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交银环球精选混合(QDII)A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519696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境外投资顾问</w:t>
            </w:r>
          </w:p>
        </w:tc>
        <w:tc>
          <w:tcPr>
            <w:tcW w:w="1601" w:type="dxa"/>
            <w:vAlign w:val="center"/>
          </w:tcPr>
          <w:p>
            <w:pPr>
              <w:rPr>
                <w:rFonts w:ascii="仿宋_GB2312" w:eastAsia="仿宋_GB2312"/>
                <w:szCs w:val="21"/>
              </w:rPr>
            </w:pPr>
            <w:r>
              <w:rPr>
                <w:rFonts w:hint="eastAsia" w:ascii="仿宋_GB2312" w:eastAsia="仿宋_GB2312"/>
                <w:szCs w:val="21"/>
              </w:rPr>
              <w:t>-</w:t>
            </w:r>
          </w:p>
        </w:tc>
        <w:tc>
          <w:tcPr>
            <w:tcW w:w="3649" w:type="dxa"/>
            <w:vAlign w:val="center"/>
          </w:tcPr>
          <w:p>
            <w:pPr>
              <w:rPr>
                <w:rFonts w:ascii="仿宋_GB2312" w:hAnsi="宋体" w:eastAsia="仿宋_GB2312" w:cs="宋体"/>
                <w:szCs w:val="21"/>
              </w:rPr>
            </w:pPr>
            <w:r>
              <w:rPr>
                <w:rFonts w:hint="eastAsia" w:ascii="仿宋_GB2312" w:eastAsia="仿宋_GB2312"/>
                <w:szCs w:val="21"/>
              </w:rPr>
              <w:t>境外托管人</w:t>
            </w:r>
          </w:p>
        </w:tc>
        <w:tc>
          <w:tcPr>
            <w:tcW w:w="1275" w:type="dxa"/>
            <w:vAlign w:val="center"/>
          </w:tcPr>
          <w:p>
            <w:pPr>
              <w:rPr>
                <w:rFonts w:ascii="仿宋_GB2312" w:eastAsia="仿宋_GB2312"/>
                <w:szCs w:val="21"/>
              </w:rPr>
            </w:pPr>
            <w:r>
              <w:rPr>
                <w:rFonts w:hint="eastAsia" w:ascii="仿宋_GB2312" w:eastAsia="仿宋_GB2312"/>
                <w:szCs w:val="21"/>
              </w:rPr>
              <w:t>摩根大通银行/JPMorgan Chase Bank, National Association</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2008-08-22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陈舒薇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2020-01-08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2026-01-22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通过全球资产配置和灵活分散投资，在有效分散和控制风险的前提下，实现长期资本增值。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基金投资的其他金融工具。</w:t>
            </w:r>
          </w:p>
          <w:p>
            <w:pPr>
              <w:ind w:firstLine="420"/>
              <w:jc w:val="left"/>
              <w:rPr>
                <w:rFonts w:ascii="仿宋_GB2312" w:eastAsia="仿宋_GB2312"/>
                <w:szCs w:val="21"/>
              </w:rPr>
            </w:pPr>
            <w:r>
              <w:rPr>
                <w:rFonts w:hint="eastAsia" w:ascii="仿宋_GB2312" w:eastAsia="仿宋_GB2312"/>
                <w:szCs w:val="21"/>
              </w:rPr>
              <w:t>本基金的投资组合为：股票资产占基金资产的60%-100%，债券、货币市场工具以及中国证监会允许本基金投资的其他金融工具占基金资产的0%-40%。</w:t>
            </w:r>
          </w:p>
          <w:p>
            <w:pPr>
              <w:ind w:firstLine="420"/>
              <w:jc w:val="left"/>
              <w:rPr>
                <w:rFonts w:ascii="仿宋_GB2312" w:eastAsia="仿宋_GB2312"/>
                <w:szCs w:val="21"/>
              </w:rPr>
            </w:pPr>
            <w:r>
              <w:rPr>
                <w:rFonts w:hint="eastAsia" w:ascii="仿宋_GB2312" w:eastAsia="仿宋_GB2312"/>
                <w:szCs w:val="21"/>
              </w:rPr>
              <w:t>本基金的基金资产将投资于全球主要证券市场，其中投资于与中国证监会签订了双边监管合作谅解备忘录国家或地区以外的其他国家或地区证券市场挂牌交易的证券资产的比例不超过基金资产净值的10%。</w:t>
            </w:r>
          </w:p>
          <w:p>
            <w:pPr>
              <w:ind w:firstLine="420"/>
              <w:jc w:val="left"/>
              <w:rPr>
                <w:rFonts w:ascii="仿宋_GB2312" w:eastAsia="仿宋_GB2312"/>
                <w:szCs w:val="21"/>
              </w:rPr>
            </w:pPr>
            <w:r>
              <w:rPr>
                <w:rFonts w:hint="eastAsia" w:ascii="仿宋_GB2312" w:eastAsia="仿宋_GB2312"/>
                <w:szCs w:val="21"/>
              </w:rPr>
              <w:t>如与中国证监会签订双边监管合作谅解备忘录的国家或地区增加、减少或变更，本基金投资的主要证券市场将相应调整。</w:t>
            </w:r>
          </w:p>
          <w:p>
            <w:pPr>
              <w:ind w:firstLine="420"/>
              <w:jc w:val="left"/>
              <w:rPr>
                <w:rFonts w:ascii="仿宋_GB2312" w:eastAsia="仿宋_GB2312"/>
                <w:szCs w:val="21"/>
              </w:rPr>
            </w:pPr>
            <w:r>
              <w:rPr>
                <w:rFonts w:hint="eastAsia" w:ascii="仿宋_GB2312" w:eastAsia="仿宋_GB2312"/>
                <w:szCs w:val="21"/>
              </w:rPr>
              <w:t>如法律法规或监管机构以后允许本基金投资其他品种，基金管理人在履行适当程序后，可以将其纳入投资范围。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是自上而下配置资产，通过对全球宏观经济和各经济体的基本面分析，在不同区域间进行有效资产配置，自下而上精选证券，挖掘定价合理、具备持续竞争优势的上市公司股票进行投资，并有效控制下行风险。</w:t>
            </w:r>
          </w:p>
          <w:p>
            <w:pPr>
              <w:ind w:firstLine="420"/>
              <w:jc w:val="left"/>
              <w:rPr>
                <w:rFonts w:ascii="仿宋_GB2312" w:eastAsia="仿宋_GB2312"/>
                <w:szCs w:val="21"/>
              </w:rPr>
            </w:pPr>
            <w:r>
              <w:rPr>
                <w:rFonts w:hint="eastAsia" w:ascii="仿宋_GB2312" w:eastAsia="仿宋_GB2312"/>
                <w:szCs w:val="21"/>
              </w:rPr>
              <w:t>1、资产的类别配置；2、资产的国家/地区配置；3、股票及公募基金的选择；4、债券投资；5、金融衍生品投资；6、制定阶段性投资策略。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70%×标准普尔全球大中盘指数(S&amp;P Global LargeMidCap Index)+30%×恒生指数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详见《交银施罗德环球精选价值证券投资基金招募说明书》“基金的投资”。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center"/>
        <w:rPr>
          <w:rFonts w:ascii="仿宋_GB2312" w:eastAsia="仿宋_GB2312"/>
          <w:b/>
          <w:szCs w:val="21"/>
        </w:rPr>
      </w:pPr>
      <w:r>
        <w:rPr>
          <w:rFonts w:ascii="宋体" w:hAnsi="宋体"/>
          <w:kern w:val="0"/>
        </w:rPr>
        <w:pict>
          <v:shape id="_x0000_i1026" o:spt="75" type="#_x0000_t75" style="height:249.75pt;width:41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注：1、国家（地区）类别根据其所在的证券交易所确定。 2、ADR、GDR按照存托凭证本身挂牌的证券交易所确定。3、由于四舍五入的原因，分项之和与合计项之间可能存在尾差。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7" o:spt="75" type="#_x0000_t75" style="height:159.75pt;width:499.5pt;" filled="f" o:preferrelative="t" stroked="f" coordsize="21600,21600">
            <v:path/>
            <v:fill on="f" focussize="0,0"/>
            <v:stroke on="f" joinstyle="miter"/>
            <v:imagedata r:id="rId6"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1.47%</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1、全球投资的特殊风险</w:t>
      </w:r>
    </w:p>
    <w:p>
      <w:pPr>
        <w:ind w:firstLine="420"/>
        <w:jc w:val="left"/>
        <w:rPr>
          <w:rFonts w:ascii="仿宋_GB2312" w:eastAsia="仿宋_GB2312"/>
          <w:szCs w:val="21"/>
        </w:rPr>
      </w:pPr>
      <w:r>
        <w:rPr>
          <w:rFonts w:hint="eastAsia" w:ascii="仿宋_GB2312" w:eastAsia="仿宋_GB2312"/>
          <w:szCs w:val="21"/>
        </w:rPr>
        <w:t>（1）海外市场风险、（2）汇率风险、（3）法律及政治管制风险、（4）政治风险、（5）境外上市公司经营风险、（6）新兴市场风险、（7）初级产品风险、（8）税务风险、（9）会计核算风险</w:t>
      </w:r>
    </w:p>
    <w:p>
      <w:pPr>
        <w:ind w:firstLine="420"/>
        <w:jc w:val="left"/>
        <w:rPr>
          <w:rFonts w:ascii="仿宋_GB2312" w:eastAsia="仿宋_GB2312"/>
          <w:szCs w:val="21"/>
        </w:rPr>
      </w:pPr>
      <w:r>
        <w:rPr>
          <w:rFonts w:hint="eastAsia" w:ascii="仿宋_GB2312" w:eastAsia="仿宋_GB2312"/>
          <w:szCs w:val="21"/>
        </w:rPr>
        <w:t>2、基金投资的一般风险</w:t>
      </w:r>
    </w:p>
    <w:p>
      <w:pPr>
        <w:ind w:firstLine="420"/>
        <w:jc w:val="left"/>
        <w:rPr>
          <w:rFonts w:ascii="仿宋_GB2312" w:eastAsia="仿宋_GB2312"/>
          <w:szCs w:val="21"/>
        </w:rPr>
      </w:pPr>
      <w:r>
        <w:rPr>
          <w:rFonts w:hint="eastAsia" w:ascii="仿宋_GB2312" w:eastAsia="仿宋_GB2312"/>
          <w:szCs w:val="21"/>
        </w:rPr>
        <w:t>（1）利率风险、（2）管理风险、（3）流动性风险、（4）信用风险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本基金为混合型基金，故股票持仓比例将维持较高水平。如果投资目标市场的股票市场出现整体下跌，本基金的净值表现将受到影响。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根据全球经济以及区域化经济发展、不同国家或地区经济体的宏观经济变化和经济增长情况，以及各证券市场的表现和全球资本的流动情况，挑选一些特定国家或地区的股票或基金作为重点投资对象，增加相应目标市场在资产组合中的配置，在选股策略上本基金特有的风险主要来自两个方面：一是“自上而下”资产配置和国家配置时是否准确、深入，二是对境外和香港上市企业的优选和判断是否科学、准确。国外投资市场宏观基本面研究及对境外和香港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（6）衍生品风险、（7）正回购/逆回购、（8）证券借贷、（9）操作风险、（10）其他风险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●《交银施罗德环球精选价值证券投资基金基金合同》、</w:t>
      </w:r>
    </w:p>
    <w:p>
      <w:pPr>
        <w:ind w:firstLine="420"/>
        <w:jc w:val="left"/>
        <w:rPr>
          <w:rFonts w:ascii="仿宋_GB2312" w:eastAsia="仿宋_GB2312"/>
          <w:szCs w:val="21"/>
        </w:rPr>
      </w:pPr>
      <w:r>
        <w:rPr>
          <w:rFonts w:hint="eastAsia" w:ascii="仿宋_GB2312" w:eastAsia="仿宋_GB2312"/>
          <w:szCs w:val="21"/>
        </w:rPr>
        <w:t>《交银施罗德环球精选价值证券投资基金托管协议》、</w:t>
      </w:r>
    </w:p>
    <w:p>
      <w:pPr>
        <w:ind w:firstLine="420"/>
        <w:jc w:val="left"/>
        <w:rPr>
          <w:rFonts w:ascii="仿宋_GB2312" w:eastAsia="仿宋_GB2312"/>
          <w:szCs w:val="21"/>
        </w:rPr>
      </w:pPr>
      <w:r>
        <w:rPr>
          <w:rFonts w:hint="eastAsia" w:ascii="仿宋_GB2312" w:eastAsia="仿宋_GB2312"/>
          <w:szCs w:val="21"/>
        </w:rPr>
        <w:t>《交银施罗德环球精选价值证券投资基金招募说明书》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0EF2"/>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6476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595</Words>
  <Characters>3397</Characters>
  <Lines>28</Lines>
  <Paragraphs>7</Paragraphs>
  <TotalTime>12</TotalTime>
  <ScaleCrop>false</ScaleCrop>
  <LinksUpToDate>false</LinksUpToDate>
  <CharactersWithSpaces>3985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2026-06-26T08:19:00Z</dcterms:created>
  <dc:creator>Cc</dc:creator>
  <cp:lastModifiedBy>haotingting</cp:lastModifiedBy>
  <dcterms:modified xsi:type="dcterms:W3CDTF">2026-06-30T02:05:11Z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F3BE26E0F9DE4A9D8618BD00CC661327</vt:lpwstr>
  </property>
</Properties>
</file>