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交银施罗德港股通优质精选混合型证券投资基金（A类份额）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交银港股通优质精选混合A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025298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中信证券股份有限公司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2025-09-23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陈舒薇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本基金主要投资于港股通标的股票，在合理控制风险的前提下，充分发挥专业的研究与管理能力，力争实现基金资产的长期稳健增值。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港股通标的股票、国内依法发行上市的股票（含主板、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中证港股通综合指数（人民币）收益率×80%+中债综合全价指数收益率×10%+人民币银行活期存款利率（税后）×10%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详见《交银施罗德港股通优质精选混合型证券投资基金招募说明书》“基金的投资”。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2、本基金合同于2025年9月23日生效，合同生效当年净值增长率按实际存续期计算。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股票投资（含存托凭证）占基金资产的比例为60%-95%，其中投资于港股通标的股票的比例不低于非现金基金资产的80%。本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（5）本基金投资于港股通标的股票，会面临港股通机制下因投资环境、投资标的、市场制度以及交易规则等差异带来的特有风险，具体如下：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w:t>
      </w:r>
    </w:p>
    <w:p>
      <w:pPr>
        <w:ind w:firstLine="420"/>
        <w:jc w:val="left"/>
        <w:rPr>
          <w:rFonts w:ascii="仿宋_GB2312" w:eastAsia="仿宋_GB2312"/>
          <w:szCs w:val="21"/>
        </w:rPr>
      </w:pPr>
      <w:r>
        <w:rPr>
          <w:rFonts w:hint="eastAsia" w:ascii="仿宋_GB2312" w:eastAsia="仿宋_GB2312"/>
          <w:szCs w:val="21"/>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ind w:firstLine="420"/>
        <w:jc w:val="left"/>
        <w:rPr>
          <w:rFonts w:ascii="仿宋_GB2312" w:eastAsia="仿宋_GB2312"/>
          <w:szCs w:val="21"/>
        </w:rPr>
      </w:pPr>
      <w:r>
        <w:rPr>
          <w:rFonts w:hint="eastAsia" w:ascii="仿宋_GB2312" w:eastAsia="仿宋_GB2312"/>
          <w:szCs w:val="21"/>
        </w:rPr>
        <w:t>2）汇率风险</w:t>
      </w:r>
    </w:p>
    <w:p>
      <w:pPr>
        <w:ind w:firstLine="420"/>
        <w:jc w:val="left"/>
        <w:rPr>
          <w:rFonts w:ascii="仿宋_GB2312" w:eastAsia="仿宋_GB2312"/>
          <w:szCs w:val="21"/>
        </w:rPr>
      </w:pPr>
      <w:r>
        <w:rPr>
          <w:rFonts w:hint="eastAsia" w:ascii="仿宋_GB2312" w:eastAsia="仿宋_GB2312"/>
          <w:szCs w:val="21"/>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ind w:firstLine="420"/>
        <w:jc w:val="left"/>
        <w:rPr>
          <w:rFonts w:ascii="仿宋_GB2312" w:eastAsia="仿宋_GB2312"/>
          <w:szCs w:val="21"/>
        </w:rPr>
      </w:pPr>
      <w:r>
        <w:rPr>
          <w:rFonts w:hint="eastAsia" w:ascii="仿宋_GB2312" w:eastAsia="仿宋_GB2312"/>
          <w:szCs w:val="21"/>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ind w:firstLine="420"/>
        <w:jc w:val="left"/>
        <w:rPr>
          <w:rFonts w:ascii="仿宋_GB2312" w:eastAsia="仿宋_GB2312"/>
          <w:szCs w:val="21"/>
        </w:rPr>
      </w:pPr>
      <w:r>
        <w:rPr>
          <w:rFonts w:hint="eastAsia" w:ascii="仿宋_GB2312" w:eastAsia="仿宋_GB2312"/>
          <w:szCs w:val="21"/>
        </w:rPr>
        <w:t>3）境外市场的风险</w:t>
      </w:r>
    </w:p>
    <w:p>
      <w:pPr>
        <w:ind w:firstLine="420"/>
        <w:jc w:val="left"/>
        <w:rPr>
          <w:rFonts w:ascii="仿宋_GB2312" w:eastAsia="仿宋_GB2312"/>
          <w:szCs w:val="21"/>
        </w:rPr>
      </w:pPr>
      <w:r>
        <w:rPr>
          <w:rFonts w:hint="eastAsia" w:ascii="仿宋_GB2312" w:eastAsia="仿宋_GB2312"/>
          <w:szCs w:val="21"/>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ind w:firstLine="420"/>
        <w:jc w:val="left"/>
        <w:rPr>
          <w:rFonts w:ascii="仿宋_GB2312" w:eastAsia="仿宋_GB2312"/>
          <w:szCs w:val="21"/>
        </w:rPr>
      </w:pPr>
      <w:r>
        <w:rPr>
          <w:rFonts w:hint="eastAsia" w:ascii="仿宋_GB2312" w:eastAsia="仿宋_GB2312"/>
          <w:szCs w:val="21"/>
        </w:rPr>
        <w:t>2.香港市场交易规则有别于内地A股市场规则，此外，在“内地与香港股票市场交易互联互通机制”下参与香港股票投资还将面临包括但不限于如下特殊风险：</w:t>
      </w:r>
    </w:p>
    <w:p>
      <w:pPr>
        <w:ind w:firstLine="420"/>
        <w:jc w:val="left"/>
        <w:rPr>
          <w:rFonts w:ascii="仿宋_GB2312" w:eastAsia="仿宋_GB2312"/>
          <w:szCs w:val="21"/>
        </w:rPr>
      </w:pPr>
      <w:r>
        <w:rPr>
          <w:rFonts w:hint="eastAsia" w:ascii="仿宋_GB2312" w:eastAsia="仿宋_GB2312"/>
          <w:szCs w:val="21"/>
        </w:rPr>
        <w:t>a）香港市场实行T+0回转交易机制（即当日买入的股票，在交收前可以于当日卖出），且证券交易价格并无涨跌幅上下限的规定，因此每日涨跌幅空间相对较大，可能表现出比A股更为剧烈的股价波动；</w:t>
      </w:r>
    </w:p>
    <w:p>
      <w:pPr>
        <w:ind w:firstLine="420"/>
        <w:jc w:val="left"/>
        <w:rPr>
          <w:rFonts w:ascii="仿宋_GB2312" w:eastAsia="仿宋_GB2312"/>
          <w:szCs w:val="21"/>
        </w:rPr>
      </w:pPr>
      <w:r>
        <w:rPr>
          <w:rFonts w:hint="eastAsia" w:ascii="仿宋_GB2312" w:eastAsia="仿宋_GB2312"/>
          <w:szCs w:val="21"/>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ind w:firstLine="420"/>
        <w:jc w:val="left"/>
        <w:rPr>
          <w:rFonts w:ascii="仿宋_GB2312" w:eastAsia="仿宋_GB2312"/>
          <w:szCs w:val="21"/>
        </w:rPr>
      </w:pPr>
      <w:r>
        <w:rPr>
          <w:rFonts w:hint="eastAsia" w:ascii="仿宋_GB2312" w:eastAsia="仿宋_GB2312"/>
          <w:szCs w:val="21"/>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ind w:firstLine="420"/>
        <w:jc w:val="left"/>
        <w:rPr>
          <w:rFonts w:ascii="仿宋_GB2312" w:eastAsia="仿宋_GB2312"/>
          <w:szCs w:val="21"/>
        </w:rPr>
      </w:pPr>
      <w:r>
        <w:rPr>
          <w:rFonts w:hint="eastAsia" w:ascii="仿宋_GB2312" w:eastAsia="仿宋_GB2312"/>
          <w:szCs w:val="21"/>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ind w:firstLine="420"/>
        <w:jc w:val="left"/>
        <w:rPr>
          <w:rFonts w:ascii="仿宋_GB2312" w:eastAsia="仿宋_GB2312"/>
          <w:szCs w:val="21"/>
        </w:rPr>
      </w:pPr>
      <w:r>
        <w:rPr>
          <w:rFonts w:hint="eastAsia" w:ascii="仿宋_GB2312" w:eastAsia="仿宋_GB2312"/>
          <w:szCs w:val="21"/>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●《交银施罗德港股通优质精选混合型证券投资基金基金合同》、</w:t>
      </w:r>
    </w:p>
    <w:p>
      <w:pPr>
        <w:ind w:firstLine="420"/>
        <w:jc w:val="left"/>
        <w:rPr>
          <w:rFonts w:ascii="仿宋_GB2312" w:eastAsia="仿宋_GB2312"/>
          <w:szCs w:val="21"/>
        </w:rPr>
      </w:pPr>
      <w:r>
        <w:rPr>
          <w:rFonts w:hint="eastAsia" w:ascii="仿宋_GB2312" w:eastAsia="仿宋_GB2312"/>
          <w:szCs w:val="21"/>
        </w:rPr>
        <w:t>《交银施罗德港股通优质精选混合型证券投资基金托管协议》、</w:t>
      </w:r>
    </w:p>
    <w:p>
      <w:pPr>
        <w:ind w:firstLine="420"/>
        <w:jc w:val="left"/>
        <w:rPr>
          <w:rFonts w:ascii="仿宋_GB2312" w:eastAsia="仿宋_GB2312"/>
          <w:szCs w:val="21"/>
        </w:rPr>
      </w:pPr>
      <w:r>
        <w:rPr>
          <w:rFonts w:hint="eastAsia" w:ascii="仿宋_GB2312" w:eastAsia="仿宋_GB2312"/>
          <w:szCs w:val="21"/>
        </w:rPr>
        <w:t>《交银施罗德港股通优质精选混合型证券投资基金招募说明书》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E2935"/>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1283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1002</Words>
  <Characters>5718</Characters>
  <Lines>47</Lines>
  <Paragraphs>13</Paragraphs>
  <TotalTime>0</TotalTime>
  <ScaleCrop>false</ScaleCrop>
  <LinksUpToDate>false</LinksUpToDate>
  <CharactersWithSpaces>6707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2026-06-23T08:21:00Z</dcterms:created>
  <dc:creator>Cc</dc:creator>
  <cp:lastModifiedBy>haotingting</cp:lastModifiedBy>
  <dcterms:modified xsi:type="dcterms:W3CDTF">2026-06-26T05:41:45Z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E68614F0CC0449D1B5378DA697A4CB86</vt:lpwstr>
  </property>
</Properties>
</file>