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交银施罗德蓝筹混合型证券投资基金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4408665"/>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蓝筹混合型证券投资基金由交银施罗德蓝筹股票证券投资基金变更而来，交银施罗德蓝筹股票证券投资基金经2007年7月13日中国证券监督管理委员会证监基金字【2007】205号文核准募集。其基金合同于2007年8月8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交银施罗德蓝筹股票证券投资基金募集的核准，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流动性风险，基金管理人在基金管理实施过程中产生的基金管理风险，本基金投资债券引发的信用风险，本基金投资策略所特有的风险，以及投资科创板股票的特定风险等等。本基金是一只混合型基金，其风险和预期收益高于债券型基金和货币市场基金，低于股票型基金。属于承担较高风险、预期收益较高的证券投资基金品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投资有风险，投资人在认（申）购本基金前应认真阅读本基金的招募说明书、基金合同、基金产品资料概要。过往业绩并不代表将来表现。基金管理人管理的其他基金的业绩并不构成对本基金业绩表现的保证。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本招募说明书所载内容截止日为2026年06月17日，有关财务数据和净值表现截止日为2026年03月31日，财务和业绩表现数据未经审计。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"_Toc234408665"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_Toc234408665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"_Toc234408666"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_Toc234408666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"_Toc234408667"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_Toc234408667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"_Toc234408668"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_Toc234408668 \h </w:instrText>
      </w:r>
      <w:r>
        <w:rPr>
          <w:rFonts w:ascii="宋体" w:hAnsi="宋体"/>
          <w:sz w:val="24"/>
        </w:rPr>
        <w:fldChar w:fldCharType="separate"/>
      </w:r>
      <w:r>
        <w:rPr>
          <w:rFonts w:ascii="宋体" w:hAnsi="宋体"/>
          <w:sz w:val="24"/>
        </w:rPr>
        <w:t>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"_Toc234408669"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_Toc234408669 \h </w:instrText>
      </w:r>
      <w:r>
        <w:rPr>
          <w:rFonts w:ascii="宋体" w:hAnsi="宋体"/>
          <w:sz w:val="24"/>
        </w:rPr>
        <w:fldChar w:fldCharType="separate"/>
      </w:r>
      <w:r>
        <w:rPr>
          <w:rFonts w:ascii="宋体" w:hAnsi="宋体"/>
          <w:sz w:val="24"/>
        </w:rPr>
        <w:t>16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"_Toc234408670"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_Toc234408670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"_Toc234408671" </w:instrText>
      </w:r>
      <w:r>
        <w:fldChar w:fldCharType="separate"/>
      </w:r>
      <w:r>
        <w:rPr>
          <w:rStyle w:val="18"/>
          <w:rFonts w:hint="eastAsia" w:ascii="宋体" w:hAnsi="宋体"/>
          <w:sz w:val="24"/>
        </w:rPr>
        <w:t>六、基金的历史沿革</w:t>
      </w:r>
      <w:r>
        <w:rPr>
          <w:rFonts w:ascii="宋体" w:hAnsi="宋体"/>
          <w:sz w:val="24"/>
        </w:rPr>
        <w:tab/>
      </w:r>
      <w:r>
        <w:rPr>
          <w:rFonts w:ascii="宋体" w:hAnsi="宋体"/>
          <w:sz w:val="24"/>
        </w:rPr>
        <w:fldChar w:fldCharType="begin"/>
      </w:r>
      <w:r>
        <w:rPr>
          <w:rFonts w:ascii="宋体" w:hAnsi="宋体"/>
          <w:sz w:val="24"/>
        </w:rPr>
        <w:instrText xml:space="preserve"> PAGEREF _Toc234408671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"_Toc234408672" </w:instrText>
      </w:r>
      <w:r>
        <w:fldChar w:fldCharType="separate"/>
      </w:r>
      <w:r>
        <w:rPr>
          <w:rStyle w:val="18"/>
          <w:rFonts w:hint="eastAsia" w:ascii="宋体" w:hAnsi="宋体"/>
          <w:sz w:val="24"/>
        </w:rPr>
        <w:t>七、基金的存续</w:t>
      </w:r>
      <w:r>
        <w:rPr>
          <w:rFonts w:ascii="宋体" w:hAnsi="宋体"/>
          <w:sz w:val="24"/>
        </w:rPr>
        <w:tab/>
      </w:r>
      <w:r>
        <w:rPr>
          <w:rFonts w:ascii="宋体" w:hAnsi="宋体"/>
          <w:sz w:val="24"/>
        </w:rPr>
        <w:fldChar w:fldCharType="begin"/>
      </w:r>
      <w:r>
        <w:rPr>
          <w:rFonts w:ascii="宋体" w:hAnsi="宋体"/>
          <w:sz w:val="24"/>
        </w:rPr>
        <w:instrText xml:space="preserve"> PAGEREF _Toc234408672 \h </w:instrText>
      </w:r>
      <w:r>
        <w:rPr>
          <w:rFonts w:ascii="宋体" w:hAnsi="宋体"/>
          <w:sz w:val="24"/>
        </w:rPr>
        <w:fldChar w:fldCharType="separate"/>
      </w:r>
      <w:r>
        <w:rPr>
          <w:rFonts w:ascii="宋体" w:hAnsi="宋体"/>
          <w:sz w:val="24"/>
        </w:rPr>
        <w:t>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"_Toc234408673"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_Toc234408673 \h </w:instrText>
      </w:r>
      <w:r>
        <w:rPr>
          <w:rFonts w:ascii="宋体" w:hAnsi="宋体"/>
          <w:sz w:val="24"/>
        </w:rPr>
        <w:fldChar w:fldCharType="separate"/>
      </w:r>
      <w:r>
        <w:rPr>
          <w:rFonts w:ascii="宋体" w:hAnsi="宋体"/>
          <w:sz w:val="24"/>
        </w:rPr>
        <w:t>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"_Toc234408674"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_Toc234408674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"_Toc234408675"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_Toc234408675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"_Toc234408676"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_Toc234408676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"_Toc234408677"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_Toc234408677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"_Toc234408678"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_Toc234408678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"_Toc234408679"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_Toc234408679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"_Toc234408680"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_Toc234408680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"_Toc234408681"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_Toc234408681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"_Toc234408682"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_Toc234408682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"_Toc234408683"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_Toc234408683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"_Toc234408684" </w:instrText>
      </w:r>
      <w:r>
        <w:fldChar w:fldCharType="separate"/>
      </w:r>
      <w:r>
        <w:rPr>
          <w:rStyle w:val="18"/>
          <w:rFonts w:hint="eastAsia" w:ascii="宋体" w:hAnsi="宋体"/>
          <w:sz w:val="24"/>
        </w:rPr>
        <w:t>十九、基金合同的终止与基金财产的清算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_Toc234408684 \h </w:instrText>
      </w:r>
      <w:r>
        <w:rPr>
          <w:rFonts w:ascii="宋体" w:hAnsi="宋体"/>
          <w:sz w:val="24"/>
        </w:rPr>
        <w:fldChar w:fldCharType="separate"/>
      </w:r>
      <w:r>
        <w:rPr>
          <w:rFonts w:ascii="宋体" w:hAnsi="宋体"/>
          <w:sz w:val="24"/>
        </w:rPr>
        <w:t>118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"_Toc234408685"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_Toc234408685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"_Toc234408686"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_Toc234408686 \h </w:instrText>
      </w:r>
      <w:r>
        <w:rPr>
          <w:rFonts w:ascii="宋体" w:hAnsi="宋体"/>
          <w:sz w:val="24"/>
        </w:rPr>
        <w:fldChar w:fldCharType="separate"/>
      </w:r>
      <w:r>
        <w:rPr>
          <w:rFonts w:ascii="宋体" w:hAnsi="宋体"/>
          <w:sz w:val="24"/>
        </w:rPr>
        <w:t>135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"_Toc234408687"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_Toc234408687 \h </w:instrText>
      </w:r>
      <w:r>
        <w:rPr>
          <w:rFonts w:ascii="宋体" w:hAnsi="宋体"/>
          <w:sz w:val="24"/>
        </w:rPr>
        <w:fldChar w:fldCharType="separate"/>
      </w:r>
      <w:r>
        <w:rPr>
          <w:rFonts w:ascii="宋体" w:hAnsi="宋体"/>
          <w:sz w:val="24"/>
        </w:rPr>
        <w:t>145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"_Toc234408688"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_Toc234408688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"_Toc234408689"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_Toc234408689 \h </w:instrText>
      </w:r>
      <w:r>
        <w:rPr>
          <w:rFonts w:ascii="宋体" w:hAnsi="宋体"/>
          <w:sz w:val="24"/>
        </w:rPr>
        <w:fldChar w:fldCharType="separate"/>
      </w:r>
      <w:r>
        <w:rPr>
          <w:rFonts w:ascii="宋体" w:hAnsi="宋体"/>
          <w:sz w:val="24"/>
        </w:rPr>
        <w:t>149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"_Toc234408690"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_Toc234408690 \h </w:instrText>
      </w:r>
      <w:r>
        <w:rPr>
          <w:rFonts w:ascii="宋体" w:hAnsi="宋体"/>
          <w:sz w:val="24"/>
        </w:rPr>
        <w:fldChar w:fldCharType="separate"/>
      </w:r>
      <w:r>
        <w:rPr>
          <w:rFonts w:ascii="宋体" w:hAnsi="宋体"/>
          <w:sz w:val="24"/>
        </w:rPr>
        <w:t>150</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408666"/>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蓝筹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408667"/>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指交银施罗德蓝筹混合型证券投资基金，本基金由交银施罗德蓝筹股票证券投资基金变更而来；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指中国建设银行股份有限公司；</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基金合同或本基金合同：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指《交银施罗德蓝筹混合型证券投资基金基金合同》及对本基金合同的任何有效修订和补充；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指基金管理人与基金托管人就本基金签订之《交银施罗德蓝筹混合型证券投资基金托管协议》及对该托管协议的任何有效修订和补充；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指《交银施罗德蓝筹混合型证券投资基金招募说明书》及其更新；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指本基金根据《运作办法》变更为混合型基金前的《指《交银施罗德蓝筹股票证券投资基金份额发售公告》；</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指《交银施罗德蓝筹混合型证券投资基金基金产品资料概要》及其更新；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指2005年10月27日经第十届全国人民代表大会常务委员会第十八次会议通过，自2006年1月1日实施的《中华人民共和国证券法》及颁布机关对其不时做出的修订；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指2003年10月28日经第十届全国人民代表大会常务委员会第五次会议通过，自2004年6月1日起实施的《中华人民共和国证券投资基金法》及颁布机关对其不时做出的修订；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指中国证监会2011年6月9日颁布、同年10月1日实施的《证券投资基金销售管理办法》及颁布机关对其不时做出的修订；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指中国证监会2019年7月26日颁布、同年9月1日实施的《公开募集证券投资基金信息披露管理办法》及颁布机关对其不时做出的修订；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指中国证监会2004年6月29日颁布、同年7月1日实施的《证券投资基金运作管理办法》及颁布机关对其不时做出的修订；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指中国证监会2017年8月31日颁布、同年10月1日实施的《公开募集开放式证券投资基金流动性风险管理规定》及颁布机关对其不时做出的修订；</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指中国人民银行和/或中国银行业监督管理委员会；</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指依据有关法律法规规定或经中国证监会核准可投资于证券投资基金的自然人；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指依法可以投资开放式证券投资基金的、在中华人民共和国境内合法注册登记并存续或经有关政府部门批准设立并存续的企业法人、事业法人、社会团体或其他组织；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指符合现实有效的相关法律法规规定可以投资于中国境内证券市场的中国境外的机构投资者；</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指个人投资者、机构投资者和合格境外机构投资者以及法律法规或中国证监会允许购买证券投资基金的其他投资人的合称；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指基金管理人或代销机构宣传推介基金，发售基金份额，办理基金份额的申购、赎回、转换、非交易过户、转托管及定期定额投资等业务；</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指符合《销售办法》和中国证监会规定的其他条件，取得基金代销业务资格并与基金管理人签订了基金销售服务代理协议，代为办理基金销售业务的机构；</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登记结算业务：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指基金登记、存管、过户、清算和结算业务，具体内容包括投资人基金账户的建立和管理、基金份额注册登记、基金销售业务的确认、清算和结算、代理发放红利、建立并保管基金份额持有人名册等；</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登记结算机构：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指办理登记结算业务的机构。基金的登记结算机构为交银施罗德基金管理有限公司或接受交银施罗德基金管理有限公司委托代为办理登记结算业务的机构；</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指登记结算机构为投资人开立的、记录其持有的、基金管理人所管理的基金份额余额及其变动情况的账户；</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指销售机构为投资人开立的、记录投资人通过该销售机构买卖本基金的基金份额变动及结余情况的账户；</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指自基金份额发售之日起至发售结束之日止的期间，最长不得超过3个月；</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日/天：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指销售机构在规定时间受理投资人申购、赎回或其他业务申请的工作日；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T+n日：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指自T日起第n个工作日(不包含T日)；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指《交银施罗德基金管理有限公司开放式基金业务规则》，是规范基金管理人所管理的开放式证券投资基金登记结算方面的业务规则，由基金管理人和投资人共同遵守；</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指在基金募集期内，投资人申请购买基金份额的行为；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指基金合同生效后，基金份额持有人按基金合同规定的条件要求将基金份额兑换为现金的行为；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基金管理人管理的、且由同一登记结算机构办理登记结算的其他基金基金份额的行为；</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指投资人通过向有关销售机构提交申请，约定每期申购日、扣款金额及扣款方式，由指定的销售机构在投资人指定资金账户内自动扣款并于每期约定申购日提交基金申购申请的一种投资方式；</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408668"/>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徐森洲先生:基金经理。上海财经大学经济学学士、硕士。12年证券投资行业从业经验。2014年加入交银施罗德基金管理有限公司，曾任交易员、研究部行业分析师。现任交银施罗德多策略回报灵活配置混合型证券投资基金(2025年01月09日至今)、交银施罗德成长混合型证券投资基金(2025年09月27日至今)、交银施罗德蓝筹混合型证券投资基金(2025年09月27日至今)、交银施罗德稳悦回报债券型证券投资基金(2026年02月04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李旭利先生(2007年08月08日至2009年05月26日)；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崔海峰先生(2008年09月01日至2010年06月03日)；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张媚钗女士(2010年06月04日至2014年10月21日)；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李德亮先生(2014年10月22日至2015年08月28日)；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陈孜铎先生(2014年10月22日至2019年01月28日)；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张迎军先生(2014年10月22日至2015年07月10日)；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王少成先生(2018年09月28日至2025年09月27日)。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（5）依照法律、行政法规有关规定，由中国证监会规定禁止的其他行为。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408669"/>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408670"/>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个人投资者可以通过本基金管理人网上直销交易平台办理开户、本基金的申购、赎回、转换及定期定额投资等业务，具体交易细则请参阅本基金管理人网站。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法定代表人：廖林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网址：www.icbc.com.cn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（4）名称：杭州银行股份有限公司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法定代表人：陈震山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电话：（0571）85108195、85120696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传真：（0571）86475527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联系人：严峻、夏帆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网址：www.hzbank.com.cn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（5）名称：华夏银行股份有限公司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法定代表人：李民吉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（6）名称：北京银行股份有限公司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（8）名称：广发银行股份有限公司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住所：广州市越秀区东风东路713号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法定代表人：杨明生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客户服务电话：800-830-8003，400-830-8003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（10）名称：江苏常熟农村商业银行股份有限公司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（18）名称：江苏银行股份有限公司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（19）名称：上海银行股份有限公司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法定代表人：金煜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电话：（021）68475888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传真：（021）68476111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客户服务电话：（021）962888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网址：www.bankofshanghai.com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（24）名称：东北证券股份有限公司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住所：长春市自由大路1138号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办公地址：长春市自由大路1138号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法定代表人：矫正中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电话：（0431）85096709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联系人：潘锴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客户服务电话：4006000686，（0431）85096733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网址：www.nesc.cn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（25）名称：中银国际证券股份有限公司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住所：上海市银城中路200号39层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办公地址：中国上海浦东银城中路200号中银大厦39-40层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客户服务电话：400-620-8888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网址：www.bocichina.com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（30）名称：中国民族证券有限责任公司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法定代表人：赵大建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客户服务电话：400-889-5618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网址：www.e5618.com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（39）名称：湘财证券股份有限公司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（45）名称：爱建证券有限责任公司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（50）名称：粤开证券股份有限公司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（67）名称：中航证券有限公司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（108）名称：上海基煜基金销售有限公司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（117）名称：中国人寿保险股份有限公司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（118）名称：中信期货有限公司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（119）名称：蚂蚁（杭州）基金销售有限公司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（120）名称：易方达财富管理基金销售（广州）有限公司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住所：广州市南沙区横沥镇期航二街2号101房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办公地址：广东省广州市天河区珠江东路30号广州银行大厦41楼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电话：020-85102688-7498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联系人：吕晋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客户服务电话：4001608888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网址：www.efundcf.com.cn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（121）名称：京东肯特瑞基金销售有限公司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（122）名称：上海陆金所基金销售有限公司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名称：上海源泰律师事务所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住所：上海浦东南路256号华夏银行大厦1405室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办公地址：上海浦东南路256号华夏银行大厦1405室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负责人：廖海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电话：（021）51150298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传真：（021）51150398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联系人：廖海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经办律师：梁丽金、刘佳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408671"/>
      <w:r>
        <w:rPr>
          <w:rFonts w:ascii="Times New Roman" w:hAnsi="Times New Roman"/>
          <w:sz w:val="30"/>
        </w:rPr>
        <w:t>六、基金的历史沿革</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蓝筹混合型证券投资基金由交银施罗德蓝筹股票证券投资基金变更而来，交银施罗德蓝筹股票证券投资基金由基金管理人依照《基金法》、《运作办法》、《销售办法》、基金合同及其他有关规定，并经2007年7月13日中国证监会证监基金字[2007]205号文批准募集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本基金于2007年8月1日进行发售。本基金设立募集期共募集11,743,885,724.35份基金份额，有效认购户数为902,239户。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蓝筹混合型证券投资基金，由《交银施罗德蓝筹股票型证券投资基金基金合同》修订而成的《交银施罗德蓝筹混合型证券投资基金基金合同》自该日起生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408672"/>
      <w:r>
        <w:rPr>
          <w:rFonts w:ascii="Times New Roman" w:hAnsi="Times New Roman"/>
          <w:sz w:val="30"/>
        </w:rPr>
        <w:t>七、基金的存续</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408673"/>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客户服务热线：400-700-5000（免长途话费），（021）61055000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个人投资者可以通过本基金管理人网上直销交易平台办理开户、本基金的申购、赎回、转换及定期定额投资等业务，具体交易细则请参阅本基金管理人网站。网上直销交易平台网址：www.fund001.com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本基金的代销机构的代销网点请见本招募说明书“五、相关服务机构”章节或拨打本公司客户服务电话进行咨询。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开放日是指为投资人办理基金申购、赎回等业务的证券交易所交易日（基金管理人根据法律法规或基金合同的规定公告暂停申购、赎回时除外）。代销网点在开放日的具体业务办理时间为上海证券交易所、深圳证券交易所交易日的交易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投资人在基金合同约定之外的日期和时间提出申购、赎回或转换申请的，其基金份额申购、赎回价格为下次办理基金份额申购、赎回时间所在开放日的价格。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本基金已于2007年9月10日开放日常申购业务。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本基金已于2007年9月10日起开放日常赎回业务。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（三）申购和赎回的原则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3、投资人申购基金份额时，必须全额交付申购款项，投资人交付款项后，申购申请方为有效；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5、当日的申购与赎回申请可以在基金管理人规定的时间以内撤销。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代销网点每个账户申购最低金额为单笔1 元，如果代销机构业务规则规定的最低单笔申购金额高于1元，以代销机构的规定为准。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网点每个账户首次申购的最低金额为单笔100万元，追加申购的最低金额为单笔10万元；已在直销网点有认购或申购过本基金管理人管理的任一基金（包括本基金）记录的投资人不受首次申购最低金额的限制。通过本公司网上直销交易平台办理基金申购业务的不受直销网点单笔申购最低金额的限制，申购最低金额为单笔1元。本基金直销网点单笔申购最低金额可由基金管理人酌情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投资人在提交赎回申请时，必须持有足够的基金份额余额，否则所提交的赎回申请无效而不予成交。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以交易时间结束前受理申购和赎回申请的当天作为申购或赎回申请日(T日)，正常情况下，本基金登记结算机构在T+1日内对该交易的有效性进行确认。T日提交的有效申请，投资人可在T+2日后（包括该日）到销售网点柜台或以销售机构规定的其他方式查询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4、申购和赎回基金份额的份额注册登记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投资人申购基金成功后，登记结算机构在T+1日为投资人登记权益并办理份额注册登记手续，投资人自T+2日（含该日）后有权赎回该部分基金份额。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投资人赎回基金成功后，登记结算机构在T+1日为投资人办理扣除权益的份额注册登记手续。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本基金提供两种申购费用的支付模式。投资人可以选择前端收费模式，即在申购时支付申购费用；也可以选择后端收费模式，即在赎回时才支付相应的申购费用，该费用随基金份额的持有时间递减。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本基金的申购费用由基金申购人承担，不列入基金财产，主要用于本基金的市场推广、销售、登记结算等各项费用。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后端申购费率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通过本公司直销柜台申购本基金前端基金份额的养老金客户特定申购费率如下表：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赎回费用由基金赎回人承担，赎回费用的25%归基金财产，其余用于支付登记结算费和其他必要的手续费。其中，对持续持有期少于7日的基金份额持有人收取不低于1.5%的赎回费并全额计入基金财产。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超过2年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根据法律法规及基金合同的规定调整申购费率和赎回费率，最新的申购费率和赎回费率在更新的招募说明书中列示。费率如发生变更，基金管理人最迟应于新的费率开始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份额余额的处理方式：申购的有效份额为按实际确认的申购金额在扣除相应的费用后，以申请当日基金份额净值为基准计算，四舍五入保留到小数点后两位，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（2）赎回金额的处理方式：赎回金额为按实际确认的有效赎回份额乘以申请当日基金份额净值并扣除相应的费用，四舍五入保留到小数点后两位，由此误差产生的收益或损失由基金财产承担。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申购可以采取前端收费模式和后端收费模式。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5" o:spt="75" type="#_x0000_t75" style="height:46.5pt;width:168.7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例一：某投资人投资4万元申购本基金，申购费率为1.5%，假设申购当日基金份额净值为1.0400元，如果其选择前端收费方式，则其可得到的申购份额为：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6" o:spt="75" type="#_x0000_t75" style="height:46.5pt;width:13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当投资人提出赎回时，后端认购费用的计算方法为：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后端申购费用＝赎回份额×申购日基金份额净值×后端申购费率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例二：某投资人投资4万元申购本基金，假设申购当日基金份额净值为1.0400元，如果其选择后端收费方式，则其可得到的申购份额为：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 ＝ 40,000 / 1.0400 ＝ 38,461.54份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即：投资人投资4万元申购本基金，假设申购当日基金份额净值为1.0400元，则可得到38,461.54份基金份额，但其在赎回时需根据其持有时间按对应的后端申购费率交纳后端申购费用。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（1）如果投资人在认（申）购时选择交纳前端认（申）购费用，则赎回金额的计算方法如下：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例三：某投资人赎回1万份基金份额，对应的赎回费率为0.5%，假设赎回当日基金份额净值是1.0160元，则其可得到的赎回金额为：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10,000×1.0160×0.5% ＝ 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10,000×1.0160-50.80 ＝ 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即：投资人赎回本基金1万份基金份额，假设赎回当日基金份额净值是1.0160元，则其可得到的赎回金额为10,109.20元。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（2）如果投资人在认（申）购时选择交纳后端认（申）购费用，则赎回金额的计算方法如下：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后端认（申）购费用＝赎回份额×认（申）购日基金份额净值×后端认（申）购费率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赎回金额＝赎回总额－后端认（申）购费用－赎回费用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例四：某投资人赎回1万份基金份额，对应的赎回费率为0.5%，假设赎回当日基金份额净值是1.0160元，投资人对应的后端申购费是1.8%，申购时的基金净值为1.0100元，则其可得到的赎回金额为：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赎回总额=10,000×1.0160=10,160元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后端申购费用=10,000×1.0100×1.8%=181.80元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赎回金额=10,160-181.80-50.80=9,927.40元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即：投资人赎回本基金1万份基金份额，对应的赎回费率为0.5%，假设赎回当日基金份额净值是1.0160元，投资人对应的后端申购费是1.8%，申购时的基金净值为1.0100元，则其可得到的赎回金额为9,927.40元。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基金份额净值＝基金资产净值总额/发行在外的基金份额总数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2、证券交易场所在交易时间非正常停市，导致基金管理人无法计算当日的基金资产净值；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6、基金财产规模过大，使基金管理人无法找到合适的投资品种，或其他可能对基金业绩产生负面影响，从而损害现有基金份额持有人的利益；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8、法律法规规定或中国证监会认定的其他可暂停申购的情形。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7项以外的暂停申购情形时，基金管理人应当根据《信息披露办法》的有关规定在指定媒介上刊登暂停申购公告。如果投资人的申购申请被拒绝，被拒绝的申购款项将全额退还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（九）暂停赎回或者延缓支付赎回款项的情形及处理方式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3、连续两个开放日巨额赎回；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开放日发生巨额赎回，延期支付最长不得超过正常支付时间20个工作日，并在指定媒介上公告。投资人在申请赎回时可事先选择将当日可能未获受理部分予以撤销。在暂停赎回的情况消除时，基金管理人应及时恢复赎回业务的办理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暂停基金的赎回，基金管理人应根据《信息披露办法》的有关规定及时在指定媒介上刊登暂停赎回公告。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内的基金净赎回申请份额（赎回申请份额总数加上基金转换中转出申请份额份额总数扣除申购申请份额总数及基金转换中转入申请份额总数后的余额）超过上一日基金总份额的10%时，即认为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正常支付时间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3、如发生暂停的时间超过1日但少于2周，暂停结束，基金重新开放申购或赎回时，基金管理人应提前2日在指定媒介上刊登基金重新开放申购或赎回公告，并公告最近1个开放日的基金份额净值。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如发生暂停的时间超过2周，暂停期间，基金管理人应每2周至少刊登暂停公告1次。暂停结束，基金重新开放申购或赎回时，基金管理人应提前2日在指定媒介上连续刊登基金重新开放申购或赎回公告，并公告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本基金目前实行份额托管的交易制度。基金份额持有人可办理已持有基金份额在不同销售机构之间的转托管。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2007年12月3日刊登公告自2007年12月3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（十四）定时不定额投资计划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自2009年2月26日起，投资者可通过中国工商银行股份有限公司的“基智定投”办理本基金的定时不定额投资业务。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合格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受理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基金登记结算机构只受理国家有权机关依法要求的基金份额的冻结与解冻，以及登记结算机构认可、符合法律法规的其他情况下的基金份额的冻结与解冻。</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408674"/>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本基金2007年12月11日刊登公告自2007年12月14日起开放日常转换业务。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408675"/>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 投资理念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本基金的投资理念是：在坚持一贯的价值投资理念基础上，通过专业化研究分析，对蓝筹股票进行精选和长期投资，通过长期价值投资为投资人提供稳定回报。该理念至少包含以下三方面的含义：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随着股权分置改革的逐步推进和国内股票市场的日趋完善成熟，一大批优质蓝筹上市公司回归A股市场，已经出现并不断涌现的蓝筹股票为长期价值投资理念在中国股票市场上的实践提供了广阔的空间和厚实的基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蓝筹股在盈利性、安全性、流动性等方面的优势为投资人实现资本长期稳健的增值提供了有效的工具：蓝筹股可以充分受益于国民经济的快速成长，在中长期盈利能力方面表现突出；蓝筹股一般管理规范，财务透明，实力雄厚，出现经营管理风险的概率低，有效地控制了投资风险，提高了安全性；蓝筹股市值庞大，成交相对活跃，进出相对方便，流动性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3、在上市公司盈利能力普遍提高和公司治理结构得到优化的前提下，越来越多的上市公司更加注重分红，选择分红稳定且红利优厚的蓝筹上市公司进行投资可以为投资人带来长期稳定持续的现金流。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一只蓝筹混合型基金，主要通过投资于业绩优良、发展稳定、在行业内占有支配性地位、分红稳定的蓝筹上市公司股票，在有效控制风险并保持基金资产良好流动性的前提下，追求在稳定分红的基础上实现基金资产的长期稳定增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如法律法规或监管机构以后允许基金投资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本基金的投资对象重点为业绩优良、发展稳定、在行业内占有支配性地位、分红稳定的蓝筹上市公司股票，满足上述条件的蓝筹股票占全部股票投资组合市值的比例不低于80%。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正常市场情况下，基金的投资组合比例为：股票资产（含存托凭证）占基金资产的60%-95%；债券、货币市场工具、现金、权证、资产支持证券以及法律法规或中国证监会允许基金投资的其他证券品种占基金资产的5%-40%（基金保留的现金以及投资于到期日在一年以内的政府债券的比例合计不低于基金资产净值的5%，其中现金不包括结算备付金、存出保证金、</w:t>
      </w:r>
      <w:bookmarkStart w:id="28" w:name="_GoBack"/>
      <w:bookmarkEnd w:id="28"/>
      <w:r>
        <w:rPr>
          <w:rFonts w:ascii="宋体" w:hAnsi="宋体"/>
          <w:sz w:val="24"/>
        </w:rPr>
        <w:t>应收申购款等）。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本基金的资产配置限制如下表所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表一：资产类别和配置比例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债券、货币市场工具、现金、权证、资产支持证券以及法律法规或中国证监会允许的其他证券品种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5-40%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本基金的整体业绩比较基准采用：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75%×中证100指数+25%×中证综合债券指数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本基金股票投资部分的业绩比较基准是中证100指数，债券投资部分的业绩比较基准是中证综合债券指数。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本基金采用中证100指数作为股票投资部分的业绩比较基准主要基于以下原因：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1.中证100指数从我国首个由官方推出的沪深两市统一指数——沪深300的样本股中挑选规模最大的100只股票组成样本股，以综合反映沪深证券市场中最具市场影响力的一批大市值公司的整体状况。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2.该指数科学地反应了我国资本市场上市公司市场变化水平，具有较高的权威性及市场代表性，投资者可以方便地从报纸、互联网等财经媒体中获取。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3.本基金的股票投资对象以蓝筹股为主，而这些股票通常都是中证100指数中重要的成分股，因此中证100指数是衡量本基金股票投资业绩的理想基准。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将视情况经与本基金托管人协商同意后调整本基金的业绩评价基准,并及时公告，但不需要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选股方法与积极主动的投资风格相结合，通过优选业绩优良、发展稳定、在行业内占有支配性地位、分红稳定的蓝筹上市公司股票进行投资，以谋求基金资产的长期稳定增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自上而下”的多因素分析决策支持系统，结合定性分析和定量分析，形成对不同市场的预测和判断，确定基金资产在股票、债券及货币市场工具等类别资产间的分配比例，并随着各类证券风险收益特征的相对变化，动态调整股票资产、债券资产和货币市场工具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2、行业配置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对经济周期、产业环境、产业政策和行业竞争格局的分析和预测，确定宏观及行业经济变量的变动对不同行业的潜在影响，得出各行业的相对投资价值与投资时机，并据此对基金股票投资资产的行业分布进行动态调整。一般而言，对于国民经济增长中的领头行业，受国家政策重点扶持的优势行业，以及受国内外宏观经济运行有利因素影响行业景气良好的行业，为本基金重点投资的行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具体而言，我们通过以下几方面的分析对行业进行配置来优化投资组合：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 宏观经济环境分析：通过对宏观经济数据如季度GDP增长率、每月CPI数据、M2增长速度、每月工业增加值增长速度等的跟踪研究，对宏观经济环境变动趋势进行预测分析，并对深入跟踪研究国家宏观政策和监管政策对市场和各个行业的影响，分析行业的发展环境，从而判断宏观经济周期对行业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 行业景气度分析：以全球化的视角对各个行业的发展趋势进行分析，判断行业发展前景，通过商业模式和竞争力的分析寻找优势行业，通过对行业主营业务收入、产品价格、毛利率的变化等数据进行分析，寻找财务稳健和景气度反转的行业作为投资的重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 行业估值和动量分析：通过对市场及各个行业估值水平PE、PB等数据的横向、纵向分析，进行估值比较，并跟踪各个行业的资金流向、分析师盈利预测指数、机构持仓特征等，进行行业轮动配置。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3、股票选择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本基金综合运用施罗德集团的股票研究分析方法和其它投资分析工具，挑选具有分红稳定特征的蓝筹上市公司股票构建股票投资组合。具体分以下三个层次进行：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筛选出在公司治理、财务及管理品质上符合基本品质要求的上市公司，构建备选股票池。主要筛选指标包括：盈利能力（如P/E、P/Cash Flow、P/FCF、P/S、P/EBIT等），经营效率（如ROE、ROA、Return on operating assets等）和财务状况（如D/A、流动比率等）等。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（2）蓝筹股优选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海外股票市场上，投资人把那些在其所属行业内占有重要支配性地位、业绩优良、成交活跃、红利优厚的大公司股票称为蓝筹股。借鉴海外股票市场蓝筹股票的基本特性，结合中国股票市场的实际情况，本基金根据下述定性和定量的标准从通过品质筛选构建的备选股票池中挑选中国的蓝筹上市公司构建蓝筹核心股票池，并对核心股票池按照风格划分为不同的风格股票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1）蓝筹核心股票池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①具备相当的规模：总市值排名位于整个A股市场的前30%之列，或者总市值排名位于在所属行业内的前25%之列（按照GICS行业分类标准进行行业划分）；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②在其所属行业内占有重要支配性地位，具有较大市场占有率、市场影响力和较高的品牌价值，其中主营业务收入排名位列所属行业前50%；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③公司具有质量优良的成长性，通过对控制企业盈利增长质量的指标（如ROIC–WACC、EVA等）进行评估，挑选EVA不断增长或改善的优质公司；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④公司治理结构良好，管理规范，信息透明；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⑤主营业务鲜明，盈利能力强，收入和利润稳定增长；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⑥成交相对活跃；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⑦分红稳定且具有较高的现金股息收益率。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2）蓝筹风格股票池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我们对蓝筹核心股票池进行风格划分：指标蓝筹、成长蓝筹和红利蓝筹。指标蓝筹选取总市值最大的股票；成长蓝筹选取每股收益持续增长且增长率高的企业；红利蓝筹选取连续分红且股息率高的企业。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根据上述蓝筹股选择标准，在定量指标筛选和定性指标评价的基础上，自下而上优选具有稳定分红特征的蓝筹股，并根据市场轮动特征在蓝筹风格池中进行风格配置。满足上述条件的蓝筹上市公司股票占全部股票投资组合市值的比例不低于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（3）多元化价值评估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对上述核心股票池中的蓝筹上市公司进行内在价值的评估，在明确的价值评估基础上选择定价相对合理且成长性可持续的投资标的。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5、权证投资策略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投资决策委员会领导下的基金经理负责制。投资决策委员会定期就投资管理业务的重大问题进行讨论。基金经理、分析师、交易员在投资管理过程中既密切合作，又责任明确，在各自职责内按照业务程序独立工作并合理地相互制衡。具体的投资管理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1、决策依据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（1）国家有关法律法规和基金合同的有关规定；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（2）宏观经济发展态势、证券市场运行环境和走势，以及上市公司的基本面，本基金将在对宏观经济和上市公司的基本面进行深入研究的基础上进行投资；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（3）投资对象的预期收益和预期风险的匹配关系，本基金将在承担适度风险的范围内，选择收益风险配比最佳的品种进行投资。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2、决策程序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（1）研究部策略分析师、股票分析师、固定收益产品分析师、定量分析师各自独立完成相应的研究报告，为投资策略提供依据；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（2）投资决策委员会每月召开投资策略会议，决定基金的资产配置比例和股票、债券的投资重点等；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（3）投资总监每周召集投资例会，根据投资决策委员会的决定，结合市场和公司基本面的变化，决定具体的投资策略；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具体的投资组合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（5）基金经理根据基金投资组合方案，向中央交易室下达交易指令；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（6）中央交易室执行基金经理的交易指令，对交易情况及时反馈；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（7）定量分析师负责完成有关投资风险监控报告及内部基金业绩评估报告。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投资决策委员会有权根据市场变化和实际情况的需要，对上述投资管理程序作出调整。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本基金投资组合遵循如下投资限制：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正常市场情况下，本基金的投资组合比例为：股票资产（含存托凭证）占基金资产的60%-95%；债券、货币市场工具、现金、权证、资产支持证券以及法律法规或中国证监会允许基金投资的其他证券品种占基金资产的5%-40%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13、保持不低于基金资产净值5%的现金或者到期日在一年以内的政府债券，其中现金不包括结算备付金、存出保证金、应收申购款等；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18、如果法律法规对本基金合同约定投资组合比例限制进行变更的，以变更后的规定为准。法律法规或监管部门取消上述限制，如适用于本基金，则本基金投资不再受相关限制。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13、15、16项外，因证券市场波动、上市公司合并、基金规模变动、股权分置改革中支付对价等基金管理人之外的因素致使基金投资比例不符合上述规定的投资比例的，基金管理人应当在10个交易日内进行调整，以达到上述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5、向其基金管理人、基金托管人出资或者买卖基金托管人、基金管理人发行的股票或债券；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6、买卖与其基金管理人、基金托管人有控股关系的股东或者与其基金管理人、基金托管人有其他重大利害关系的公司发行的证券或承销期内承销的证券；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8、法律法规、中国证监会及基金合同规定禁止的其他活动。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法律法规或监管部门取消上述禁止性规定，如适用于本基金，则本基金不受相关限制。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以优质蓝筹股为主要投资对象，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971,755,517.77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971,755,517.77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51,913,771.62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51,913,771.62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13,718,045.19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276,632.18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1,037,663,966.76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61,852,101.40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139,465,335.07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510,298,548.05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433.32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25,372,454.80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29,800,783.00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179,445,571.00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25,001,478.00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518,813.13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971,755,517.77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93.83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1,378,800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84,837,564.00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复旦微电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77,160,471.72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蓝思科技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2,061,600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57,683,568.00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中航沈飞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1,129,688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55,467,680.80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3,206,320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53,289,038.40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52,746,000.00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山东黄金</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1,273,140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51,243,885.00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817,100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46,435,793.00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1,248,300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37,049,544.00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561,700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31,893,326.00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11,299,459.29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40,614,312.33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40,614,312.33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51,913,771.62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25国开06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40,614,312.33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7,672,272.88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3,627,186.41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2025年09月30日,央行公示银罚决字[2025]66号行政处罚决定书,给予国家开发银行123万元人民币的行政处罚。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2025年07月25日,国家外汇管理局北京市分局公示京汇罚[2025]30号行政处罚决定书,给予国家开发银行罚没共计1394.42万元人民币的行政处罚。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229,280.61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47,351.57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276,632.18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408676"/>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71.61%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2007年度（自基金合同生效日起至2007年12月31日）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业绩比较基准自2015年10月1日起，由“75%×中证100指数+25%×中信全债指数”变更为“75%×中证100指数+25%×中证综合债券指数”，下图同。详情见本基金管理人于2015年9月28日发布的《交银施罗德基金管理有限公司关于旗下部分基金业绩比较基准变更并修改基金合同相关内容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交银施罗德蓝筹混合型证券投资基金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（2007年8月8日至2026年03月31日）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408677"/>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基金资产总值是指基金拥有的各类有价证券、银行存款本息、基金应收申购款以及其他资产的价值总和。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以基金名义开立银行存款账户，以基金托管人的名义开立证券交易清算资金的结算备付金账户，并以基金托管人和“交银施罗德蓝筹混合型证券投资基金”联名的方式开立基金证券账户，以“交银施罗德蓝筹混合型证券投资基金”的名义开立银行间债券托管账户并报中国人民银行备案。开立的基金专用账户与基金管理人、基金托管人、基金代销机构和基金登记结算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（四）基金财产的保管与处分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408678"/>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本基金按以下方式进行估值：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1）首次发行未上市的股票，按成本计量；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2）送股、转增股、配股和公开增发新股等发行未上市的股票，按估值日在证券交易所挂牌的同一股票的市价估值；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3）首次公开发行有明确锁定期的股票，同一股票在交易所上市后，按交易所上市的同一股票的市价估值；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4）非公开发行有明确锁定期的流通受限股票，按监管机构或行业协会有关规定确定公允价值；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市场未实行净价交易的债券按估值日收盘价减去债券收盘价中所含的应收利息(自债券计息起始日或上一起息日至估值当日的利息)得到的净价进行估值，估值日没有交易的，以最近交易日的收盘净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（3）发行未上市债券采用估值技术确定公允价值，在估值技术难以可靠计量公允价值的情况下，按成本进行后续计量；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（3）国家有最新规定的，按其规定进行估值。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本基金所拥有的股票、权证、债券和银行存款本息、应收款项、其它投资等资产。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1、基金份额净值是按照每个开放日闭市后，基金资产净值除以当日基金份额的余额数量计算，精确到0.0001元，小数点后第五位四舍五入。国家另有规定的，从其规定。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每个开放日计算基金资产净值及基金份额净值，并按规定公告。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基金管理人每个开放日对基金资产估值后，将基金份额净值结果发送基金托管人，经基金托管人复核无误后，由基金管理人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基金管理人和基金托管人将采取必要、适当、合理的措施确保基金资产估值的准确性、及时性。当基金份额净值小数点后4位以内(含第4位)发生差错时，视为基金份额净值错误。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（4）差错调整采用尽量恢复至假设未发生差错的正确情形的方式。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（7）按法律法规规定的其他原则处理差错。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3、差错处理程序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差错被发现后，有关的当事人应当及时进行处理，处理的程序如下：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（1）查明差错发生的原因，列明所有的当事人，并根据差错发生的原因确定差错的责任方；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（2）根据差错处理原则或当事人协商的方法对因差错造成的损失进行评估；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（3）根据差错处理原则或当事人协商的方法由差错的责任方进行更正和赔偿损失；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（4）根据差错处理的方法，需要修改基金登记结算机构交易数据的，由基金登记结算机构进行更正，并就差错的更正向有关当事人进行确认。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4、基金份额净值差错处理的原则和方法如下：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2、因不可抗力或其它情形致使基金管理人、基金托管人无法准确评估基金资产价值时；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4、当前一估值日基金资产净值50%以上的资产出现无可参考的活跃市场价格且采用估值技术仍导致公允价值存在重大不确定性时，经与基金托管人协商一致的，基金管理人应当暂停估值；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（九）特殊情况的处理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1、基金管理人或基金托管人按股票估值方法的第（4）项、债券估值方法的第（6）项或权证估值方法的第（2）项进行估值时，所造成的误差不作为基金资产估值错误处理。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及登记结算公司发送的数据错误，基金管理人和基金托管人虽然已经采取必要、适当、合理的措施进行检查，但未能发现错误的，由此造成的基金资产估值错误，基金管理人和基金托管人免除赔偿责任。但基金管理人应当积极采取必要的措施消除由此造成的影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408679"/>
      <w:r>
        <w:rPr>
          <w:rFonts w:ascii="Times New Roman" w:hAnsi="Times New Roman"/>
          <w:sz w:val="30"/>
        </w:rPr>
        <w:t>十四、基金的收益与分配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（一）基金收益的构成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1、买卖证券差价；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2、基金投资所得红利、股息、债券利息；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3、银行存款利息；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4、已实现的其他合法收入。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因运用基金财产带来的成本或费用的节约应计入收益。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（二）基金净收益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基金净收益为基金收益扣除按国家有关规定应在基金收益中扣除的费用后的余额。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1、本基金的每份基金份额享有同等分配权；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除息日的基金份额净值自动转为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3、本基金采用季度结算的收益分配机制：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（1）季度分红结算日：每季最后一个工作日作为每季分红结算日；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（2）分红前提：分红结算日基金份额净值超过1.00元，且基金产生可分配收益；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（3）分红比例：本基金进行收益分配，每次基金收益分配比例不低于已实现收益的80%；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4、本基金约定每季度结算收益,但并不保证每季度实现分红。在符合有关基金分红条件的前提下，基金收益分配每年不超过6次，年度收益分配比例不低于基金年度已实现收益的80%；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5、若基金合同生效不满3个月则可不进行收益分配；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收益分配方式分为两种：现金分红与红利再投资，投资人可选择现金红利或将现金红利按除息日的基金份额净值自动转为基金份额进行再投资；若投资人不选择，本基金默认的收益分配方式是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7、基金投资当期出现净亏损，则不进行收益分配；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8、基金当期收益应先弥补上期亏损后，方可进行当期收益分配；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9、法律法规或监管机构另有规定的从其规定。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基金收益分配方案中应载明基金收益分配对象、分配原则、分配时间、分配数额及比例、分配方式、支付方式等内容。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基金收益分配方案由基金管理人拟订，并由基金托管人复核，依照《信息披露办法》的有关规定在指定媒介上公告。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现金红利分配时所发生的银行转账或其他手续费用由投资人自行承担。当投资人的现金红利小于一定金额，不足于支付银行转账或其他手续费用时，基金登记结算机构可将投资人的现金红利按除息日的基金份额净值自动转为基金份额。红利再投资的计算方法，依照交银施罗德基金管理有限公司开放式基金有关业务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不同的交易账户可设置不同的收益分配方式。投资人同一日多次申报分红方式变更的，按照《业务规则》执行，最终确认的分红方式以注册登记机构记录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408680"/>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3、基金财产拨划支付的银行费用；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4、基金合同生效后的基金信息披露费用；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6、基金合同生效后与基金相关的会计师费和律师费；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8、在中国证监会规定允许的前提下，本基金可以从基金财产中计提销售服务费，具体计提方法、计提标准在招募说明书或相关公告中载明；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9、依法可以在基金财产中列支的其他费用。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本基金基金合同终止基金财产清算时所发生费用，按实际支出额从基金财产总值中扣除。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在通常情况下，基金管理费按前一日基金资产净值的1.20%的年费率计提。管理费的计算方法如下：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 = E×1.20%÷当年天数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H为每日应付的基金管理费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向基金托管人发送基金管理费划款指令，基金托管人复核后于次月前3个工作日内从基金财产中一次性支付给基金管理人。若遇法定节假日、公休假等，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在通常情况下，基金的托管费按前一日基金资产净值的0.20%的年费率计提。托管费的计算方法如下：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H为每日应支付的基金托管费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向基金托管人发送基金托管费划款指令，基金托管人复核后于次月前3个工作日内从基金财产中一次性支取。若遇法定节假日、公休假等，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（3）除管理费和托管费之外的基金费用由基金托管人根据其他有关法规及相应协议的规定，按费用实际支出金额支付，列入或摊入当期基金费用。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本基金转换费的费率水平、计算公式和收取方式详见“基金的转换”一章。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基金合同生效前所发生的信息披露费、会计师费、律师费及其他费用，不得从基金财产中列支。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（四）基金管理费和托管费的调整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协商调整基金管理费率、基金托管费率等相关费率或改变收费模式。降低基金管理费率、基金托管费率等相关费率或在不提高整体费率水平的情况下改变收费模式，此项调整不需要基金份额持有人大会决议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将来法律法规或监管机构许可本基金或本类型的基金采取持续性销售服务费模式，则本基金可依法引入持续性销售服务费收费模式；若引入该类收费模式，并没有增加现有基金份额持有人的费用负担，则无须召开基金份额持有人大会，法律法规或监管机构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基金和基金份额持有人根据国家法律法规的规定，履行纳税义务。</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408681"/>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3、本基金的会计核算以人民币为记账本位币，以人民币元为记账单位；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7、基金托管人定期与基金管理人就基金的会计核算、报表编制等进行核对并书面确认。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1、基金管理人聘请具有证券、期货相关业务资格的会计师事务所及其注册会计师对本基金的年度财务报表及其他规定事项进行审计。会计师事务所及其注册会计师与基金管理人、基金托管人相互独立。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2、会计师事务所更换经办注册会计师时，应事先征得基金管理人同意。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408682"/>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信息披露应符合《基金法》、《运作办法》、《信息披露办法》、《流动性规定》和基金合同的有关规定及其他有关规定。基金管理人、基金托管人和其他基金信息披露义务人应当以保护基金份额持有人利益为根本出发点，依法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招募说明书是基金向社会公开销售时对基金情况进行说明的法律文件。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1、《基金合同》生效后，在开始办理基金份额申购或者赎回前，基金管理人应当至少每周在指定网站披露一次基金份额净值和基金份额累计净值；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3、基金管理人应当在不晚于半年度和年度最后一日的次日，在指定网站披露半年度和年度最后一日的基金份额净值和基金份额累计净值。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(七)基金份额申购、赎回价格公告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(八)基金年度报告、基金中期报告、基金季度报告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(九)临时报告与公告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408683"/>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正常支付时间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本基金属于混合型基金，将维持较高的股票持仓比例。如果股票市场出现整体下跌，本基金的净值表现将受到影响。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投资于业绩优良、发展稳定、在行业内占有支配性地位、分红稳定的蓝筹上市公司股票，在选股策略上本基金特有的风险主要来自两个方面：一是对行业及上市公司的基本面研究是否准确、深入，二是对蓝筹上市企业的优选和判断是否科学、准确。基本面研究及蓝筹上市企业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408684"/>
      <w:r>
        <w:rPr>
          <w:rFonts w:ascii="Times New Roman" w:hAnsi="Times New Roman"/>
          <w:sz w:val="30"/>
        </w:rPr>
        <w:t>十九、基金合同的终止与基金财产的清算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有下列情形之一的，基金合同经中国证监会核准后将终止：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基金合同终止时，基金管理人应予公告并组织清算小组对基金财产进行清算。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（5）聘请律师事务所出具法律意见书；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（6）聘请会计师事务所对清算报告进行审计；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（7）将基金清算结果报告中国证监会；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（五）基金财产的清偿、分配顺序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基金财产按照下列顺序清偿和分配：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基金财产未按前款（1）、（2）、（3）项规定清偿前，不分配给基金份额持有人。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408685"/>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（一）基金合同当事人及权利义务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根据《基金法》及其他有关法律法规，基金管理人的权利为：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（1）自本基金合同生效之日起，依照有关法律法规和本基金合同的规定独立运用基金财产；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（2）依照基金合同获得基金管理费以及法律法规规定或监管部门批准的其他收入；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（4）依照有关规定行使因基金财产投资于证券所产生的权利；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（7）在基金合同约定的范围内，拒绝或暂停受理申购和赎回申请；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（9）自行担任或选择、更换登记结算机构，获取基金份额持有人名册，并对登记结算机构的代理行为进行必要的监督和检查；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（10）选择、更换代销机构，并依据销售代理协议和有关法律法规，对其行为进行必要的监督和检查；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（11）选择、更换律师、审计师、证券经纪商或其他为基金提供服务的外部机构；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根据《基金法》及其他有关法律法规，基金管理人的义务为：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（1）依法募集基金，办理或者委托经国务院证券监督管理机构认定的其他机构代为办理基金份额的发售、申购、赎回和登记事宜；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（3）自基金合同生效之日起，以诚实信用、勤勉尽责的原则管理和运用基金财产；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（10）按规定受理申购和赎回申请，及时、足额支付赎回款项；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（21）基金托管人违反基金合同造成基金财产损失时，应为基金份额持有人利益向基金托管人追偿；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（22）按规定向基金托管人提供基金份额持有人名册资料；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（25）不从事任何有损基金及其他基金当事人利益的活动；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（27）法律法规、国务院证券监督管理机构和基金合同规定的其他义务。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根据《基金法》及其他有关法律法规，基金托管人的权利为：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（1）依基金合同约定获得基金托管费以及法律法规规定或监管部门批准的其他收入；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（2）监督基金管理人对本基金的投资运作；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（3）自本基金合同生效之日起，依法保管基金资产；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（4）在基金管理人更换时，提名新任基金管理人；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（7）按规定取得基金份额持有人名册资料；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根据《基金法》及其他有关法律法规，基金托管人的义务为：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（9）保存基金托管业务活动的记录、账册、报表和其他相关资料；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（13）按照规定监督基金管理人的投资运作；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（16）按照规定召集基金份额持有人大会或配合基金份额持有人依法自行召集基金份额持有人大会；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（17）因违反基金合同导致基金财产损失，应承担赔偿责任，其赔偿责任不因其退任而免除；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（18）基金管理人因违反基金合同造成基金财产损失时，应为基金向基金管理人追偿；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（22）不从事任何有损基金及其他基金当事人利益的活动；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（24）法律法规、国务院证券监督管理机构和基金合同规定的其他义务。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根据《基金法》及其他有关法律法规，基金份额持有人的权利为：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（8）对基金管理人、基金托管人、基金份额发售机构损害其合法权益的行为依法提起诉讼；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根据《基金法》及其他有关法律法规，基金份额持有人的义务为：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（1）遵守法律法规、基金合同及其他有关规定；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（4）不从事任何有损基金及其他基金份额持有人合法权益的活动；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本基金合同当事各方的权利义务以本基金合同为依据，不因基金财产账户名称而有所改变。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1、基金份额持有人大会由基金份额持有人或基金份额持有人的合法授权代表共同组成。基金份额持有人持有的每一基金份额具有同等的投票权。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（1）调低基金管理费、基金托管费和其他应由基金承担的费用；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（4）对基金合同的修改不涉及本基金合同当事人权利义务关系发生变化；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（6）按照法律法规或本基金合同规定不需召开基金份额持有人大会的其他情形。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3、召集人和召集方式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天在指定媒介公告。基金份额持有人大会通知须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（1）会议召开的时间、地点和出席方式；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（2）会议拟审议的主要事项；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（5）有权出席基金份额持有人大会的基金份额持有人权益登记日；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（6）代理投票的授权委托书的内容要求（包括但不限于代理人身份、代理权限和代理有效期限等）、送达时间和地点；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（8）会务常设联系人姓名、电话；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1）基金份额持有人大会的召开方式包括现场开会和通讯方式开会。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3）通讯方式开会指按照本基金合同的相关规定以通讯的书面方式进行表决。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4）会议的召开方式由召集人确定，但决定基金管理人更换或基金托管人更换、终止基金合同的事宜必须以现场开会方式召开基金份额持有人大会。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（2）召开基金份额持有人大会的条件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在同时符合以下条件时，现场会议方可举行：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①召集人按本基金合同规定公布会议通知后，在2个工作日内连续公布相关提示性公告；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④本人直接出具书面意见或授权他人代表出具书面意见的基金份额持有人所代表的基金份额占权益登记日基金总份额的50%以上；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1）议事内容为本基金合同规定的召开基金份额持有人大会事由所涉及的内容。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3）对于基金份额持有人提交的提案，大会召集人应当按照以下原则对提案进行审核：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单独或合并持有权利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正机关监督下形成的决议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7、决议形成的条件、表决方式、程序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（1）基金份额持有人所持每一基金份额享有平等的表决权。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终止基金合同等重大事项必须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（3）基金份额持有人大会决定的事项，应当依法报中国证监会核准或者备案，并予以公告。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9、基金份额持有人大会决议报中国证监会核准或备案后的公告时间、方式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10、法律法规或监管部门对基金份额持有人大会另有规定的，从其规定。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7）提高基金管理人、基金托管人的报酬标准。但根据适用的相关规定提高该等报酬标准的除外；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1）调低基金管理费、基金托管费和其他应由基金承担的费用；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4）对基金合同的修改不涉及本基金合同当事人权利义务关系发生变化；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6）按照法律法规或本基金合同规定不需召开基金份额持有人大会的其他情形。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（2）关于变更基金合同的基金份额持有人大会决议应报中国证监会核准或备案，并于中国证监会核准或出具无异议意见后生效执行，并自生效之日起2日内在至少一种指定媒介公告。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有下列情形之一的，本基金合同经中国证监会核准后将终止：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1)基金合同终止时，成立基金财产清算组，基金财产清算组在中国证监会的监督下进行基金清算。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2)基金合同终止时，由基金财产清算组统一接管基金财产；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5)聘请律师事务所出具法律意见书；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6)聘请会计师事务所对清算报告进行审计；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7)将基金财产清算结果报告中国证监会；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（4）基金财产按下列顺序清偿：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（五）基金合同存放地和投资人取得基金合同的方式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408686"/>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法定代表人：田国立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根据本基金基金合同的规定，本基金的投资范围为具有良好流动性的金融工具，包括国内依法发行上市的股票（含存托凭证）、债券、货币市场工具、权证、资产支持证券以及法律法规或中国证监会允许基金投资的其他金融工具。如法律法规或监管机构以后允许基金投资的其它品种，基金管理人在履行适当程序后，可以将其纳入投资范围。本基金的投资对象重点为业绩优良、发展稳定、在行业内占有支配性地位、分红稳定的蓝筹上市公司股票，满足上述条件的蓝筹股票占全部股票投资组合市值的比例不低于80%。在正常市场情况下，基金的投资组合比例为：股票资产（含存托凭证）占基金资产的60%-95%；债券、货币市场工具、现金、权证、资产支持证券以及法律法规或中国证监会允许基金投资的其他证券品种占基金资产的5%-40%（基金保留的现金以及投资于到期日在一年以内的政府债券的比例合计不低于基金资产净值的5%，其中现金不包括结算备付金、存出保证金、应收申购款等）。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正常市场情况下，基金的投资组合比例为：股票资产（含存托凭证）占基金资产的60%-95%；债券、货币市场工具、现金、权证、资产支持证券以及法律法规或中国证监会允许基金投资的其他证券品种占基金资产的5%-40%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10）保持不低于基金资产净值5%的现金或者到期日在一年以内的政府债券，其中现金不包括结算备付金、存出保证金、应收申购款等；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如果法律法规对上述投资组合比例限制进行变更的，以变更后的规定为准。法律法规或监管部门取消上述限制，如适用于本基金，则本基金投资不再受相关限制。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10）、12）、13）项外，因证券市场波动、上市公司合并、基金规模变动、股权分置改革中支付对价等基金管理人之外的因素致使基金投资比例不符合上述规定投资比例的，基金管理人应当在10个交易日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流通受限证券，基金管理人应事先根据中国证监会相关规定，与基金托管人就相关事项签订补充协议，明确基金投资流通受限证券的比例。基金管理人应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（1）基金募集期间募集的资金应存于中国证券登记结算有限责任公司的基金募集专户。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4、基金证券账户和资金交收账户的开立和管理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资金交收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并遵守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定期存单等有价凭证由基金托管人存放于基金托管人的保管库，也可存入中央国债登记结算有限责任公司、中国证券登记结算有限责任公司上海分公司/深圳分公司或票据营业中心的代保管库，保管凭证由基金托管人持有。实物证券、银行存款定期存单等有价凭证的购买和转让，由基金管理人和基金托管人共同办理。基金托管人对由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在代表基金签署与基金财产有关的重大合同时应保证基金一方持有两份以上的正本，以便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上述重大合同包括基金合同和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基金份额净值是指基金资产净值除以基金份额总数，基金份额净值的计算，精确到0.0001元，小数点后第五位四舍五入，国家另有规定的，从其规定。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基金管理人每个工作日计算基金资产净值及基金份额净值，经基金托管人复核，按规定公告。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基金管理人每开放日对基金资产进行估值后，将基金份额净值结果发送基金托管人，经基金托管人复核无误后，由基金管理人对外公布。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408687"/>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1、每次交易结束后，投资者可在T+2个工作日后通过销售机构的网点查询和打印确认单。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408688"/>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交银施罗德基金管理有限公司关于交银施罗德蓝筹混合型证券投资基金基金经理变更公告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交银施罗德蓝筹混合型证券投资基金2026年第1季度报告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408689"/>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408690"/>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（一）中国证监会批准交银施罗德蓝筹股票证券投资基金募集的文件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（二）《交银施罗德蓝筹混合型证券投资基金基金合同》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（三）《交银施罗德蓝筹混合型证券投资基金托管协议》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（六）关于申请募集交银施罗德蓝筹股票证券投资基金之法律意见书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150</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交银施罗德蓝筹混合型证券投资基金招募说明书更新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交银施罗德蓝筹混合型证券投资基金招募说明书更新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交银施罗德蓝筹混合型证券投资基金招募说明书更新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4A00"/>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2DA"/>
    <w:rsid w:val="00A46981"/>
    <w:rsid w:val="00A50687"/>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D7650"/>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58894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151</Pages>
  <Words>15175</Words>
  <Characters>86498</Characters>
  <Lines>720</Lines>
  <Paragraphs>202</Paragraphs>
  <TotalTime>2</TotalTime>
  <ScaleCrop>false</ScaleCrop>
  <LinksUpToDate>false</LinksUpToDate>
  <CharactersWithSpaces>101471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2026-07-08T05:10:00Z</dcterms:created>
  <dc:creator>系统用户</dc:creator>
  <cp:lastModifiedBy>haotingting</cp:lastModifiedBy>
  <cp:lastPrinted>2013-02-18T03:10:00Z</cp:lastPrinted>
  <dcterms:modified xsi:type="dcterms:W3CDTF">2026-07-08T06:39:48Z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2F39A1920781487F9CC79F856CC6EE2E</vt:lpwstr>
  </property>
</Properties>
</file>