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交银施罗德品质升级混合型证券投资基金（C类份额）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2026-06-17</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2026-07-10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交银品质升级混合C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013882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2018-02-08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韩威俊</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2018-02-08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2005-07-01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60个工作日出现前述情形的，基金管理人应当向中国证监会报告并提出解决方案，如转换运作方式、与其他基金合并或者终止基金合同等，并召开基金份额持有人大会进行表决。</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本基金在有效控制投资风险的前提下，聚焦居民生活品质升级的方向和趋势，通过把握消费成长领域的投资机会，力争为基金份额持有人获得超越业绩比较基准的收益。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上市的股票、存托凭证)、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权证以及法律法规或中国证监会允许基金投资的其他金融工具(但须符合中国证监会相关规定)。如法律法规或监管机构以后允许基金投资其他品种，基金管理人在履行适当程序后，可以将其纳入投资范围。基金的投资组合比例为：股票资产（含存托凭证）占基金资产的50%-95%，投资于与品质升级主题相关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应收申购款等。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和债券研究分析基础上，自下而上精选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1、大类资产配置；2、股票投资策略；3、债券投资策略；4、权证投资策略；5、资产支持证券投资策略；6、股指期货投资策略。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沪深300指数收益率×60%+中证综合债券指数收益率×40%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详见《交银施罗德品质升级混合型证券投资基金招募说明书》“基金的投资”。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2、本基金自2021年10月29日起，开始销售C类份额，基金份额类别首次确认当年净值增长率按实际存续期计算。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30000.00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2.05%</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投资主题风险：本基金投资于品质升级主题相关证券的比例不低于非现金基金资产的80%，因此本基金的股票投资业绩与本基金界定的符合“品质升级”主题的上市公司发行证券的相关性较大，需承担相应风险。</w:t>
      </w:r>
    </w:p>
    <w:p>
      <w:pPr>
        <w:ind w:firstLine="420"/>
        <w:jc w:val="left"/>
        <w:rPr>
          <w:rFonts w:ascii="仿宋_GB2312" w:eastAsia="仿宋_GB2312"/>
          <w:szCs w:val="21"/>
        </w:rPr>
      </w:pPr>
      <w:r>
        <w:rPr>
          <w:rFonts w:hint="eastAsia" w:ascii="仿宋_GB2312" w:eastAsia="仿宋_GB2312"/>
          <w:szCs w:val="21"/>
        </w:rPr>
        <w:t>（3）本基金可投资创业板股票，创业板个股上市后的前五个交易日不设价格涨跌幅限制，第六个交易日开始涨跌幅限制比例为20%。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10、投资存托凭证的特定风险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11、本基金法律文件风险收益特征表述与销售机构基金风险评价可能不一致的风险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12、其他风险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●《交银施罗德品质升级混合型证券投资基金基金合同》、</w:t>
      </w:r>
    </w:p>
    <w:p>
      <w:pPr>
        <w:ind w:firstLine="420"/>
        <w:jc w:val="left"/>
        <w:rPr>
          <w:rFonts w:ascii="仿宋_GB2312" w:eastAsia="仿宋_GB2312"/>
          <w:szCs w:val="21"/>
        </w:rPr>
      </w:pPr>
      <w:r>
        <w:rPr>
          <w:rFonts w:hint="eastAsia" w:ascii="仿宋_GB2312" w:eastAsia="仿宋_GB2312"/>
          <w:szCs w:val="21"/>
        </w:rPr>
        <w:t>《交银施罗德品质升级混合型证券投资基金托管协议》、</w:t>
      </w:r>
    </w:p>
    <w:p>
      <w:pPr>
        <w:ind w:firstLine="420"/>
        <w:jc w:val="left"/>
        <w:rPr>
          <w:rFonts w:ascii="仿宋_GB2312" w:eastAsia="仿宋_GB2312"/>
          <w:szCs w:val="21"/>
        </w:rPr>
      </w:pPr>
      <w:r>
        <w:rPr>
          <w:rFonts w:hint="eastAsia" w:ascii="仿宋_GB2312" w:eastAsia="仿宋_GB2312"/>
          <w:szCs w:val="21"/>
        </w:rPr>
        <w:t>《交银施罗德品质升级混合型证券投资基金招募说明书》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6552D"/>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445D6E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qFormat/>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746</Words>
  <Characters>4253</Characters>
  <Lines>35</Lines>
  <Paragraphs>9</Paragraphs>
  <TotalTime>1</TotalTime>
  <ScaleCrop>false</ScaleCrop>
  <LinksUpToDate>false</LinksUpToDate>
  <CharactersWithSpaces>4990</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2026-06-23T08:17:00Z</dcterms:created>
  <dc:creator>Cc</dc:creator>
  <cp:lastModifiedBy>haotingting</cp:lastModifiedBy>
  <dcterms:modified xsi:type="dcterms:W3CDTF">2026-06-30T02:32:04Z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BBE4E33E9BFA44178D379C34CE1E3EEB</vt:lpwstr>
  </property>
</Properties>
</file>