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8749C">
      <w:pPr>
        <w:rPr>
          <w:sz w:val="32"/>
        </w:rPr>
      </w:pPr>
    </w:p>
    <w:p w:rsidR="00C92FC0" w:rsidRPr="00EB07BC" w:rsidRDefault="0008749C">
      <w:pPr>
        <w:rPr>
          <w:sz w:val="32"/>
        </w:rPr>
      </w:pPr>
    </w:p>
    <w:p w:rsidR="00C92FC0" w:rsidRPr="00EB07BC" w:rsidRDefault="0008749C">
      <w:pPr>
        <w:rPr>
          <w:sz w:val="32"/>
        </w:rPr>
      </w:pPr>
    </w:p>
    <w:p w:rsidR="00916FF6" w:rsidRDefault="00916F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6FF6" w:rsidRDefault="00916F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6FF6" w:rsidRDefault="00916F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6FF6" w:rsidRDefault="002E0D6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交银施罗德产业机遇混合型证券投资基金</w:t>
      </w:r>
    </w:p>
    <w:p w:rsidR="00916FF6" w:rsidRDefault="002E0D6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16FF6" w:rsidRDefault="00916FF6">
      <w:pPr>
        <w:snapToGrid w:val="0"/>
        <w:spacing w:line="360" w:lineRule="auto"/>
        <w:jc w:val="center"/>
        <w:rPr>
          <w:rFonts w:ascii="宋体" w:hAnsi="宋体"/>
          <w:b/>
          <w:sz w:val="30"/>
          <w:szCs w:val="30"/>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2E0D6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16FF6" w:rsidRDefault="002E0D6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916F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6FF6" w:rsidRDefault="002E0D6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916FF6" w:rsidRDefault="00916FF6">
      <w:pPr>
        <w:autoSpaceDE w:val="0"/>
        <w:autoSpaceDN w:val="0"/>
        <w:adjustRightInd w:val="0"/>
        <w:snapToGrid w:val="0"/>
        <w:spacing w:line="360" w:lineRule="auto"/>
        <w:ind w:left="1347" w:rightChars="6" w:right="13"/>
        <w:rPr>
          <w:rFonts w:ascii="宋体" w:hAnsi="宋体"/>
          <w:kern w:val="0"/>
          <w:sz w:val="32"/>
          <w:szCs w:val="32"/>
        </w:rPr>
        <w:sectPr w:rsidR="00916FF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16FF6" w:rsidRDefault="002E0D66">
      <w:pPr>
        <w:pStyle w:val="1"/>
        <w:snapToGrid w:val="0"/>
        <w:spacing w:beforeLines="0" w:before="240" w:after="240"/>
        <w:rPr>
          <w:rFonts w:ascii="宋体" w:hAnsi="宋体"/>
          <w:kern w:val="0"/>
        </w:rPr>
      </w:pPr>
      <w:bookmarkStart w:id="0" w:name="_Toc324920538"/>
      <w:bookmarkStart w:id="1" w:name="_Toc496884613"/>
      <w:bookmarkStart w:id="2" w:name="_Toc234327903"/>
      <w:r>
        <w:rPr>
          <w:rFonts w:ascii="Times New Roman" w:hAnsi="Times New Roman"/>
          <w:kern w:val="0"/>
        </w:rPr>
        <w:lastRenderedPageBreak/>
        <w:t>重要提示</w:t>
      </w:r>
      <w:bookmarkEnd w:id="0"/>
      <w:bookmarkEnd w:id="1"/>
      <w:bookmarkEnd w:id="2"/>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交银施罗德产业机遇混合型证券投资基金（以下简称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1814</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日正式生效。</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w:t>
      </w:r>
      <w:r>
        <w:rPr>
          <w:rFonts w:ascii="Times New Roman" w:hAnsi="Times New Roman"/>
          <w:kern w:val="0"/>
          <w:sz w:val="24"/>
        </w:rPr>
        <w:lastRenderedPageBreak/>
        <w:t>净值变化引致的投资风险，由投资者自行负责。</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916FF6" w:rsidRDefault="002E0D6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916FF6" w:rsidRDefault="00916FF6">
      <w:pPr>
        <w:autoSpaceDE w:val="0"/>
        <w:autoSpaceDN w:val="0"/>
        <w:adjustRightInd w:val="0"/>
        <w:snapToGrid w:val="0"/>
        <w:spacing w:before="51" w:line="360" w:lineRule="auto"/>
        <w:ind w:left="120" w:rightChars="6" w:right="13" w:firstLine="480"/>
        <w:rPr>
          <w:rFonts w:ascii="宋体" w:hAnsi="宋体"/>
          <w:kern w:val="0"/>
          <w:szCs w:val="24"/>
        </w:rPr>
        <w:sectPr w:rsidR="00916FF6">
          <w:headerReference w:type="default" r:id="rId14"/>
          <w:pgSz w:w="11920" w:h="16840"/>
          <w:pgMar w:top="1440" w:right="1680" w:bottom="280" w:left="1680" w:header="0" w:footer="1073" w:gutter="0"/>
          <w:pgNumType w:start="1"/>
          <w:cols w:space="720"/>
        </w:sectPr>
      </w:pPr>
    </w:p>
    <w:p w:rsidR="0008749C" w:rsidRPr="0008749C" w:rsidRDefault="002E0D66" w:rsidP="0008749C">
      <w:pPr>
        <w:pStyle w:val="ad"/>
        <w:snapToGrid w:val="0"/>
        <w:spacing w:after="240" w:line="360" w:lineRule="auto"/>
        <w:jc w:val="center"/>
        <w:rPr>
          <w:rFonts w:ascii="宋体" w:hAnsi="宋体"/>
          <w:noProof/>
          <w:sz w:val="24"/>
        </w:rPr>
      </w:pPr>
      <w:r w:rsidRPr="0008749C">
        <w:rPr>
          <w:rFonts w:ascii="宋体" w:hAnsi="宋体"/>
          <w:color w:val="000000"/>
          <w:position w:val="-4"/>
          <w:sz w:val="24"/>
          <w:szCs w:val="30"/>
        </w:rPr>
        <w:lastRenderedPageBreak/>
        <w:t>目</w:t>
      </w:r>
      <w:r w:rsidRPr="0008749C">
        <w:rPr>
          <w:rFonts w:ascii="宋体" w:hAnsi="宋体"/>
          <w:color w:val="000000"/>
          <w:position w:val="-4"/>
          <w:sz w:val="24"/>
          <w:szCs w:val="30"/>
        </w:rPr>
        <w:tab/>
        <w:t>录</w:t>
      </w:r>
      <w:r w:rsidR="0008749C" w:rsidRPr="0008749C">
        <w:rPr>
          <w:rFonts w:ascii="宋体" w:hAnsi="宋体"/>
          <w:color w:val="000000"/>
          <w:position w:val="-4"/>
          <w:sz w:val="24"/>
          <w:szCs w:val="30"/>
        </w:rPr>
        <w:fldChar w:fldCharType="begin"/>
      </w:r>
      <w:r w:rsidR="0008749C" w:rsidRPr="0008749C">
        <w:rPr>
          <w:rFonts w:ascii="宋体" w:hAnsi="宋体"/>
          <w:color w:val="000000"/>
          <w:position w:val="-4"/>
          <w:sz w:val="24"/>
          <w:szCs w:val="30"/>
        </w:rPr>
        <w:instrText xml:space="preserve"> TOC \o "1-3" \f - \h \t "-1" </w:instrText>
      </w:r>
      <w:r w:rsidR="0008749C" w:rsidRPr="0008749C">
        <w:rPr>
          <w:rFonts w:ascii="宋体" w:hAnsi="宋体"/>
          <w:color w:val="000000"/>
          <w:position w:val="-4"/>
          <w:sz w:val="24"/>
          <w:szCs w:val="30"/>
        </w:rPr>
        <w:fldChar w:fldCharType="separate"/>
      </w:r>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3" w:history="1">
        <w:r w:rsidRPr="0008749C">
          <w:rPr>
            <w:rStyle w:val="aa"/>
            <w:rFonts w:ascii="宋体" w:hAnsi="宋体" w:hint="eastAsia"/>
            <w:noProof/>
            <w:kern w:val="0"/>
            <w:sz w:val="24"/>
          </w:rPr>
          <w:t>重要提示</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_Toc234327903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4" w:history="1">
        <w:r w:rsidRPr="0008749C">
          <w:rPr>
            <w:rStyle w:val="aa"/>
            <w:rFonts w:ascii="宋体" w:hAnsi="宋体" w:hint="eastAsia"/>
            <w:noProof/>
            <w:sz w:val="24"/>
          </w:rPr>
          <w:t>一、绪言</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_Toc234327904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5</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5" w:history="1">
        <w:r w:rsidRPr="0008749C">
          <w:rPr>
            <w:rStyle w:val="aa"/>
            <w:rFonts w:ascii="宋体" w:hAnsi="宋体" w:hint="eastAsia"/>
            <w:noProof/>
            <w:sz w:val="24"/>
          </w:rPr>
          <w:t>二、释义</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_Toc234327905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6</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6" w:history="1">
        <w:r w:rsidRPr="0008749C">
          <w:rPr>
            <w:rStyle w:val="aa"/>
            <w:rFonts w:ascii="宋体" w:hAnsi="宋体" w:hint="eastAsia"/>
            <w:noProof/>
            <w:sz w:val="24"/>
          </w:rPr>
          <w:t>三、基金管理人</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_Toc234327906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7" w:history="1">
        <w:r w:rsidRPr="0008749C">
          <w:rPr>
            <w:rStyle w:val="aa"/>
            <w:rFonts w:ascii="宋体" w:hAnsi="宋体" w:hint="eastAsia"/>
            <w:noProof/>
            <w:sz w:val="24"/>
          </w:rPr>
          <w:t>四、基金托管人</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_Toc234327907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18</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8" w:history="1">
        <w:r w:rsidRPr="0008749C">
          <w:rPr>
            <w:rStyle w:val="aa"/>
            <w:rFonts w:ascii="宋体" w:hAnsi="宋体" w:hint="eastAsia"/>
            <w:noProof/>
            <w:sz w:val="24"/>
          </w:rPr>
          <w:t>五、相关服务机构</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_Toc234327908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25</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09" w:history="1">
        <w:r w:rsidRPr="0008749C">
          <w:rPr>
            <w:rStyle w:val="aa"/>
            <w:rFonts w:ascii="宋体" w:hAnsi="宋体" w:hint="eastAsia"/>
            <w:noProof/>
            <w:sz w:val="24"/>
          </w:rPr>
          <w:t>六、基金的募集</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_Toc234327909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51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0" w:history="1">
        <w:r w:rsidRPr="0008749C">
          <w:rPr>
            <w:rStyle w:val="aa"/>
            <w:rFonts w:ascii="宋体" w:hAnsi="宋体" w:hint="eastAsia"/>
            <w:noProof/>
            <w:sz w:val="24"/>
          </w:rPr>
          <w:t>七、基金合同的生效</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_Toc234327910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52</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1" w:history="1">
        <w:r w:rsidRPr="0008749C">
          <w:rPr>
            <w:rStyle w:val="aa"/>
            <w:rFonts w:ascii="宋体" w:hAnsi="宋体" w:hint="eastAsia"/>
            <w:noProof/>
            <w:sz w:val="24"/>
          </w:rPr>
          <w:t>八、基金份额的申购与赎回</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_Toc234327911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53</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2" w:history="1">
        <w:r w:rsidRPr="0008749C">
          <w:rPr>
            <w:rStyle w:val="aa"/>
            <w:rFonts w:ascii="宋体" w:hAnsi="宋体" w:hint="eastAsia"/>
            <w:noProof/>
            <w:sz w:val="24"/>
          </w:rPr>
          <w:t>九、基金的转换</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_Toc234327912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65</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3" w:history="1">
        <w:r w:rsidRPr="0008749C">
          <w:rPr>
            <w:rStyle w:val="aa"/>
            <w:rFonts w:ascii="宋体" w:hAnsi="宋体" w:hint="eastAsia"/>
            <w:noProof/>
            <w:sz w:val="24"/>
          </w:rPr>
          <w:t>十、基金的投资</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_Toc234327913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72</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4" w:history="1">
        <w:r w:rsidRPr="0008749C">
          <w:rPr>
            <w:rStyle w:val="aa"/>
            <w:rFonts w:ascii="宋体" w:hAnsi="宋体" w:hint="eastAsia"/>
            <w:noProof/>
            <w:sz w:val="24"/>
          </w:rPr>
          <w:t>十一、基金的业绩</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_Toc234327914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85</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5" w:history="1">
        <w:r w:rsidRPr="0008749C">
          <w:rPr>
            <w:rStyle w:val="aa"/>
            <w:rFonts w:ascii="宋体" w:hAnsi="宋体" w:hint="eastAsia"/>
            <w:noProof/>
            <w:sz w:val="24"/>
          </w:rPr>
          <w:t>十二、基金的财产</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_Toc234327915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87</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6" w:history="1">
        <w:r w:rsidRPr="0008749C">
          <w:rPr>
            <w:rStyle w:val="aa"/>
            <w:rFonts w:ascii="宋体" w:hAnsi="宋体" w:hint="eastAsia"/>
            <w:noProof/>
            <w:sz w:val="24"/>
          </w:rPr>
          <w:t>十三、基金资产的估值</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_Toc234327916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88</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7" w:history="1">
        <w:r w:rsidRPr="0008749C">
          <w:rPr>
            <w:rStyle w:val="aa"/>
            <w:rFonts w:ascii="宋体" w:hAnsi="宋体" w:hint="eastAsia"/>
            <w:noProof/>
            <w:sz w:val="24"/>
          </w:rPr>
          <w:t>十四、基金收益与分配</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_Toc234327917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95</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8" w:history="1">
        <w:r w:rsidRPr="0008749C">
          <w:rPr>
            <w:rStyle w:val="aa"/>
            <w:rFonts w:ascii="宋体" w:hAnsi="宋体" w:hint="eastAsia"/>
            <w:noProof/>
            <w:sz w:val="24"/>
          </w:rPr>
          <w:t>十五、基金的费用与税收</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_Toc234327918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97</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19" w:history="1">
        <w:r w:rsidRPr="0008749C">
          <w:rPr>
            <w:rStyle w:val="aa"/>
            <w:rFonts w:ascii="宋体" w:hAnsi="宋体" w:hint="eastAsia"/>
            <w:noProof/>
            <w:sz w:val="24"/>
          </w:rPr>
          <w:t>十六、基金的会计与审计</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_Toc234327919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100</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0" w:history="1">
        <w:r w:rsidRPr="0008749C">
          <w:rPr>
            <w:rStyle w:val="aa"/>
            <w:rFonts w:ascii="宋体" w:hAnsi="宋体" w:hint="eastAsia"/>
            <w:noProof/>
            <w:sz w:val="24"/>
          </w:rPr>
          <w:t>十七、基金的信息披露</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_Toc234327920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101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1" w:history="1">
        <w:r w:rsidRPr="0008749C">
          <w:rPr>
            <w:rStyle w:val="aa"/>
            <w:rFonts w:ascii="宋体" w:hAnsi="宋体" w:hint="eastAsia"/>
            <w:noProof/>
            <w:sz w:val="24"/>
          </w:rPr>
          <w:t>十八、侧袋机制</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_Toc234327921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108</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2" w:history="1">
        <w:r w:rsidRPr="0008749C">
          <w:rPr>
            <w:rStyle w:val="aa"/>
            <w:rFonts w:ascii="宋体" w:hAnsi="宋体" w:hint="eastAsia"/>
            <w:noProof/>
            <w:sz w:val="24"/>
          </w:rPr>
          <w:t>十九、风险揭示</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_Toc234327922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111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3" w:history="1">
        <w:r w:rsidRPr="0008749C">
          <w:rPr>
            <w:rStyle w:val="aa"/>
            <w:rFonts w:ascii="宋体" w:hAnsi="宋体" w:hint="eastAsia"/>
            <w:noProof/>
            <w:sz w:val="24"/>
          </w:rPr>
          <w:t>二十、基金合同的变更、终止与基金财产的清算</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_Toc234327923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121</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4" w:history="1">
        <w:r w:rsidRPr="0008749C">
          <w:rPr>
            <w:rStyle w:val="aa"/>
            <w:rFonts w:ascii="宋体" w:hAnsi="宋体" w:hint="eastAsia"/>
            <w:noProof/>
            <w:sz w:val="24"/>
          </w:rPr>
          <w:t>二十一、基金合同内容摘要</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_Toc234327924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123</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5" w:history="1">
        <w:r w:rsidRPr="0008749C">
          <w:rPr>
            <w:rStyle w:val="aa"/>
            <w:rFonts w:ascii="宋体" w:hAnsi="宋体" w:hint="eastAsia"/>
            <w:noProof/>
            <w:sz w:val="24"/>
          </w:rPr>
          <w:t>二十二、托管协议的内容摘要</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_Toc234327925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140</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6" w:history="1">
        <w:r w:rsidRPr="0008749C">
          <w:rPr>
            <w:rStyle w:val="aa"/>
            <w:rFonts w:ascii="宋体" w:hAnsi="宋体" w:hint="eastAsia"/>
            <w:noProof/>
            <w:sz w:val="24"/>
          </w:rPr>
          <w:t>二十三、对基金份额持有人的服务</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_Toc234327926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158</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7" w:history="1">
        <w:r w:rsidRPr="0008749C">
          <w:rPr>
            <w:rStyle w:val="aa"/>
            <w:rFonts w:ascii="宋体" w:hAnsi="宋体" w:hint="eastAsia"/>
            <w:noProof/>
            <w:sz w:val="24"/>
          </w:rPr>
          <w:t>二十四、其他应披露事项</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_Toc234327927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160</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8" w:history="1">
        <w:r w:rsidRPr="0008749C">
          <w:rPr>
            <w:rStyle w:val="aa"/>
            <w:rFonts w:ascii="宋体" w:hAnsi="宋体" w:hint="eastAsia"/>
            <w:noProof/>
            <w:sz w:val="24"/>
          </w:rPr>
          <w:t>二十五、招募说明书的存放及查阅方式</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_Toc234327928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162</w:t>
        </w:r>
        <w:r w:rsidRPr="0008749C">
          <w:rPr>
            <w:rFonts w:ascii="宋体" w:hAnsi="宋体"/>
            <w:noProof/>
            <w:sz w:val="24"/>
          </w:rPr>
          <w:fldChar w:fldCharType="end"/>
        </w:r>
      </w:hyperlink>
    </w:p>
    <w:p w:rsidR="0008749C" w:rsidRPr="0008749C" w:rsidRDefault="0008749C" w:rsidP="0008749C">
      <w:pPr>
        <w:pStyle w:val="10"/>
        <w:tabs>
          <w:tab w:val="right" w:leader="dot" w:pos="8550"/>
        </w:tabs>
        <w:spacing w:line="360" w:lineRule="auto"/>
        <w:rPr>
          <w:rFonts w:ascii="宋体" w:hAnsi="宋体" w:cstheme="minorBidi"/>
          <w:noProof/>
          <w:sz w:val="24"/>
        </w:rPr>
      </w:pPr>
      <w:hyperlink w:anchor="_Toc234327929" w:history="1">
        <w:r w:rsidRPr="0008749C">
          <w:rPr>
            <w:rStyle w:val="aa"/>
            <w:rFonts w:ascii="宋体" w:hAnsi="宋体" w:hint="eastAsia"/>
            <w:noProof/>
            <w:sz w:val="24"/>
          </w:rPr>
          <w:t>二十六、备查文件</w:t>
        </w:r>
        <w:r w:rsidRPr="0008749C">
          <w:rPr>
            <w:rFonts w:ascii="宋体" w:hAnsi="宋体"/>
            <w:noProof/>
            <w:sz w:val="24"/>
          </w:rPr>
          <w:tab/>
        </w:r>
        <w:r w:rsidRPr="0008749C">
          <w:rPr>
            <w:rFonts w:ascii="宋体" w:hAnsi="宋体"/>
            <w:noProof/>
            <w:sz w:val="24"/>
          </w:rPr>
          <w:fldChar w:fldCharType="begin"/>
        </w:r>
        <w:r w:rsidRPr="0008749C">
          <w:rPr>
            <w:rFonts w:ascii="宋体" w:hAnsi="宋体"/>
            <w:noProof/>
            <w:sz w:val="24"/>
          </w:rPr>
          <w:instrText xml:space="preserve"> PAGEREF _Toc234327929 \h </w:instrText>
        </w:r>
        <w:r w:rsidRPr="0008749C">
          <w:rPr>
            <w:rFonts w:ascii="宋体" w:hAnsi="宋体"/>
            <w:noProof/>
            <w:sz w:val="24"/>
          </w:rPr>
        </w:r>
        <w:r w:rsidRPr="0008749C">
          <w:rPr>
            <w:rFonts w:ascii="宋体" w:hAnsi="宋体"/>
            <w:noProof/>
            <w:sz w:val="24"/>
          </w:rPr>
          <w:fldChar w:fldCharType="separate"/>
        </w:r>
        <w:r w:rsidRPr="0008749C">
          <w:rPr>
            <w:rFonts w:ascii="宋体" w:hAnsi="宋体"/>
            <w:noProof/>
            <w:sz w:val="24"/>
          </w:rPr>
          <w:t>163</w:t>
        </w:r>
        <w:r w:rsidRPr="0008749C">
          <w:rPr>
            <w:rFonts w:ascii="宋体" w:hAnsi="宋体"/>
            <w:noProof/>
            <w:sz w:val="24"/>
          </w:rPr>
          <w:fldChar w:fldCharType="end"/>
        </w:r>
      </w:hyperlink>
    </w:p>
    <w:p w:rsidR="00916FF6" w:rsidRPr="0008749C" w:rsidRDefault="0008749C" w:rsidP="0008749C">
      <w:pPr>
        <w:pStyle w:val="ad"/>
        <w:snapToGrid w:val="0"/>
        <w:spacing w:after="240" w:line="360" w:lineRule="auto"/>
        <w:jc w:val="center"/>
        <w:rPr>
          <w:rFonts w:ascii="宋体" w:hAnsi="宋体"/>
          <w:color w:val="000000"/>
          <w:sz w:val="24"/>
        </w:rPr>
      </w:pPr>
      <w:r w:rsidRPr="0008749C">
        <w:rPr>
          <w:rFonts w:ascii="宋体" w:hAnsi="宋体"/>
          <w:color w:val="000000"/>
          <w:position w:val="-4"/>
          <w:sz w:val="24"/>
          <w:szCs w:val="30"/>
        </w:rPr>
        <w:fldChar w:fldCharType="end"/>
      </w:r>
      <w:bookmarkStart w:id="3" w:name="_GoBack"/>
      <w:bookmarkEnd w:id="3"/>
    </w:p>
    <w:p w:rsidR="00916FF6" w:rsidRDefault="00916FF6">
      <w:pPr>
        <w:autoSpaceDE w:val="0"/>
        <w:autoSpaceDN w:val="0"/>
        <w:adjustRightInd w:val="0"/>
        <w:snapToGrid w:val="0"/>
        <w:spacing w:line="360" w:lineRule="auto"/>
        <w:ind w:left="120" w:rightChars="6" w:right="13"/>
        <w:rPr>
          <w:rFonts w:ascii="宋体" w:hAnsi="宋体"/>
          <w:kern w:val="0"/>
          <w:szCs w:val="24"/>
        </w:rPr>
        <w:sectPr w:rsidR="00916FF6">
          <w:pgSz w:w="11920" w:h="16840"/>
          <w:pgMar w:top="1480" w:right="1680" w:bottom="280" w:left="1680" w:header="0" w:footer="1073" w:gutter="0"/>
          <w:cols w:space="720"/>
        </w:sectPr>
      </w:pPr>
    </w:p>
    <w:p w:rsidR="00916FF6" w:rsidRDefault="002E0D66">
      <w:pPr>
        <w:pStyle w:val="1"/>
        <w:snapToGrid w:val="0"/>
        <w:spacing w:beforeLines="0" w:before="240" w:after="240"/>
        <w:rPr>
          <w:rFonts w:ascii="宋体" w:hAnsi="宋体"/>
          <w:szCs w:val="30"/>
        </w:rPr>
      </w:pPr>
      <w:bookmarkStart w:id="4" w:name="_Toc234327904"/>
      <w:r>
        <w:rPr>
          <w:rFonts w:ascii="Times New Roman" w:hAnsi="Times New Roman"/>
          <w:sz w:val="30"/>
        </w:rPr>
        <w:lastRenderedPageBreak/>
        <w:t>一、绪言</w:t>
      </w:r>
      <w:bookmarkEnd w:id="4"/>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产业机遇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产业机遇混合型证券投资基金基金合同》（以下简称“基金合同”）编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5" w:name="_Toc234327905"/>
      <w:r>
        <w:rPr>
          <w:rFonts w:ascii="Times New Roman" w:hAnsi="Times New Roman"/>
          <w:sz w:val="30"/>
        </w:rPr>
        <w:lastRenderedPageBreak/>
        <w:t>二、释义</w:t>
      </w:r>
      <w:bookmarkEnd w:id="5"/>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1、基金或本基金：指交银施罗德产业机遇混合型证券投资基金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4、基金合同：指《交银施罗德产业机遇混合型证券投资基金基金合同》及对基金合同的任何有效修订和补充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5、托管协议：指基金管理人与基金托管人就本基金签订之《交银施罗德产业机遇混合型证券投资基金托管协议》及对该托管协议的任何有效修订和补充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6、招募说明书或本招募说明书：指《交银施罗德产业机遇混合型证券投资基金招募说明书》及其更新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7、基金产品资料概要：指《交银施罗德产业机遇混合型证券投资基金基金产品资料概要》及其更新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8、基金份额发售公告：指《交银施罗德产业机遇混合型证券投资基金基金份额发售公告》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53、港股通：指内地投资者委托内地证券公司，经由内地证券交易所在香港设立的证券交易服务公司，向香港联合交易所进行申报，买卖规定范围内的香港联合交易所上市的股票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6" w:name="_Toc234327906"/>
      <w:r>
        <w:rPr>
          <w:rFonts w:ascii="Times New Roman" w:hAnsi="Times New Roman"/>
          <w:sz w:val="30"/>
        </w:rPr>
        <w:lastRenderedPageBreak/>
        <w:t>三、基金管理人</w:t>
      </w:r>
      <w:bookmarkEnd w:id="6"/>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朱维缜女士:基金经理。同济大学产业经济学硕士、暨南大学金融学学士。10年证券投资行业从业经验。2016年加入交银施罗德基金管理有限公司，曾任行业分析师。现任交银施罗德产业机遇混合型证券投资基金(2024年06月22日至今)、交银施罗德产业臻选混合型证券投资基金(2025年09月01日至今)的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田彧龙先生(2020年09月24日至2024年06月29日)。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11、以基金管理人名义，代表基金份额持有人利益行使诉讼权利或者实施其他法律行为；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7" w:name="_Toc234327907"/>
      <w:r>
        <w:rPr>
          <w:rFonts w:ascii="Times New Roman" w:hAnsi="Times New Roman"/>
          <w:sz w:val="30"/>
        </w:rPr>
        <w:lastRenderedPageBreak/>
        <w:t>四、基金托管人</w:t>
      </w:r>
      <w:bookmarkEnd w:id="7"/>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行长：王小青（拟任）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w:t>
      </w:r>
      <w:r>
        <w:rPr>
          <w:rFonts w:ascii="宋体" w:hAnsi="宋体"/>
          <w:sz w:val="24"/>
        </w:rPr>
        <w:lastRenderedPageBreak/>
        <w:t>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截至2026年3月31日，招商银行股份有限公司累计托管1813只证券投资基金。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w:t>
      </w:r>
      <w:r>
        <w:rPr>
          <w:rFonts w:ascii="宋体" w:hAnsi="宋体"/>
          <w:sz w:val="24"/>
        </w:rPr>
        <w:lastRenderedPageBreak/>
        <w:t>不同托管资产之间、托管资产和自有资产之间相互分离。内部控制的检查、评价部门独立于内部控制的建立和执行部门。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w:t>
      </w:r>
      <w:r>
        <w:rPr>
          <w:rFonts w:ascii="宋体" w:hAnsi="宋体"/>
          <w:sz w:val="24"/>
        </w:rPr>
        <w:lastRenderedPageBreak/>
        <w:t>业务网和办公网、托管业务网与全行业务网双分离制度，与外部业务机构实行防火墙保护，对信息技术系统采取两地三中心的应急备份管理措施等，保证信息技术系统的安全。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8" w:name="_Toc234327908"/>
      <w:r>
        <w:rPr>
          <w:rFonts w:ascii="Times New Roman" w:hAnsi="Times New Roman"/>
          <w:sz w:val="30"/>
        </w:rPr>
        <w:lastRenderedPageBreak/>
        <w:t>五、相关服务机构</w:t>
      </w:r>
      <w:bookmarkEnd w:id="8"/>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（1）名称：中国光大银行股份有限公司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（2）名称：平安银行股份有限公司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注册地址：深圳市罗湖区深南东路5047号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（6）名称：中国邮政储蓄银行股份有限公司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（7）名称：兴业银行股份有限公司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（9）名称：德邦证券股份有限公司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住所：上海市普陀区曹杨路510号南半幢9楼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（10）名称：国联民生证券股份有限公司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（11）名称：长城证券有限责任公司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客户服务电话：95532/400-600-8008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（13）名称：开源证券股份有限公司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（14）名称：山西证券股份有限公司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（15）名称：西部证券股份有限公司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（16）名称：中信建投证券股份有限公司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（17）名称：中原证券股份有限公司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（18）名称：东方财富证券股份有限公司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（19）名称：兴业证券股份有限公司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（20）名称：广发证券股份有限公司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住所：广州市黄埔区中新广州知识城腾飞一街2号618室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（21）名称：华龙证券股份有限公司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（22）名称：大同证券有限责任公司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（23）名称：国金证券股份有限公司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电话：（028）86690057，（028）86690058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（24）名称：南京证券股份有限公司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（25）名称：华西证券股份有限公司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（26）名称：国信证券股份有限公司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（27）名称：申万宏源证券有限公司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（28）名称：申万宏源西部证券有限公司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（29）名称：光大证券股份有限公司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（30）名称：东莞证券股份有限公司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办公地址：广东省东莞市莞城区可园南路一号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（31）名称：华泰证券股份有限公司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（32）名称：中信证券（山东）有限责任公司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网址：www.cs.ecitic.com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（34）名称：中信证券华南股份有限公司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（35）名称：国泰海通证券股份有限公司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（36）名称：民生证券股份有限公司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（37）名称：深圳市新兰德证券投资咨询有限公司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（38）名称：大连网金基金销售有限公司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（39）名称：阳光人寿保险股份有限公司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（40）名称：玄元保险代理有限公司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传真：（021）50701053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（41）名称：上海大智慧基金销售有限公司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（42）名称：和耕传承基金销售有限公司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（43）名称：腾安基金销售（深圳）有限公司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（44）名称：南京苏宁基金销售有限公司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（45）名称：嘉实财富管理有限公司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（46）名称：北京汇成基金销售有限公司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（47）名称：上海利得基金销售有限公司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办公地址：上海市虹口区东大名路1098号浦江国际金融广场53层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（48）名称：上海陆金所基金销售有限公司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（49）名称：万家财富基金销售（天津）有限公司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（50）名称：深圳市金斧子基金销售有限公司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（51）名称：北京雪球基金销售有限公司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（52）名称：北京新浪仓石基金销售有限公司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（53）名称：上海证达通基金销售有限公司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（54）名称：北京创金启富基金销售有限公司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（55）名称：奕丰基金销售有限公司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（56）名称：和讯信息科技有限公司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（57）名称：诺亚正行基金销售有限公司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（58）名称：上海好买基金销售有限公司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（59）名称：上海长量基金销售有限公司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（60）名称：深圳众禄基金销售股份有限公司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电话：（0755）33227953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（61）名称：宜信普泽（北京）基金销售有限公司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（62）名称：上海联泰基金销售有限公司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（63）名称：北京展恒基金销售股份有限公司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客户服务电话：400-888-6661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（64）名称：中国人寿保险股份有限公司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（65）名称：济安财富（北京）基金销售有限公司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（66）名称：博时财富基金销售有限公司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（67）名称：珠海盈米基金销售有限公司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（68）名称：北京度小满基金销售有限公司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（69）名称：北京虹点基金销售有限公司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（70）名称：上海挖财基金销售有限公司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联系人：毛善波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（71）名称：上海万得基金销售有限公司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（72）名称：格上富信投资顾问有限公司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（73）名称：上海天天基金销售有限公司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（74）名称：上海基煜基金销售有限公司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（75）名称：浙江同花顺基金销售有限公司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（76）名称：深圳前海微众银行股份有限公司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（77）名称：泛华普益基金销售有限公司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住所：成都市成华区建设路9号高地中心1101室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（78）名称：上海中欧财富基金销售有限公司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（80）名称：蚂蚁（杭州）基金销售有限公司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办公地址：浙江省杭州市西湖区西溪路556号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（81）名称：易方达财富管理基金销售（广州）有限公司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（82）名称：京东肯特瑞基金销售有限公司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办公地址：北京市西城区太平桥大街17号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9" w:name="_Toc234327909"/>
      <w:r>
        <w:rPr>
          <w:rFonts w:ascii="Times New Roman" w:hAnsi="Times New Roman"/>
          <w:sz w:val="30"/>
        </w:rPr>
        <w:lastRenderedPageBreak/>
        <w:t>六、基金的募集</w:t>
      </w:r>
      <w:bookmarkEnd w:id="9"/>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本基金由基金管理人依照《基金法》、《运作办法》、《销售办法》、基金合同及其他有关规定，并经中国证监会2020年8月17日证监许可【2020】1814号文准予募集注册。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本基金于2020年9月21日进行发售，本基金设立募集期共募集6,774,860,547.70份基金份额，有效认购户数为57,605户。</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0" w:name="_Toc234327910"/>
      <w:r>
        <w:rPr>
          <w:rFonts w:ascii="Times New Roman" w:hAnsi="Times New Roman"/>
          <w:sz w:val="30"/>
        </w:rPr>
        <w:lastRenderedPageBreak/>
        <w:t>七、基金合同的生效</w:t>
      </w:r>
      <w:bookmarkEnd w:id="10"/>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根据有关规定，本基金满足基金合同生效条件，基金合同已于2020年9月24日正式生效。自基金合同生效之日起，本基金管理人正式开始管理本基金。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1" w:name="_Toc234327911"/>
      <w:r>
        <w:rPr>
          <w:rFonts w:ascii="Times New Roman" w:hAnsi="Times New Roman"/>
          <w:sz w:val="30"/>
        </w:rPr>
        <w:lastRenderedPageBreak/>
        <w:t>八、基金份额的申购与赎回</w:t>
      </w:r>
      <w:bookmarkEnd w:id="11"/>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本基金已于2020年11月2日起开放申购、赎回业务。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16F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16F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w:t>
      </w:r>
      <w:r>
        <w:rPr>
          <w:rFonts w:ascii="宋体" w:hAnsi="宋体"/>
          <w:sz w:val="24"/>
        </w:rPr>
        <w:lastRenderedPageBreak/>
        <w:t>30个自然日。未归入基金财产的部分用于支付登记费和其他必要的手续费。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16F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916F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6FF6" w:rsidRDefault="00916F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w:t>
      </w:r>
      <w:r>
        <w:rPr>
          <w:rFonts w:ascii="宋体" w:hAnsi="宋体"/>
          <w:sz w:val="24"/>
        </w:rPr>
        <w:lastRenderedPageBreak/>
        <w:t>购费用金额）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例五：某投资者赎回持有的10,000份基金份额，持有期限为30日，对应的赎回费率为0.5%，假设赎回当日基金份额净值是1.0160元，则其可得到的赎回金额为：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即：该投资者赎回本基金10,000份基金份额，持有期限为30日，对应的赎回费率为0.5%，假设赎回当日基金份额净值是1.0160元，则其可得到的赎回金额为</w:t>
      </w:r>
      <w:r>
        <w:rPr>
          <w:rFonts w:ascii="宋体" w:hAnsi="宋体"/>
          <w:sz w:val="24"/>
        </w:rPr>
        <w:lastRenderedPageBreak/>
        <w:t>10,109.20元。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发生下列情形时，基金管理人可暂停接受投资人的赎回申请或延缓支付赎回款项：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w:t>
      </w:r>
      <w:r>
        <w:rPr>
          <w:rFonts w:ascii="宋体" w:hAnsi="宋体"/>
          <w:sz w:val="24"/>
        </w:rPr>
        <w:lastRenderedPageBreak/>
        <w:t>告或者通知销售机构代为告知等方式在3个交易日内通知基金份额持有人，说明有关处理方法，并在两日内在规定媒介上刊登公告。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本基金2020年10月29日刊登公告自2020年11月2日起开通定期定额投资计划业</w:t>
      </w:r>
      <w:r>
        <w:rPr>
          <w:rFonts w:ascii="宋体" w:hAnsi="宋体"/>
          <w:sz w:val="24"/>
        </w:rPr>
        <w:lastRenderedPageBreak/>
        <w:t>务，具体开通销售机构名单和业务规则参见相关公告。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2" w:name="_Toc234327912"/>
      <w:r>
        <w:rPr>
          <w:rFonts w:ascii="Times New Roman" w:hAnsi="Times New Roman"/>
          <w:sz w:val="30"/>
        </w:rPr>
        <w:lastRenderedPageBreak/>
        <w:t>九、基金的转换</w:t>
      </w:r>
      <w:bookmarkEnd w:id="12"/>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10月29日刊登公告自2020年11月2日起开放日常转换业务。办理基金间转换的时间为上海证券交易所、深圳证券交易所交易日。若出现新的证券交易市场或交易所交易时间更改或其它原因，基金管理人将视情况进行相应的调整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3" w:name="_Toc234327913"/>
      <w:r>
        <w:rPr>
          <w:rFonts w:ascii="Times New Roman" w:hAnsi="Times New Roman"/>
          <w:sz w:val="30"/>
        </w:rPr>
        <w:lastRenderedPageBreak/>
        <w:t>十、基金的投资</w:t>
      </w:r>
      <w:bookmarkEnd w:id="13"/>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产业机遇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（1）“产业机遇”主题的界定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上市公司的深入调研和重点分析研究，自上而下进行产业研究，寻找产业共振领域，中观逻辑中最受益的行业和公司进行重点关注。本基金所称符合“产业机遇”主题界定的公司是指在行业景气度、商业模式、公司质地具备一定优势，推动产业趋势发展和产品升级，引领产业发展新方向的优质上市企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产业机遇”主题覆盖的上市公司主要从两个方面进行筛选：一方面，本基金从政策变化、投资主体投入意愿、产业落地情况判断行业景气度向上的拐点，在行业景气上行时，关注兼具弹性的投资品种，在行业景气下行时，关注市占率提升的公司。另一方面，本基金关注企业商业模式的变化以及公司质地，优先选择平台型商业模式、公司质地优秀的企业，较高的护城河是能保证长期利润率水平和ROE的前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■盈利能力指标：如市盈率（P/E）、市现率（P/Cash Flow）、股价与每股自由现金流比率（P/FCF）、市销率（P/S）、股价与每股息税前利润比率（P/EBIT）等；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产业机遇主题相关股票的投资策略，优先将基本面健康、业绩向上弹性较大、具有估值优势的港股纳入本基金的股票投资组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（1）股票投资（含存托凭证）占基金资产的比例为60%-95%（其中投资于港股通标的股票的比例占股票资产的0%-50%），投资于产业机遇主题相关证券的比例不低于非现金基金资产的80%；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（5）本基金投资于同一原始权益人的各类资产支持证券的比例，不得超过基金资产净值的10％；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w:t>
      </w:r>
      <w:r>
        <w:rPr>
          <w:rFonts w:ascii="宋体" w:hAnsi="宋体"/>
          <w:sz w:val="24"/>
        </w:rPr>
        <w:lastRenderedPageBreak/>
        <w:t>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沪深300指数收益率×65%+恒生指数收益率×5%+中证综合债券指数收益率×30%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w:t>
      </w:r>
      <w:r>
        <w:rPr>
          <w:rFonts w:ascii="宋体" w:hAnsi="宋体"/>
          <w:sz w:val="24"/>
        </w:rPr>
        <w:lastRenderedPageBreak/>
        <w:t>反映本基金的风险收益特征。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本基金托管人招商银行股份有限公司根据本基金合同规定，于2026年04月20日</w:t>
      </w:r>
      <w:r>
        <w:rPr>
          <w:rFonts w:ascii="宋体" w:hAnsi="宋体"/>
          <w:sz w:val="24"/>
        </w:rPr>
        <w:lastRenderedPageBreak/>
        <w:t>复核了本报告中的财务指标、净值表现和投资组合报告等内容，保证复核内容不存在虚假记载、误导性陈述或者重大遗漏。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本投资组合报告期为2026年01月01日起至03月31日，所载财务数据未经审计师审计。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886,782,794.78</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89.67</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886,782,794.78</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89.67</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13,803,459.40</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13,803,459.40</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85,096,356.64</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8.60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3,274,495.82</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988,957,106.64</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注：本基金本报告期末通过港股通机制投资香港股票的公允价值为366,319,768.90元，占基金资产净值比例为37.22%。</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192,796,481.18</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19.59</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H</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269,393,299.95</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27.37</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57,949,728.52</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5.89</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520,463,025.88</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52.88</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177,002,683.23</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17.98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87,632,030.42</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8.90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52,743,858.46</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5.36</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48,900,516.97</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4.97</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22,302.43</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10,596.13</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7,781.26</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366,319,768.90</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37.22</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5,087,050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90,040,785.00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9.15</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205,059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87,631,512.52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8.90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002624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完美世界</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4,323,900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75,970,923.00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7.72</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02331 HK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李宁</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3,565,728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67,374,894.10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6.85</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530,381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67,247,866.21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6.83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590,242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57,902,740.20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5.88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002602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世纪华通</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3,340,400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53,312,784.00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688111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金山办公</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192,849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45,041,812.44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4.58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02269 HK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药明生物</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1,360,500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39,665,389.74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4.03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339,400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35,661,114.37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13,803,459.40</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13,803,459.40</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137,000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13,803,459.40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1.40</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 本基金投资股指期货的投资政策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319,652.13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2,855,776.03</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99,067.66</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right"/>
              <w:rPr>
                <w:rFonts w:ascii="宋体" w:hAnsi="宋体"/>
                <w:color w:val="000000"/>
                <w:kern w:val="0"/>
                <w:sz w:val="25"/>
                <w:szCs w:val="24"/>
              </w:rPr>
            </w:pPr>
            <w:r>
              <w:rPr>
                <w:rFonts w:ascii="Times New Roman" w:hAnsi="Times New Roman"/>
                <w:color w:val="000000"/>
                <w:kern w:val="0"/>
                <w:sz w:val="25"/>
                <w:szCs w:val="24"/>
              </w:rPr>
              <w:t>3,274,495.82</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16FF6" w:rsidRDefault="002E0D66">
      <w:pPr>
        <w:pStyle w:val="1"/>
        <w:snapToGrid w:val="0"/>
        <w:spacing w:beforeLines="0" w:before="240" w:after="240"/>
        <w:rPr>
          <w:rFonts w:ascii="宋体" w:hAnsi="宋体"/>
          <w:szCs w:val="30"/>
        </w:rPr>
      </w:pPr>
      <w:bookmarkStart w:id="14" w:name="_Toc234327914"/>
      <w:r>
        <w:rPr>
          <w:rFonts w:ascii="Times New Roman" w:hAnsi="Times New Roman"/>
          <w:sz w:val="30"/>
        </w:rPr>
        <w:lastRenderedPageBreak/>
        <w:t>十一、基金的业绩</w:t>
      </w:r>
      <w:bookmarkEnd w:id="14"/>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-8.49%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19.28%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6.15%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-2.47%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-15.83%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8.52%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-26.46%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1.64%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-12.39%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12.56%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14.84%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916F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3.93%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8.85%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-4.92%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bl>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16FF6" w:rsidRDefault="002E0D6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交银施罗德产业机遇混合型证券投资基金</w:t>
      </w:r>
    </w:p>
    <w:p w:rsidR="00916FF6" w:rsidRDefault="002E0D6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916FF6" w:rsidRDefault="002E0D6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（2020年9月24日至2026年03月31日）</w:t>
      </w:r>
    </w:p>
    <w:p w:rsidR="00916FF6" w:rsidRDefault="0008749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5" w:name="_Toc234327915"/>
      <w:r>
        <w:rPr>
          <w:rFonts w:ascii="Times New Roman" w:hAnsi="Times New Roman"/>
          <w:sz w:val="30"/>
        </w:rPr>
        <w:lastRenderedPageBreak/>
        <w:t>十二、基金的财产</w:t>
      </w:r>
      <w:bookmarkEnd w:id="15"/>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6" w:name="_Toc234327916"/>
      <w:r>
        <w:rPr>
          <w:rFonts w:ascii="Times New Roman" w:hAnsi="Times New Roman"/>
          <w:sz w:val="30"/>
        </w:rPr>
        <w:lastRenderedPageBreak/>
        <w:t>十三、基金资产的估值</w:t>
      </w:r>
      <w:bookmarkEnd w:id="16"/>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w:t>
      </w:r>
      <w:r>
        <w:rPr>
          <w:rFonts w:ascii="宋体" w:hAnsi="宋体"/>
          <w:sz w:val="24"/>
        </w:rPr>
        <w:lastRenderedPageBreak/>
        <w:t>的余额数量计算，精确到0.0001元，小数点后第5位四舍五入。基金管理人可以设立大额赎回情形下的净值精度应急调整机制，具体可参见相关公告。国家另有规定的，从其规定。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（3）当基金份额净值计算差错给基金和基金份额持有人造成损失需要进行赔偿时，基金管理人和基金托管人应根据实际情况界定双方承担的责任，经确认后按以下条款进行赔偿：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（九）特殊情形的处理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916FF6" w:rsidRDefault="002E0D6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7" w:name="_Toc234327917"/>
      <w:r>
        <w:rPr>
          <w:rFonts w:ascii="Times New Roman" w:hAnsi="Times New Roman"/>
          <w:sz w:val="30"/>
        </w:rPr>
        <w:lastRenderedPageBreak/>
        <w:t>十四、基金收益与分配</w:t>
      </w:r>
      <w:bookmarkEnd w:id="17"/>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8" w:name="_Toc234327918"/>
      <w:r>
        <w:rPr>
          <w:rFonts w:ascii="Times New Roman" w:hAnsi="Times New Roman"/>
          <w:sz w:val="30"/>
        </w:rPr>
        <w:lastRenderedPageBreak/>
        <w:t>十五、基金的费用与税收</w:t>
      </w:r>
      <w:bookmarkEnd w:id="18"/>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本基金的托管费按前一日基金资产净值的0.20%年费率计提。托管费的计算方法如下：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本基金运作过程中涉及的各纳税主体，其纳税义务按国家税收法律、法规执行。基金财产投资的相关税收，由基金份额持有人承担，基金管理人或者其他扣缴</w:t>
      </w:r>
      <w:r w:rsidRPr="00BB248E">
        <w:rPr>
          <w:rFonts w:ascii="宋体" w:hAnsi="宋体" w:hint="eastAsia"/>
          <w:b/>
          <w:kern w:val="0"/>
          <w:sz w:val="24"/>
        </w:rPr>
        <w:lastRenderedPageBreak/>
        <w:t>义务人按照国家有关税收征收的规定代扣代缴。</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19" w:name="_Toc234327919"/>
      <w:r>
        <w:rPr>
          <w:rFonts w:ascii="Times New Roman" w:hAnsi="Times New Roman"/>
          <w:sz w:val="30"/>
        </w:rPr>
        <w:lastRenderedPageBreak/>
        <w:t>十六、基金的会计与审计</w:t>
      </w:r>
      <w:bookmarkEnd w:id="19"/>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0" w:name="_Toc234327920"/>
      <w:r>
        <w:rPr>
          <w:rFonts w:ascii="Times New Roman" w:hAnsi="Times New Roman"/>
          <w:sz w:val="30"/>
        </w:rPr>
        <w:lastRenderedPageBreak/>
        <w:t>十七、基金的信息披露</w:t>
      </w:r>
      <w:bookmarkEnd w:id="20"/>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至少每周在规定网站披露一次基金份额净值和基金份额累计净值。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前款所称重大事件，是指可能对基金份额持有人权益或者基金份额的价格产生重大影响的下列事件：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（18）本基金发生巨额赎回并延期办理；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14、投资港股通标的股票相关公告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w:t>
      </w:r>
      <w:r>
        <w:rPr>
          <w:rFonts w:ascii="宋体" w:hAnsi="宋体"/>
          <w:sz w:val="24"/>
        </w:rPr>
        <w:lastRenderedPageBreak/>
        <w:t>其他公共媒介披露信息，但是其他公共媒介不得早于规定媒介披露信息，并且在不同媒介上披露同一信息的内容应当一致。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1" w:name="_Toc234327921"/>
      <w:r>
        <w:rPr>
          <w:rFonts w:ascii="Times New Roman" w:hAnsi="Times New Roman"/>
          <w:sz w:val="30"/>
        </w:rPr>
        <w:lastRenderedPageBreak/>
        <w:t>十八、侧袋机制</w:t>
      </w:r>
      <w:bookmarkEnd w:id="21"/>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16FF6" w:rsidRDefault="002E0D66">
      <w:pPr>
        <w:pStyle w:val="1"/>
        <w:snapToGrid w:val="0"/>
        <w:spacing w:beforeLines="0" w:before="240" w:after="240"/>
        <w:rPr>
          <w:rFonts w:ascii="宋体" w:hAnsi="宋体"/>
          <w:szCs w:val="30"/>
        </w:rPr>
      </w:pPr>
      <w:bookmarkStart w:id="22" w:name="_Toc234327922"/>
      <w:r>
        <w:rPr>
          <w:rFonts w:ascii="Times New Roman" w:hAnsi="Times New Roman"/>
          <w:sz w:val="30"/>
        </w:rPr>
        <w:lastRenderedPageBreak/>
        <w:t>十九、风险揭示</w:t>
      </w:r>
      <w:bookmarkEnd w:id="22"/>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w:t>
      </w:r>
      <w:r>
        <w:rPr>
          <w:rFonts w:ascii="宋体" w:hAnsi="宋体"/>
          <w:sz w:val="24"/>
        </w:rPr>
        <w:lastRenderedPageBreak/>
        <w:t>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主题风险：本基金投资于产业机遇主题相关证券的比例不低于非现金基金资产的80%，因此本基金的股票投资业绩与本基金界定的符合“产业机遇”主题界定的上市公司发行证券的相关性较大，需承担相应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4、基金合同提前终止风险。连续50个工作日出现基金份额持有人数量不满200人或者基金资产净值低于5000万元情形的，基金管理人提前终止基金合同，不需召</w:t>
      </w:r>
      <w:r>
        <w:rPr>
          <w:rFonts w:ascii="宋体" w:hAnsi="宋体"/>
          <w:sz w:val="24"/>
        </w:rPr>
        <w:lastRenderedPageBreak/>
        <w:t>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（九）投资科创板股票的特定风险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（十）投资港股通标的股票的特定风险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本基金可投资港股通标的股票，会面临港股通机制下因投资环境、投资标的、市场制度以及交易规则等差异带来的特有风险，具体如下：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w:t>
      </w:r>
      <w:r>
        <w:rPr>
          <w:rFonts w:ascii="宋体" w:hAnsi="宋体"/>
          <w:sz w:val="24"/>
        </w:rPr>
        <w:lastRenderedPageBreak/>
        <w:t>股组合在资产估值上出现波动增大的风险；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3" w:name="_Toc234327923"/>
      <w:r>
        <w:rPr>
          <w:rFonts w:ascii="Times New Roman" w:hAnsi="Times New Roman"/>
          <w:sz w:val="30"/>
        </w:rPr>
        <w:lastRenderedPageBreak/>
        <w:t>二十、基金合同的变更、终止与基金财产的清算</w:t>
      </w:r>
      <w:bookmarkEnd w:id="23"/>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4" w:name="_Toc234327924"/>
      <w:r>
        <w:rPr>
          <w:rFonts w:ascii="Times New Roman" w:hAnsi="Times New Roman"/>
          <w:sz w:val="30"/>
        </w:rPr>
        <w:lastRenderedPageBreak/>
        <w:t>二十一、基金合同内容摘要</w:t>
      </w:r>
      <w:bookmarkEnd w:id="24"/>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2）在法律法规和《基金合同》规定的范围内调整本基金的申购费率、调低赎回费率、在对现有基金份额持有人利益无实质性不利影响的前提下变更收费方式；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（三）基金合同解除和终止的事由、程序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《基金合同》受中国法律（不含港澳台地区法律）管辖。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5" w:name="_Toc234327925"/>
      <w:r>
        <w:rPr>
          <w:rFonts w:ascii="Times New Roman" w:hAnsi="Times New Roman"/>
          <w:sz w:val="30"/>
        </w:rPr>
        <w:lastRenderedPageBreak/>
        <w:t>二十二、托管协议的内容摘要</w:t>
      </w:r>
      <w:bookmarkEnd w:id="25"/>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法定代表人：李建红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产业机遇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1）股票投资（含存托凭证）占基金资产的比例为60%-95%（其中投资于港股通标的股票的比例占股票资产的0%-50%），投资于产业机遇主题相关证券的比例不低于非现金基金资产的80%；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3）本基金持有一家公司发行的证券（同一家公司在内地和香港同时上市的A+H股合计计算），其市值不超过基金资产净值的10％；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w:t>
      </w:r>
      <w:r>
        <w:rPr>
          <w:rFonts w:ascii="宋体" w:hAnsi="宋体"/>
          <w:sz w:val="24"/>
        </w:rPr>
        <w:lastRenderedPageBreak/>
        <w:t>展逆回购交易的，可接受质押品的资质要求应当与基金合同约定的投资范围保持一致；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w:t>
      </w:r>
      <w:r>
        <w:rPr>
          <w:rFonts w:ascii="宋体" w:hAnsi="宋体"/>
          <w:sz w:val="24"/>
        </w:rPr>
        <w:lastRenderedPageBreak/>
        <w:t>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w:t>
      </w:r>
      <w:r>
        <w:rPr>
          <w:rFonts w:ascii="宋体" w:hAnsi="宋体"/>
          <w:sz w:val="24"/>
        </w:rPr>
        <w:lastRenderedPageBreak/>
        <w:t>上级行发出存款余额询证函，存款分支机构及其上级行应予配合。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3）账目核对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w:t>
      </w:r>
      <w:r>
        <w:rPr>
          <w:rFonts w:ascii="宋体" w:hAnsi="宋体"/>
          <w:sz w:val="24"/>
        </w:rPr>
        <w:lastRenderedPageBreak/>
        <w:t>中国证监会，同时通知基金管理人在10个工作日内纠正或拒绝结算，若因基金管理人拒不执行造成基金财产损失的，相关损失由基金管理人承担，基金托管人不承担任何责任。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w:t>
      </w:r>
      <w:r>
        <w:rPr>
          <w:rFonts w:ascii="宋体" w:hAnsi="宋体"/>
          <w:sz w:val="24"/>
        </w:rPr>
        <w:lastRenderedPageBreak/>
        <w:t>公司负责登记和存管的，并可在证券交易所或全国银行间债券市场交易的证券。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w:t>
      </w:r>
      <w:r>
        <w:rPr>
          <w:rFonts w:ascii="宋体" w:hAnsi="宋体"/>
          <w:sz w:val="24"/>
        </w:rPr>
        <w:lastRenderedPageBreak/>
        <w:t>中国证监会报告。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对基金托管人履行托管职责情况进行核查，核查事项包括基金托管人安全保管基金财产、开设基金财产的资金账户、证券账户、期货结算账户等投资所需账户、复核基金管理人计算的基金资产净值和基金份额净值、根据基金管理人指令办理清算交收、相关信息披露和监督基金投资运作等行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w:t>
      </w:r>
      <w:r>
        <w:rPr>
          <w:rFonts w:ascii="宋体" w:hAnsi="宋体"/>
          <w:sz w:val="24"/>
        </w:rPr>
        <w:lastRenderedPageBreak/>
        <w:t>确定到账日期并通知基金托管人，到账日基金财产没有到达基金资金账户的，基金托管人应及时通知基金管理人采取措施进行催收，基金管理人应负责向有关当事人追偿基金财产的损失。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产业机遇混合型证券投资基金”，预留印鉴为基金托管人印章。</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4、基金证券账户和结算备付金账户的开立和管理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w:t>
      </w:r>
      <w:r>
        <w:rPr>
          <w:rFonts w:ascii="宋体" w:hAnsi="宋体"/>
          <w:sz w:val="24"/>
        </w:rPr>
        <w:lastRenderedPageBreak/>
        <w:t>新账户按有关规定使用并管理。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估值日基金资产净值除以估值日基金份额的余额数量，基金份额净值的计算，精确到0.0001元，小数点后第五位四舍五入。基金管理人可以设立大额赎回情形下的净值精度应急调整机制，具体可参见相关公告。国家另有规定的，从其规定。</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基金管理人于每个工作日计算基金资产净值、基金份额净值，经基金托管人复</w:t>
      </w:r>
      <w:r>
        <w:rPr>
          <w:rFonts w:ascii="宋体" w:hAnsi="宋体"/>
          <w:sz w:val="24"/>
        </w:rPr>
        <w:lastRenderedPageBreak/>
        <w:t>核，按规定公告，但基金管理人根据法律法规或基金合同的规定暂停估值时除外。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w:t>
      </w:r>
      <w:r>
        <w:rPr>
          <w:rFonts w:ascii="宋体" w:hAnsi="宋体"/>
          <w:sz w:val="24"/>
        </w:rPr>
        <w:lastRenderedPageBreak/>
        <w:t>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6" w:name="_Toc234327926"/>
      <w:r>
        <w:rPr>
          <w:rFonts w:ascii="Times New Roman" w:hAnsi="Times New Roman"/>
          <w:sz w:val="30"/>
        </w:rPr>
        <w:lastRenderedPageBreak/>
        <w:t>二十三、对基金份额持有人的服务</w:t>
      </w:r>
      <w:bookmarkEnd w:id="26"/>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（四）基金红利再投资</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7" w:name="_Toc234327927"/>
      <w:r>
        <w:rPr>
          <w:rFonts w:ascii="Times New Roman" w:hAnsi="Times New Roman"/>
          <w:sz w:val="30"/>
        </w:rPr>
        <w:lastRenderedPageBreak/>
        <w:t>二十四、其他应披露事项</w:t>
      </w:r>
      <w:bookmarkEnd w:id="27"/>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交银施罗德产业机遇混合型证券投资基金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916F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6FF6" w:rsidRDefault="002E0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16FF6" w:rsidRDefault="002E0D66">
      <w:pPr>
        <w:pStyle w:val="1"/>
        <w:snapToGrid w:val="0"/>
        <w:spacing w:beforeLines="0" w:before="240" w:after="240"/>
        <w:rPr>
          <w:rFonts w:ascii="宋体" w:hAnsi="宋体"/>
          <w:szCs w:val="30"/>
        </w:rPr>
      </w:pPr>
      <w:bookmarkStart w:id="28" w:name="_Toc234327928"/>
      <w:r>
        <w:rPr>
          <w:rFonts w:ascii="Times New Roman" w:hAnsi="Times New Roman"/>
          <w:sz w:val="30"/>
        </w:rPr>
        <w:lastRenderedPageBreak/>
        <w:t>二十五、招募说明书的存放及查阅方式</w:t>
      </w:r>
      <w:bookmarkEnd w:id="28"/>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2E0D6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6FF6" w:rsidRDefault="002E0D66">
      <w:pPr>
        <w:pStyle w:val="1"/>
        <w:snapToGrid w:val="0"/>
        <w:spacing w:beforeLines="0" w:before="240" w:after="240"/>
        <w:rPr>
          <w:rFonts w:ascii="宋体" w:hAnsi="宋体"/>
          <w:szCs w:val="30"/>
        </w:rPr>
      </w:pPr>
      <w:bookmarkStart w:id="29" w:name="_Toc234327929"/>
      <w:r>
        <w:rPr>
          <w:rFonts w:ascii="Times New Roman" w:hAnsi="Times New Roman"/>
          <w:sz w:val="30"/>
        </w:rPr>
        <w:lastRenderedPageBreak/>
        <w:t>二十六、备查文件</w:t>
      </w:r>
      <w:bookmarkEnd w:id="29"/>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（一）中国证监会准予交银施罗德产业机遇混合型证券投资基金募集注册的文件</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（二）《交银施罗德产业机遇混合型证券投资基金基金合同》</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（三）《交银施罗德产业机遇混合型证券投资基金托管协议》</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16FF6" w:rsidRDefault="002E0D6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（六）关于申请募集注册交银施罗德产业机遇混合型证券投资基金的法律意见书</w:t>
      </w:r>
    </w:p>
    <w:sectPr w:rsidR="00916FF6">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62D" w:rsidRDefault="002E0D66">
      <w:r>
        <w:separator/>
      </w:r>
    </w:p>
  </w:endnote>
  <w:endnote w:type="continuationSeparator" w:id="0">
    <w:p w:rsidR="006F062D" w:rsidRDefault="002E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916FF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08749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16FF6" w:rsidRDefault="002E0D6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8749C">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916FF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08749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16FF6" w:rsidRDefault="002E0D6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8749C">
                  <w:rPr>
                    <w:rFonts w:ascii="Times New Roman" w:hAnsi="Times New Roman"/>
                    <w:noProof/>
                    <w:kern w:val="0"/>
                    <w:sz w:val="18"/>
                    <w:szCs w:val="18"/>
                  </w:rPr>
                  <w:t>163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62D" w:rsidRDefault="002E0D66">
      <w:r>
        <w:separator/>
      </w:r>
    </w:p>
  </w:footnote>
  <w:footnote w:type="continuationSeparator" w:id="0">
    <w:p w:rsidR="006F062D" w:rsidRDefault="002E0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916FF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2E0D66">
    <w:pPr>
      <w:pStyle w:val="a3"/>
      <w:jc w:val="right"/>
      <w:rPr>
        <w:rFonts w:ascii="宋体" w:hAnsi="宋体"/>
      </w:rPr>
    </w:pPr>
    <w:r>
      <w:rPr>
        <w:rFonts w:ascii="宋体" w:hAnsi="宋体" w:hint="eastAsia"/>
      </w:rPr>
      <w:t>交银施罗德产业机遇混合型证券投资基金招募说明书更新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916FF6">
    <w:pPr>
      <w:pStyle w:val="10"/>
      <w:jc w:val="right"/>
    </w:pPr>
  </w:p>
  <w:p w:rsidR="00916FF6" w:rsidRDefault="00916FF6">
    <w:pPr>
      <w:pStyle w:val="10"/>
      <w:jc w:val="right"/>
    </w:pPr>
  </w:p>
  <w:p w:rsidR="00916FF6" w:rsidRDefault="00916FF6">
    <w:pPr>
      <w:pStyle w:val="a3"/>
      <w:jc w:val="right"/>
    </w:pPr>
  </w:p>
  <w:p w:rsidR="00916FF6" w:rsidRDefault="002E0D66">
    <w:pPr>
      <w:pStyle w:val="a3"/>
      <w:jc w:val="right"/>
      <w:rPr>
        <w:rFonts w:ascii="宋体" w:hAnsi="宋体"/>
      </w:rPr>
    </w:pPr>
    <w:r>
      <w:rPr>
        <w:rFonts w:ascii="宋体" w:hAnsi="宋体" w:hint="eastAsia"/>
      </w:rPr>
      <w:t>交银施罗德产业机遇混合型证券投资基金招募说明书更新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FF6" w:rsidRDefault="00916FF6">
    <w:pPr>
      <w:pStyle w:val="a3"/>
      <w:jc w:val="right"/>
    </w:pPr>
  </w:p>
  <w:p w:rsidR="00916FF6" w:rsidRDefault="00916FF6">
    <w:pPr>
      <w:pStyle w:val="a3"/>
      <w:jc w:val="right"/>
    </w:pPr>
  </w:p>
  <w:p w:rsidR="00916FF6" w:rsidRDefault="00916FF6">
    <w:pPr>
      <w:pStyle w:val="a3"/>
      <w:jc w:val="right"/>
    </w:pPr>
  </w:p>
  <w:p w:rsidR="00916FF6" w:rsidRDefault="002E0D66">
    <w:pPr>
      <w:pStyle w:val="a3"/>
      <w:jc w:val="right"/>
      <w:rPr>
        <w:rFonts w:ascii="宋体" w:hAnsi="宋体"/>
      </w:rPr>
    </w:pPr>
    <w:r>
      <w:rPr>
        <w:rFonts w:ascii="宋体" w:hAnsi="宋体" w:hint="eastAsia"/>
      </w:rPr>
      <w:t>交银施罗德产业机遇混合型证券投资基金招募说明书更新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49C"/>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0D66"/>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62D"/>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6FF6"/>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9E8A485D-697A-40FB-AC47-7EA86601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17156</Words>
  <Characters>97795</Characters>
  <Application>Microsoft Office Word</Application>
  <DocSecurity>0</DocSecurity>
  <Lines>814</Lines>
  <Paragraphs>229</Paragraphs>
  <ScaleCrop>false</ScaleCrop>
  <Company>Microsoft</Company>
  <LinksUpToDate>false</LinksUpToDate>
  <CharactersWithSpaces>114722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2026-07-07T06:44:00Z</dcterms:created>
  <dcterms:modified xsi:type="dcterms:W3CDTF">2026-07-07T06:44:00Z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