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交银施罗德荣鑫灵活配置混合型证券投资基金（C类份额）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交银荣鑫灵活配置混合C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019514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中国民生银行股份有限公司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2019-03-29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刘庆祥</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2026-02-13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2016-04-01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交银施罗德荣鑫灵活配置混合型证券投资基金由交银施罗德荣鑫保本混合型证券投资基金转型而来，上述基金转型于2019年3月29日正式实施，自基金转型实施日起，《交银施罗德荣鑫保本混合型证券投资基金基金合同》失效且《交银施罗德荣鑫灵活配置混合型证券投资基金基金合同》同时生效，交银施罗德荣鑫保本混合型证券投资基金正式变更为交银施罗德荣鑫灵活配置混合型证券投资基金。</w:t>
            </w:r>
          </w:p>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出解决方案，如转换运作方式、与其他基金合并或者终止基金合同等，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在严格控制投资风险和保持资产流动性的基础上，力争实现基金资产的长期稳定增值。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中期票据、货币市场工具、权证、资产支持证券、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的0%-95%，股票资产按照基金所持有的股票市值以及买入、卖出股指期货合约价值合计（轧差计算)；权证的投资比例不超过基金资产净值的3%；基金保留的现金或者投资于到期日在一年以内的政府债券的比例合计不低于基金资产净值的5%，其中现金不包括结算备付金、存出保证金和应收申购款等；基金在任何交易日日终，持有的买入股指期货合约价值，不得超过基金资产净值的10%；基金在任何交易日日终，持有的卖出期货合约价值不得超过基金持有的股票总市值的20%。</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将结合宏观经济环境、政策形势、证券市场走势的综合分析，自上而下灵活配置大类资产，精选投资标的，合理确定基金在股票、债券等各类资产类别上的投资比例，同时进行高效的流动性管理，获得稳健投资收益。</w:t>
            </w:r>
          </w:p>
          <w:p>
            <w:pPr>
              <w:ind w:firstLine="420"/>
              <w:jc w:val="left"/>
              <w:rPr>
                <w:rFonts w:ascii="仿宋_GB2312" w:eastAsia="仿宋_GB2312"/>
                <w:szCs w:val="21"/>
              </w:rPr>
            </w:pPr>
            <w:r>
              <w:rPr>
                <w:rFonts w:hint="eastAsia" w:ascii="仿宋_GB2312" w:eastAsia="仿宋_GB2312"/>
                <w:szCs w:val="21"/>
              </w:rPr>
              <w:t>1、资产配置策略；2、股票投资策略；3、债券投资策略；4、权证投资策略；5、资产支持证券投资；6、股指期货投资。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沪深300指数收益率×50%+中债综合全价指数收益率×50%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详见《交银施罗德荣鑫灵活配置混合型证券投资基金招募说明书》“基金的投资”。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2、本基金合同于2023年9月18日生效，合同生效当年净值增长率按实际存续期计算。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38000.00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0.95%</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4）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（5）本基金可投资创业板股票，创业板个股上市后的前五个交易日不设价格涨跌幅限制，第六个交易日开始涨跌幅限制比例为20%。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7、投资存托凭证的特定风险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●《交银施罗德荣鑫灵活配置混合型证券投资基金基金合同》、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《交银施罗德荣鑫灵活配置混合型证券投资基金托管协议》、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《交银施罗德荣鑫灵活配置混合型证券投资基金招募说明书》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7B3256"/>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046E5F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729</Words>
  <Characters>4161</Characters>
  <Lines>34</Lines>
  <Paragraphs>9</Paragraphs>
  <TotalTime>1</TotalTime>
  <ScaleCrop>false</ScaleCrop>
  <LinksUpToDate>false</LinksUpToDate>
  <CharactersWithSpaces>4881</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2026-06-23T08:20:00Z</dcterms:created>
  <dc:creator>Cc</dc:creator>
  <cp:lastModifiedBy>haotingting</cp:lastModifiedBy>
  <dcterms:modified xsi:type="dcterms:W3CDTF">2026-06-30T06:04:54Z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E402ADCB18984317A5A12C0C2FB1305A</vt:lpwstr>
  </property>
</Properties>
</file>