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D12225">
      <w:pPr>
        <w:rPr>
          <w:sz w:val="32"/>
        </w:rPr>
      </w:pPr>
    </w:p>
    <w:p w:rsidR="00C92FC0" w:rsidRPr="00EB07BC" w:rsidRDefault="00D12225">
      <w:pPr>
        <w:rPr>
          <w:sz w:val="32"/>
        </w:rPr>
      </w:pPr>
    </w:p>
    <w:p w:rsidR="00C92FC0" w:rsidRPr="00EB07BC" w:rsidRDefault="00D12225">
      <w:pPr>
        <w:rPr>
          <w:sz w:val="32"/>
        </w:rPr>
      </w:pPr>
    </w:p>
    <w:p w:rsidR="00F807D9" w:rsidRDefault="00F807D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807D9" w:rsidRDefault="00F807D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807D9" w:rsidRDefault="00F807D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807D9" w:rsidRDefault="00F230D6">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交银施罗德港股通优质精选混合型证券投资基金</w:t>
      </w:r>
    </w:p>
    <w:p w:rsidR="00F807D9" w:rsidRDefault="00F230D6">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807D9" w:rsidRDefault="00F807D9">
      <w:pPr>
        <w:snapToGrid w:val="0"/>
        <w:spacing w:line="360" w:lineRule="auto"/>
        <w:jc w:val="center"/>
        <w:rPr>
          <w:rFonts w:ascii="宋体" w:hAnsi="宋体"/>
          <w:b/>
          <w:sz w:val="30"/>
          <w:szCs w:val="30"/>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230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807D9" w:rsidRDefault="00F230D6">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基金托管人：中信证券股份有限公司</w:t>
      </w: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807D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807D9" w:rsidRDefault="00F230D6">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F807D9" w:rsidRDefault="00F807D9">
      <w:pPr>
        <w:autoSpaceDE w:val="0"/>
        <w:autoSpaceDN w:val="0"/>
        <w:adjustRightInd w:val="0"/>
        <w:snapToGrid w:val="0"/>
        <w:spacing w:line="360" w:lineRule="auto"/>
        <w:ind w:left="1347" w:rightChars="6" w:right="13"/>
        <w:rPr>
          <w:rFonts w:ascii="宋体" w:hAnsi="宋体"/>
          <w:kern w:val="0"/>
          <w:sz w:val="32"/>
          <w:szCs w:val="32"/>
        </w:rPr>
        <w:sectPr w:rsidR="00F807D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807D9" w:rsidRDefault="00F230D6">
      <w:pPr>
        <w:pStyle w:val="1"/>
        <w:snapToGrid w:val="0"/>
        <w:spacing w:beforeLines="0" w:before="240" w:after="240"/>
        <w:rPr>
          <w:rFonts w:ascii="宋体" w:hAnsi="宋体"/>
          <w:kern w:val="0"/>
        </w:rPr>
      </w:pPr>
      <w:bookmarkStart w:id="0" w:name="_Toc324920538"/>
      <w:bookmarkStart w:id="1" w:name="_Toc496884613"/>
      <w:bookmarkStart w:id="2" w:name="_Toc234417615"/>
      <w:r>
        <w:rPr>
          <w:rFonts w:ascii="Times New Roman" w:hAnsi="Times New Roman"/>
          <w:kern w:val="0"/>
        </w:rPr>
        <w:lastRenderedPageBreak/>
        <w:t>重要提示</w:t>
      </w:r>
      <w:bookmarkEnd w:id="0"/>
      <w:bookmarkEnd w:id="1"/>
      <w:bookmarkEnd w:id="2"/>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交银施罗德港股通优质精选混合型证券投资基金（以下简称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2025</w:t>
      </w:r>
      <w:r>
        <w:rPr>
          <w:rFonts w:ascii="Times New Roman" w:hAnsi="Times New Roman"/>
          <w:kern w:val="0"/>
          <w:sz w:val="24"/>
        </w:rPr>
        <w:t>】</w:t>
      </w:r>
      <w:r>
        <w:rPr>
          <w:rFonts w:ascii="Times New Roman" w:hAnsi="Times New Roman"/>
          <w:kern w:val="0"/>
          <w:sz w:val="24"/>
        </w:rPr>
        <w:t>1608</w:t>
      </w:r>
      <w:r>
        <w:rPr>
          <w:rFonts w:ascii="Times New Roman" w:hAnsi="Times New Roman"/>
          <w:kern w:val="0"/>
          <w:sz w:val="24"/>
        </w:rPr>
        <w:t>号文准予募集注册。本基金基金合同于</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23</w:t>
      </w:r>
      <w:r>
        <w:rPr>
          <w:rFonts w:ascii="Times New Roman" w:hAnsi="Times New Roman"/>
          <w:kern w:val="0"/>
          <w:sz w:val="24"/>
        </w:rPr>
        <w:t>日正式生效。</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汇率风险（汇率波动可能对基金的投资收益造成损失）、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基金合同提前终止风险。基金合同生效后，连续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人或者基金资产净值低于</w:t>
      </w:r>
      <w:r>
        <w:rPr>
          <w:rFonts w:ascii="Times New Roman" w:hAnsi="Times New Roman"/>
          <w:kern w:val="0"/>
          <w:sz w:val="24"/>
        </w:rPr>
        <w:t>5000</w:t>
      </w:r>
      <w:r>
        <w:rPr>
          <w:rFonts w:ascii="Times New Roman" w:hAnsi="Times New Roman"/>
          <w:kern w:val="0"/>
          <w:sz w:val="24"/>
        </w:rPr>
        <w:t>万元情形的，基金合同终止，不需召开基金份额持有人大会。因此，投资者可能面临基金合同提前终止的风险。</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F807D9" w:rsidRDefault="00F230D6">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F807D9" w:rsidRDefault="00F807D9">
      <w:pPr>
        <w:autoSpaceDE w:val="0"/>
        <w:autoSpaceDN w:val="0"/>
        <w:adjustRightInd w:val="0"/>
        <w:snapToGrid w:val="0"/>
        <w:spacing w:before="51" w:line="360" w:lineRule="auto"/>
        <w:ind w:left="120" w:rightChars="6" w:right="13" w:firstLine="480"/>
        <w:rPr>
          <w:rFonts w:ascii="宋体" w:hAnsi="宋体"/>
          <w:kern w:val="0"/>
          <w:szCs w:val="24"/>
        </w:rPr>
        <w:sectPr w:rsidR="00F807D9">
          <w:headerReference w:type="default" r:id="rId14"/>
          <w:pgSz w:w="11920" w:h="16840"/>
          <w:pgMar w:top="1440" w:right="1680" w:bottom="280" w:left="1680" w:header="0" w:footer="1073" w:gutter="0"/>
          <w:pgNumType w:start="1"/>
          <w:cols w:space="720"/>
        </w:sectPr>
      </w:pPr>
    </w:p>
    <w:p w:rsidR="00D12225" w:rsidRPr="00D12225" w:rsidRDefault="00F230D6" w:rsidP="00D12225">
      <w:pPr>
        <w:pStyle w:val="ad"/>
        <w:snapToGrid w:val="0"/>
        <w:spacing w:after="240" w:line="360" w:lineRule="auto"/>
        <w:jc w:val="center"/>
        <w:rPr>
          <w:rFonts w:ascii="宋体" w:hAnsi="宋体"/>
          <w:noProof/>
          <w:sz w:val="24"/>
        </w:rPr>
      </w:pPr>
      <w:r w:rsidRPr="00D12225">
        <w:rPr>
          <w:rFonts w:ascii="宋体" w:hAnsi="宋体"/>
          <w:color w:val="000000"/>
          <w:position w:val="-4"/>
          <w:sz w:val="24"/>
          <w:szCs w:val="30"/>
        </w:rPr>
        <w:lastRenderedPageBreak/>
        <w:t>目</w:t>
      </w:r>
      <w:r w:rsidRPr="00D12225">
        <w:rPr>
          <w:rFonts w:ascii="宋体" w:hAnsi="宋体"/>
          <w:color w:val="000000"/>
          <w:position w:val="-4"/>
          <w:sz w:val="24"/>
          <w:szCs w:val="30"/>
        </w:rPr>
        <w:tab/>
        <w:t>录</w:t>
      </w:r>
      <w:r w:rsidR="00D12225" w:rsidRPr="00D12225">
        <w:rPr>
          <w:rFonts w:ascii="宋体" w:hAnsi="宋体"/>
          <w:color w:val="000000"/>
          <w:position w:val="-4"/>
          <w:sz w:val="24"/>
          <w:szCs w:val="30"/>
        </w:rPr>
        <w:fldChar w:fldCharType="begin"/>
      </w:r>
      <w:r w:rsidR="00D12225" w:rsidRPr="00D12225">
        <w:rPr>
          <w:rFonts w:ascii="宋体" w:hAnsi="宋体"/>
          <w:color w:val="000000"/>
          <w:position w:val="-4"/>
          <w:sz w:val="24"/>
          <w:szCs w:val="30"/>
        </w:rPr>
        <w:instrText xml:space="preserve"> TOC \o "1-3" \f - \h \t "-1" </w:instrText>
      </w:r>
      <w:r w:rsidR="00D12225" w:rsidRPr="00D12225">
        <w:rPr>
          <w:rFonts w:ascii="宋体" w:hAnsi="宋体"/>
          <w:color w:val="000000"/>
          <w:position w:val="-4"/>
          <w:sz w:val="24"/>
          <w:szCs w:val="30"/>
        </w:rPr>
        <w:fldChar w:fldCharType="separate"/>
      </w:r>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15" w:history="1">
        <w:r w:rsidRPr="00D12225">
          <w:rPr>
            <w:rStyle w:val="aa"/>
            <w:rFonts w:ascii="宋体" w:hAnsi="宋体" w:hint="eastAsia"/>
            <w:noProof/>
            <w:kern w:val="0"/>
            <w:sz w:val="24"/>
          </w:rPr>
          <w:t>重要提示</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_Toc234417615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16" w:history="1">
        <w:r w:rsidRPr="00D12225">
          <w:rPr>
            <w:rStyle w:val="aa"/>
            <w:rFonts w:ascii="宋体" w:hAnsi="宋体" w:hint="eastAsia"/>
            <w:noProof/>
            <w:sz w:val="24"/>
          </w:rPr>
          <w:t>一、绪言</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_Toc234417616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5</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17" w:history="1">
        <w:r w:rsidRPr="00D12225">
          <w:rPr>
            <w:rStyle w:val="aa"/>
            <w:rFonts w:ascii="宋体" w:hAnsi="宋体" w:hint="eastAsia"/>
            <w:noProof/>
            <w:sz w:val="24"/>
          </w:rPr>
          <w:t>二、释义</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_Toc234417617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6</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18" w:history="1">
        <w:r w:rsidRPr="00D12225">
          <w:rPr>
            <w:rStyle w:val="aa"/>
            <w:rFonts w:ascii="宋体" w:hAnsi="宋体" w:hint="eastAsia"/>
            <w:noProof/>
            <w:sz w:val="24"/>
          </w:rPr>
          <w:t>三、基金管理人</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_Toc234417618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11</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19" w:history="1">
        <w:r w:rsidRPr="00D12225">
          <w:rPr>
            <w:rStyle w:val="aa"/>
            <w:rFonts w:ascii="宋体" w:hAnsi="宋体" w:hint="eastAsia"/>
            <w:noProof/>
            <w:sz w:val="24"/>
          </w:rPr>
          <w:t>四、基金托管人</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_Toc234417619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18</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0" w:history="1">
        <w:r w:rsidRPr="00D12225">
          <w:rPr>
            <w:rStyle w:val="aa"/>
            <w:rFonts w:ascii="宋体" w:hAnsi="宋体" w:hint="eastAsia"/>
            <w:noProof/>
            <w:sz w:val="24"/>
          </w:rPr>
          <w:t>五、相关服务机构</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_Toc234417620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22</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1" w:history="1">
        <w:r w:rsidRPr="00D12225">
          <w:rPr>
            <w:rStyle w:val="aa"/>
            <w:rFonts w:ascii="宋体" w:hAnsi="宋体" w:hint="eastAsia"/>
            <w:noProof/>
            <w:sz w:val="24"/>
          </w:rPr>
          <w:t>六、基金的募集</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_Toc234417621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32</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2" w:history="1">
        <w:r w:rsidRPr="00D12225">
          <w:rPr>
            <w:rStyle w:val="aa"/>
            <w:rFonts w:ascii="宋体" w:hAnsi="宋体" w:hint="eastAsia"/>
            <w:noProof/>
            <w:sz w:val="24"/>
          </w:rPr>
          <w:t>七、基金合同的生效</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_Toc234417622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33</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3" w:history="1">
        <w:r w:rsidRPr="00D12225">
          <w:rPr>
            <w:rStyle w:val="aa"/>
            <w:rFonts w:ascii="宋体" w:hAnsi="宋体" w:hint="eastAsia"/>
            <w:noProof/>
            <w:sz w:val="24"/>
          </w:rPr>
          <w:t>八、基金份额的申购与赎回</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_Toc234417623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34</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4" w:history="1">
        <w:r w:rsidRPr="00D12225">
          <w:rPr>
            <w:rStyle w:val="aa"/>
            <w:rFonts w:ascii="宋体" w:hAnsi="宋体" w:hint="eastAsia"/>
            <w:noProof/>
            <w:sz w:val="24"/>
          </w:rPr>
          <w:t>九、基金的投资</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_Toc234417624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48</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5" w:history="1">
        <w:r w:rsidRPr="00D12225">
          <w:rPr>
            <w:rStyle w:val="aa"/>
            <w:rFonts w:ascii="宋体" w:hAnsi="宋体" w:hint="eastAsia"/>
            <w:noProof/>
            <w:sz w:val="24"/>
          </w:rPr>
          <w:t>十、基金的业绩</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_Toc234417625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60</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6" w:history="1">
        <w:r w:rsidRPr="00D12225">
          <w:rPr>
            <w:rStyle w:val="aa"/>
            <w:rFonts w:ascii="宋体" w:hAnsi="宋体" w:hint="eastAsia"/>
            <w:noProof/>
            <w:sz w:val="24"/>
          </w:rPr>
          <w:t>十一、基金的财产</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_Toc234417626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63</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7" w:history="1">
        <w:r w:rsidRPr="00D12225">
          <w:rPr>
            <w:rStyle w:val="aa"/>
            <w:rFonts w:ascii="宋体" w:hAnsi="宋体" w:hint="eastAsia"/>
            <w:noProof/>
            <w:sz w:val="24"/>
          </w:rPr>
          <w:t>十二、基金资产的估值</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_Toc234417627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64</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8" w:history="1">
        <w:r w:rsidRPr="00D12225">
          <w:rPr>
            <w:rStyle w:val="aa"/>
            <w:rFonts w:ascii="宋体" w:hAnsi="宋体" w:hint="eastAsia"/>
            <w:noProof/>
            <w:sz w:val="24"/>
          </w:rPr>
          <w:t>十三、基金收益与分配</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_Toc234417628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70</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29" w:history="1">
        <w:r w:rsidRPr="00D12225">
          <w:rPr>
            <w:rStyle w:val="aa"/>
            <w:rFonts w:ascii="宋体" w:hAnsi="宋体" w:hint="eastAsia"/>
            <w:noProof/>
            <w:sz w:val="24"/>
          </w:rPr>
          <w:t>十四、基金的费用与税收</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_Toc234417629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72</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0" w:history="1">
        <w:r w:rsidRPr="00D12225">
          <w:rPr>
            <w:rStyle w:val="aa"/>
            <w:rFonts w:ascii="宋体" w:hAnsi="宋体" w:hint="eastAsia"/>
            <w:noProof/>
            <w:sz w:val="24"/>
          </w:rPr>
          <w:t>十五、基金的会计与审计</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_Toc234417630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75</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1" w:history="1">
        <w:r w:rsidRPr="00D12225">
          <w:rPr>
            <w:rStyle w:val="aa"/>
            <w:rFonts w:ascii="宋体" w:hAnsi="宋体" w:hint="eastAsia"/>
            <w:noProof/>
            <w:sz w:val="24"/>
          </w:rPr>
          <w:t>十六、基金的信息披露</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_Toc234417631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76</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2" w:history="1">
        <w:r w:rsidRPr="00D12225">
          <w:rPr>
            <w:rStyle w:val="aa"/>
            <w:rFonts w:ascii="宋体" w:hAnsi="宋体" w:hint="eastAsia"/>
            <w:noProof/>
            <w:sz w:val="24"/>
          </w:rPr>
          <w:t>十七、侧袋机制</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_Toc234417632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83</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3" w:history="1">
        <w:r w:rsidRPr="00D12225">
          <w:rPr>
            <w:rStyle w:val="aa"/>
            <w:rFonts w:ascii="宋体" w:hAnsi="宋体" w:hint="eastAsia"/>
            <w:noProof/>
            <w:sz w:val="24"/>
          </w:rPr>
          <w:t>十八、风险揭示</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_Toc234417633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86</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4" w:history="1">
        <w:r w:rsidRPr="00D12225">
          <w:rPr>
            <w:rStyle w:val="aa"/>
            <w:rFonts w:ascii="宋体" w:hAnsi="宋体" w:hint="eastAsia"/>
            <w:noProof/>
            <w:sz w:val="24"/>
          </w:rPr>
          <w:t>十九、基金合同的变更、终止与基金财产的清算</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_Toc234417634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96</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5" w:history="1">
        <w:r w:rsidRPr="00D12225">
          <w:rPr>
            <w:rStyle w:val="aa"/>
            <w:rFonts w:ascii="宋体" w:hAnsi="宋体" w:hint="eastAsia"/>
            <w:noProof/>
            <w:sz w:val="24"/>
          </w:rPr>
          <w:t>二十、基金合同内容摘要</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_Toc234417635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98</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6" w:history="1">
        <w:r w:rsidRPr="00D12225">
          <w:rPr>
            <w:rStyle w:val="aa"/>
            <w:rFonts w:ascii="宋体" w:hAnsi="宋体" w:hint="eastAsia"/>
            <w:noProof/>
            <w:sz w:val="24"/>
          </w:rPr>
          <w:t>二十一、托管协议的内容摘要</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_Toc234417636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115</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7" w:history="1">
        <w:r w:rsidRPr="00D12225">
          <w:rPr>
            <w:rStyle w:val="aa"/>
            <w:rFonts w:ascii="宋体" w:hAnsi="宋体" w:hint="eastAsia"/>
            <w:noProof/>
            <w:sz w:val="24"/>
          </w:rPr>
          <w:t>二十二、对基金份额持有人的服务</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_Toc234417637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136</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8" w:history="1">
        <w:r w:rsidRPr="00D12225">
          <w:rPr>
            <w:rStyle w:val="aa"/>
            <w:rFonts w:ascii="宋体" w:hAnsi="宋体" w:hint="eastAsia"/>
            <w:noProof/>
            <w:sz w:val="24"/>
          </w:rPr>
          <w:t>二十三、其他应披露事项</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_Toc234417638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138</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39" w:history="1">
        <w:r w:rsidRPr="00D12225">
          <w:rPr>
            <w:rStyle w:val="aa"/>
            <w:rFonts w:ascii="宋体" w:hAnsi="宋体" w:hint="eastAsia"/>
            <w:noProof/>
            <w:sz w:val="24"/>
          </w:rPr>
          <w:t>二十四、招募说明书的存放及查阅方式</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_Toc234417639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140</w:t>
        </w:r>
        <w:r w:rsidRPr="00D12225">
          <w:rPr>
            <w:rFonts w:ascii="宋体" w:hAnsi="宋体"/>
            <w:noProof/>
            <w:sz w:val="24"/>
          </w:rPr>
          <w:fldChar w:fldCharType="end"/>
        </w:r>
      </w:hyperlink>
    </w:p>
    <w:p w:rsidR="00D12225" w:rsidRPr="00D12225" w:rsidRDefault="00D12225" w:rsidP="00D12225">
      <w:pPr>
        <w:pStyle w:val="10"/>
        <w:tabs>
          <w:tab w:val="right" w:leader="dot" w:pos="8550"/>
        </w:tabs>
        <w:spacing w:line="360" w:lineRule="auto"/>
        <w:rPr>
          <w:rFonts w:ascii="宋体" w:hAnsi="宋体" w:cstheme="minorBidi"/>
          <w:noProof/>
          <w:sz w:val="24"/>
        </w:rPr>
      </w:pPr>
      <w:hyperlink w:anchor="_Toc234417640" w:history="1">
        <w:r w:rsidRPr="00D12225">
          <w:rPr>
            <w:rStyle w:val="aa"/>
            <w:rFonts w:ascii="宋体" w:hAnsi="宋体" w:hint="eastAsia"/>
            <w:noProof/>
            <w:sz w:val="24"/>
          </w:rPr>
          <w:t>二十五、备查文件</w:t>
        </w:r>
        <w:r w:rsidRPr="00D12225">
          <w:rPr>
            <w:rFonts w:ascii="宋体" w:hAnsi="宋体"/>
            <w:noProof/>
            <w:sz w:val="24"/>
          </w:rPr>
          <w:tab/>
        </w:r>
        <w:r w:rsidRPr="00D12225">
          <w:rPr>
            <w:rFonts w:ascii="宋体" w:hAnsi="宋体"/>
            <w:noProof/>
            <w:sz w:val="24"/>
          </w:rPr>
          <w:fldChar w:fldCharType="begin"/>
        </w:r>
        <w:r w:rsidRPr="00D12225">
          <w:rPr>
            <w:rFonts w:ascii="宋体" w:hAnsi="宋体"/>
            <w:noProof/>
            <w:sz w:val="24"/>
          </w:rPr>
          <w:instrText xml:space="preserve"> PAGEREF _Toc234417640 \h </w:instrText>
        </w:r>
        <w:r w:rsidRPr="00D12225">
          <w:rPr>
            <w:rFonts w:ascii="宋体" w:hAnsi="宋体"/>
            <w:noProof/>
            <w:sz w:val="24"/>
          </w:rPr>
        </w:r>
        <w:r w:rsidRPr="00D12225">
          <w:rPr>
            <w:rFonts w:ascii="宋体" w:hAnsi="宋体"/>
            <w:noProof/>
            <w:sz w:val="24"/>
          </w:rPr>
          <w:fldChar w:fldCharType="separate"/>
        </w:r>
        <w:r w:rsidRPr="00D12225">
          <w:rPr>
            <w:rFonts w:ascii="宋体" w:hAnsi="宋体"/>
            <w:noProof/>
            <w:sz w:val="24"/>
          </w:rPr>
          <w:t>141</w:t>
        </w:r>
        <w:r w:rsidRPr="00D12225">
          <w:rPr>
            <w:rFonts w:ascii="宋体" w:hAnsi="宋体"/>
            <w:noProof/>
            <w:sz w:val="24"/>
          </w:rPr>
          <w:fldChar w:fldCharType="end"/>
        </w:r>
      </w:hyperlink>
    </w:p>
    <w:p w:rsidR="00F807D9" w:rsidRPr="00D12225" w:rsidRDefault="00D12225" w:rsidP="00D12225">
      <w:pPr>
        <w:pStyle w:val="ad"/>
        <w:snapToGrid w:val="0"/>
        <w:spacing w:after="240" w:line="360" w:lineRule="auto"/>
        <w:jc w:val="center"/>
        <w:rPr>
          <w:rFonts w:ascii="宋体" w:hAnsi="宋体"/>
          <w:color w:val="000000"/>
          <w:sz w:val="24"/>
        </w:rPr>
      </w:pPr>
      <w:r w:rsidRPr="00D12225">
        <w:rPr>
          <w:rFonts w:ascii="宋体" w:hAnsi="宋体"/>
          <w:color w:val="000000"/>
          <w:position w:val="-4"/>
          <w:sz w:val="24"/>
          <w:szCs w:val="30"/>
        </w:rPr>
        <w:fldChar w:fldCharType="end"/>
      </w:r>
      <w:bookmarkStart w:id="3" w:name="_GoBack"/>
      <w:bookmarkEnd w:id="3"/>
    </w:p>
    <w:p w:rsidR="00F807D9" w:rsidRDefault="00F807D9">
      <w:pPr>
        <w:autoSpaceDE w:val="0"/>
        <w:autoSpaceDN w:val="0"/>
        <w:adjustRightInd w:val="0"/>
        <w:snapToGrid w:val="0"/>
        <w:spacing w:line="360" w:lineRule="auto"/>
        <w:ind w:left="120" w:rightChars="6" w:right="13"/>
        <w:rPr>
          <w:rFonts w:ascii="宋体" w:hAnsi="宋体"/>
          <w:kern w:val="0"/>
          <w:szCs w:val="24"/>
        </w:rPr>
        <w:sectPr w:rsidR="00F807D9">
          <w:pgSz w:w="11920" w:h="16840"/>
          <w:pgMar w:top="1480" w:right="1680" w:bottom="280" w:left="1680" w:header="0" w:footer="1073" w:gutter="0"/>
          <w:cols w:space="720"/>
        </w:sectPr>
      </w:pPr>
    </w:p>
    <w:p w:rsidR="00F807D9" w:rsidRDefault="00F230D6">
      <w:pPr>
        <w:pStyle w:val="1"/>
        <w:snapToGrid w:val="0"/>
        <w:spacing w:beforeLines="0" w:before="240" w:after="240"/>
        <w:rPr>
          <w:rFonts w:ascii="宋体" w:hAnsi="宋体"/>
          <w:szCs w:val="30"/>
        </w:rPr>
      </w:pPr>
      <w:bookmarkStart w:id="4" w:name="_Toc234417616"/>
      <w:r>
        <w:rPr>
          <w:rFonts w:ascii="Times New Roman" w:hAnsi="Times New Roman"/>
          <w:sz w:val="30"/>
        </w:rPr>
        <w:lastRenderedPageBreak/>
        <w:t>一、绪言</w:t>
      </w:r>
      <w:bookmarkEnd w:id="4"/>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港股通优质精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港股通优质精选混合型证券投资基金基金合同》（以下简称“基金合同”或“《基金合同》”）编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5" w:name="_Toc234417617"/>
      <w:r>
        <w:rPr>
          <w:rFonts w:ascii="Times New Roman" w:hAnsi="Times New Roman"/>
          <w:sz w:val="30"/>
        </w:rPr>
        <w:lastRenderedPageBreak/>
        <w:t>二、释义</w:t>
      </w:r>
      <w:bookmarkEnd w:id="5"/>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1、基金或本基金：指交银施罗德港股通优质精选混合型证券投资基金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4、基金合同、《基金合同》：指《交银施罗德港股通优质精选混合型证券投资基金基金合同》及对基金合同的任何有效修订和补充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5、托管协议：指基金管理人与基金托管人就本基金签订之《交银施罗德港股通优质精选混合型证券投资基金托管协议》及对该托管协议的任何有效修订和补充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6、招募说明书或本招募说明书：指《交银施罗德港股通优质精选混合型证券投资基金招募说明书》及其更新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7、基金产品资料概要：指《交银施罗德港股通优质精选混合型证券投资基金基金产品资料概要》及其更新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8、基金份额发售公告：指《交银施罗德港股通优质精选混合型证券投资基金基金份额发售公告》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16、基金合同当事人：指受基金合同约束，根据基金合同享有权利并承担义务</w:t>
      </w:r>
      <w:r>
        <w:rPr>
          <w:rFonts w:ascii="宋体" w:hAnsi="宋体"/>
          <w:sz w:val="24"/>
        </w:rPr>
        <w:lastRenderedPageBreak/>
        <w:t>的法律主体，包括基金管理人、基金托管人和基金份额持有人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17、个人投资者：指依据有关法律法规规定可投资于证券投资基金的自然人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20、投资人、投资者：指个人投资者、机构投资者、合格境外投资者以及法律法规或中国证监会允许购买证券投资基金的其他投资人的合称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21、基金份额持有人：指依基金合同和招募说明书合法取得基金份额的投资人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22、基金销售业务：指基金管理人或销售机构宣传推介基金，发售基金份额，办理基金份额的申购、赎回、转换、转托管及定期定额投资等业务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23、销售机构：指交银施罗德基金管理有限公司以及符合《销售办法》和中国证监会规定的其他条件，取得基金销售业务资格并与基金管理人签订了基金销售服务协议，办理基金销售业务的机构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25、登记机构：指办理登记业务的机构。基金的登记机构为交银施罗德基金管理有限公司或接受交银施罗德基金管理有限公司委托代为办理登记业务的机构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26、基金账户：指登记机构为投资人开立的、记录其持有的、基金管理人所管理的基金份额余额及其变动情况的账户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27、基金交易账户：指销售机构为投资人开立的、记录投资人通过该销售机构办理认购、申购、赎回、转换及转托管等业务而引起的基金份额变动及结余情况的账户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28、基金合同生效日：指基金募集达到法律法规规定及基金合同规定的条件，基金管理人向中国证监会办理基金备案手续完毕，并获得中国证监会书面确认的日期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29、基金合同终止日：指基金合同规定的基金合同终止事由出现后，基金财产清算完毕，清算结果报中国证监会备案并予以公告的日期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30、基金募集期：指自基金份额发售之日起至发售结束之日止的期间，最长不得超过3个月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31、存续期：指基金合同生效至终止之间的不定期期限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32、工作日：指上海证券交易所、深圳证券交易所的正常交易日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33、T日：指销售机构在规定时间受理投资人申购、赎回或其他业务申请的开放日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34、T+n日：指自T日起第n个工作日（不包含T日）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35、开放日：指为投资人办理基金份额申购、赎回或其他业务的工作日（若该工作日为非港股通交易日，则本基金不开放）</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36、开放时间：指开放日基金接受申购、赎回或其他交易的时间段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37、《业务规则》：指《交银施罗德基金管理有限公司开放式基金业务规则》，是规范基金管理人所管理的开放式证券投资基金登记方面的业务规则，由基金管理人和投资人共同遵守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38、认购：指在基金募集期内，投资人根据基金合同和招募说明书的规定申请购买基金份额的行为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39、申购：指基金合同生效后，投资人根据基金合同和招募说明书的规定申请购买基金份额的行为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40、赎回：指基金合同生效后，基金份额持有人按基金合同和招募说明书规定的条件要求将基金份额兑换为现金的行为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41、基金转换：指基金份额持有人按照基金合同和基金管理人届时有效公告规定的条件，申请将其持有基金管理人管理的、某一基金的基金份额转换为基金管理人管理的其他基金基金份额的行为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42、转托管：指基金份额持有人在本基金的不同销售机构之间实施的变更所持基金份额销售机构的操作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45、元：指人民币元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46、基金收益：指基金投资所得红利、股息、债券利息、买卖证券价差、银行存款利息、已实现的其他合法收入及因运用基金财产带来的成本和费用的节约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47、基金资产总值：指基金拥有的各类有价证券、股指期货合约、银行存款本息、基金应收款项及其他资产的价值总和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48、基金资产净值：指基金资产总值减去基金负债后的价值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49、基金份额净值：指计算日基金资产净值除以计算日基金份额总数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50、基金资产估值：指计算评估基金资产和负债的价值，以确定基金资产净值和基金份额净值的过程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51、港股通标的股票：指内地投资者委托内地证券公司，经由内地证券交易所在香港设立的证券交易服务公司，向香港联合交易所进行申报，买卖规定范围内的香港联合交易所上市的股票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52、销售服务费：指从基金财产中计提的，用于本基金市场推广、销售以及基金份额持有人服务的费用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53、A类基金份额：指在投资人认购/申购时收取认购/申购费用、不从本类别基金资产中计提销售服务费的基金份额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54、C类基金份额：指在投资人认购/申购时不收取认购/申购费用、从本类别基金资产中计提销售服务费的基金份额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w:t>
      </w:r>
      <w:r>
        <w:rPr>
          <w:rFonts w:ascii="宋体" w:hAnsi="宋体"/>
          <w:sz w:val="24"/>
        </w:rPr>
        <w:lastRenderedPageBreak/>
        <w:t>者，从而减少对存量基金份额持有人利益的不利影响，确保投资人的合法权益不受损害并得到公平对待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6" w:name="_Toc234417618"/>
      <w:r>
        <w:rPr>
          <w:rFonts w:ascii="Times New Roman" w:hAnsi="Times New Roman"/>
          <w:sz w:val="30"/>
        </w:rPr>
        <w:lastRenderedPageBreak/>
        <w:t>三、基金管理人</w:t>
      </w:r>
      <w:bookmarkEnd w:id="6"/>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舒薇女士:基金经理。宾夕法尼亚大学MBA、上海交通大学金融硕士、上海交通大学学士，17年证券投资行业从业经验。历任东方证券分析师、中金公司分析师、光大证券分析师、香港瑞士信贷分析师。2019年加入交银施罗德基金管理有限公司，现任跨境投资部基金经理。曾任交银施罗德鸿泰一年持有期混合型证券投资基金(2024年01月18日至2025年08月29日)的基金经理。现任交银施罗德环球精选价值证券投资基金(2020年01月08日至今)、交银施罗德港股通优质精选混合型证券投资基金(2025年09月23日至今)的基金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7" w:name="_Toc234417619"/>
      <w:r>
        <w:rPr>
          <w:rFonts w:ascii="Times New Roman" w:hAnsi="Times New Roman"/>
          <w:sz w:val="30"/>
        </w:rPr>
        <w:lastRenderedPageBreak/>
        <w:t>四、基金托管人</w:t>
      </w:r>
      <w:bookmarkEnd w:id="7"/>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名称：中信证券股份有限公司（简称：中信证券）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注册地址：广东省深圳市福田区中心三路8号卓越时代广场（二期）北座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广东省深圳市福田区中心三路8号中信证券大厦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成立日期：1995年10月25日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14,820,546,829元人民币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存续期间：无期限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联系电话：95548-3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中信证券股份有限公司（以下简称“中信证券”）成立于1995年10月25日，前身是中信证券有限责任公司。中信证券于2003年1月6日在上海证券交易所挂牌上市，并于2011年10月6日在香港联交所上市交易。</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证券经纪（限山东省、河南省、浙江省天台县、浙江省苍南县以外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2014年7月中信证券成立托管部，并于当年10月收到中国证监会《关于核准中信证券股份有限公司证券投资基金托管资格的批复》（证监许可[2014]1044号），获得证券投资基金托管资格。开展基金托管业务以来，公司严格切实履行基金托管人职责，维护基金投资人的合法权益。中信证券逐年加大托管业务信息技术系统建设投入，构建智能化客户服务体系，持续研发创新基金托管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信证券设立托管部，管理并具体承办基金托管业务。托管部下设市场服务、产品设计、估值核算、托管结算、投资监督、跨境服务、客户服务、金融科技、风险管理、综合管理等团队。部门员工均按要求获得证券投资基金从业资格，并具有多年金融从业经历，核心业务岗人员均已具备5年及以上相关业务经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证券于2014年10月经中国证监会核准获批证券投资基金托管资格。中信证券自取得证券投资基金托管资格以来，秉承“忠于所托，信于所管”的宗旨，严格遵守国家的法律法规和监管机构的有关规定，依靠稳健的风险管理和内部控制体系、规范的管理模式、完善的运营系统和专业的服务团队，切实履行基金托管人职责，为基金管理人和投资者提供安全、专业、高效、可靠的托管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（二）托管业务的内部控制制度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信证券托管业务运行严格遵守国家有关法律法规和行业监管规则，秉承守法经营、规范运作的经营理念，通过建立流程化、制度化、科学化的内部控制体系，有效防范和化解经营风险，切实保障托管资产的安全完整，维护基金份额持有人的合法权益，确保托管业务安全、高效、稳健运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（1）合法合规原则：内控制度的建设与执行应当符合国家法律法规及监管要求，并贯穿于托管业务经营管理活动的始终；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（2）完整性原则：内部控制应覆盖托管业务的各项经营管理活动、各个业务流程和操作环节以及所有的岗位和人员，确保托管业务全流程具备规范的程序和相应的监督机制；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（3）有效性原则：建立对内控制度及其执行的监督、评价、反馈和完善机制，保证内控制度有效执行；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（4）审慎性原则：托管业务各项业务活动应以防范风险为前提，坚持审慎经营，切实保障基金资产的安全与完整；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（5）预防性原则：必须树立“预防为主”的管理理念，控制风险发生的源头，防患于未然，尽量避免业务操作中各种问题的产生；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（6）及时性原则：内控制度的制定应当具有前瞻性，并且随着托管部经营战略、经营理念等内部环境的变化和国家法律法规、政策制度等外部环境的改变及时</w:t>
      </w:r>
      <w:r>
        <w:rPr>
          <w:rFonts w:ascii="宋体" w:hAnsi="宋体"/>
          <w:sz w:val="24"/>
        </w:rPr>
        <w:lastRenderedPageBreak/>
        <w:t>地修改或完善，对发现的问题应及时处理，堵塞漏洞；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（7）独立性原则：确保托管的基金资产、托管人自有资产、托管的其他资产相互分离；业务操作人员和风险控制人员应保持相对独立；内控制度的检查、评价小组必须独立于内控制度的制定和执行小组；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（8）相互制约原则：托管部的内部机构和岗位设置应当权责分明、相互制衡。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根据《证券投资基金法》、《证券投资基金托管业务管理办法》等法律法规的规定，中信证券制定了一整套严密、高效的证券投资基金托管业务的规章制度，确保基金托管业务运行的规范、安全以及高效。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主要制度包括《中信证券股份有限公司证券投资基金托管业务管理办法》《中信证券股份有限公司证券投资基金托管业务内部控制和风险管理办法》《中信证券股份有限公司托管业务投资监督管理办法》《中信证券股份有限公司证券投资基金托管业务会计核算业务管理办法》《中信证券股份有限公司托管业务资产保管管理办法》《中信证券股份有限公司托管业务清算管理办法》《中信证券股份有限公司公开募集证券投资基金托管业务信息披露实施细则》《中信证券股份有限公司托管部基金从业人员管理办法》《中信证券股份有限公司托管业务档案管理办法》 《中信证券股份有限公司托管部保密工作管理办法》等，并根据市场变化和基金业务的发展不断加以完善。通过这些规章制度的建立和实施，做到业务分工合理、业务运行和操作流程化、技术系统完整独立、核心业务相互隔离以及有关信息披露由专人负责，勤勉尽责的履行托管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业务内部控制的内容主要涉及托管引入、资产保管、资金清算、会计核算和资产估值、投资监督、信息技术系统等重要业务环节的内部控制。基金托管人通过对基金托管业务各环节风险的事前揭示、事中控制和事后稽核的动态管理过程来实施内部风险控制。同时为了保证和验证内部控制的有效性、完整性，中信证券定期聘请具有证券业务资格的专业会计师事务所，针对基金托管业务的服务体系、内部控制的设计及运行有效性开展独立审查与评估，自2016年起每年均通过ISAE3402国际鉴证，中信证券托管业务质量、风险管理、内部控制方面的健全性和有效性得到第三方独立机构的全面认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托管业务内部控制的主要措施包括：不相容职务分离控制、授权审批控制、财</w:t>
      </w:r>
      <w:r>
        <w:rPr>
          <w:rFonts w:ascii="宋体" w:hAnsi="宋体"/>
          <w:sz w:val="24"/>
        </w:rPr>
        <w:lastRenderedPageBreak/>
        <w:t>产保护控制、会计系统控制、预算控制、运营分析控制和绩效考评控制等。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依照《基金法》及其配套法规和基金合同、托管协议的约定，监督所托管基金的投资运作。严格按照现行法律法规以及基金合同、托管协议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监控系统，对各基金投资运作比例等控制指标进行例行监控，发现投资比例超标等异常情况，通知基金管理人，与基金管理人进行情况核实，督促其纠正，并根据具体情况及时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（2）收到基金管理人的投资指令后，对涉及各基金的投资范围、投资对象等内容进行合法合规性监督。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（3）根据基金投资运作情况，编写托管人年度报告，对各基金投资运作的合法合规性等方面进行评价。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（4）通过技术或非技术手段发现基金涉嫌违规交易，电话或书面要求管理人进行解释或举证，并及时报告中国证监会。</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8" w:name="_Toc234417620"/>
      <w:r>
        <w:rPr>
          <w:rFonts w:ascii="Times New Roman" w:hAnsi="Times New Roman"/>
          <w:sz w:val="30"/>
        </w:rPr>
        <w:lastRenderedPageBreak/>
        <w:t>五、相关服务机构</w:t>
      </w:r>
      <w:bookmarkEnd w:id="8"/>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（2）名称：宁波银行股份有限公司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住所：宁波市江东区中山东路294号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（4）名称：中信证券（山东）有限责任公司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客服电话：95548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（6）名称：中国中金财富证券有限公司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（7）名称：国投证券股份有限公司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（8）名称：中原证券股份有限公司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（9）名称：华泰证券股份有限公司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（10）名称：华宝证券股份有限公司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（12）名称：中泰证券股份有限公司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（13）名称：中信证券华南股份有限公司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（14）名称：国泰海通证券股份有限公司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（16）名称：上海联泰基金销售有限公司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住所：上海市普陀区兰溪路900弄15号526室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（17）名称：腾安基金销售（深圳）有限公司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（18）名称：上海天天基金销售有限公司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（19）名称：中信期货有限公司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w:t>
      </w:r>
      <w:r>
        <w:rPr>
          <w:rFonts w:ascii="宋体" w:hAnsi="宋体"/>
          <w:sz w:val="24"/>
        </w:rPr>
        <w:lastRenderedPageBreak/>
        <w:t>1305室、14层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（20）名称：浙江同花顺基金销售有限公司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（21）名称：上海好买基金销售有限公司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（22）名称：蚂蚁（杭州）基金销售有限公司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（23）名称：珠海盈米基金销售有限公司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（24）名称：上海利得基金销售有限公司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（25）名称：上海基煜基金销售有限公司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网址：www.fofund.com.cn</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（26）名称：京东肯特瑞基金销售有限公司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（27）名称：中国人寿保险股份有限公司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电话：（021）31358666</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经办律师：丁媛、李晓露</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9" w:name="_Toc234417621"/>
      <w:r>
        <w:rPr>
          <w:rFonts w:ascii="Times New Roman" w:hAnsi="Times New Roman"/>
          <w:sz w:val="30"/>
        </w:rPr>
        <w:lastRenderedPageBreak/>
        <w:t>六、基金的募集</w:t>
      </w:r>
      <w:bookmarkEnd w:id="9"/>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本基金由基金管理人依照《基金法》、《运作办法》、《销售办法》、基金合同及其他有关规定，并经中国证监会2025年7月29日证监许可【2025】1608号文准予募集注册。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本基金2025年9月8日至2025年9月19日进行发售，本基金设立募集期共募集1,683,901,270.00份基金份额，有效认购户数为12,043户。</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0" w:name="_Toc234417622"/>
      <w:r>
        <w:rPr>
          <w:rFonts w:ascii="Times New Roman" w:hAnsi="Times New Roman"/>
          <w:sz w:val="30"/>
        </w:rPr>
        <w:lastRenderedPageBreak/>
        <w:t>七、基金合同的生效</w:t>
      </w:r>
      <w:bookmarkEnd w:id="10"/>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根据有关规定，本基金满足基金合同生效条件，基金合同已于2025年9月23日正式生效。自基金合同生效之日起，本基金管理人正式开始管理本基金。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1" w:name="_Toc234417623"/>
      <w:r>
        <w:rPr>
          <w:rFonts w:ascii="Times New Roman" w:hAnsi="Times New Roman"/>
          <w:sz w:val="30"/>
        </w:rPr>
        <w:lastRenderedPageBreak/>
        <w:t>八、基金份额的申购与赎回</w:t>
      </w:r>
      <w:bookmarkEnd w:id="11"/>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w:t>
      </w:r>
      <w:r>
        <w:rPr>
          <w:rFonts w:ascii="宋体" w:hAnsi="宋体"/>
          <w:sz w:val="24"/>
        </w:rPr>
        <w:lastRenderedPageBreak/>
        <w:t>定公告暂停申购、赎回时除外。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本基金已于2025年10月27日起开放申购、赎回业务。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基金交易账户保留的本基金基金份额余额少于1份时，若当日该账户同时有基金份额减少类业务（如赎回、转换出等）被确认，则基金管理人有权将投资人在该账户保留的本基金基金份额一次性全部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4、基金管理人可以规定基金总规模上限、单个投资人累计持有的基金份额上限，具体规定请参见相关公告。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不从该类别基金资产中计提销售服务费；申购C类基金份额不支付申购费用、从该类别基金资产中计提销售服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本基金A类基金份额的申购费用由申购A类基金份额的投资人承担，不列入基金</w:t>
      </w:r>
      <w:r>
        <w:rPr>
          <w:rFonts w:ascii="宋体" w:hAnsi="宋体"/>
          <w:sz w:val="24"/>
        </w:rPr>
        <w:lastRenderedPageBreak/>
        <w:t>财产，主要用于本基金的市场推广、销售、登记结算等各项费用。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投资人可以多次申购本基金，A类基金份额的申购费用按A类基金份额每笔申购申请单独计算。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807D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（2）本基金C类基金份额的赎回费用由赎回C类基金份额的基金份额持有人承担，在基金份额持有人赎回C类基金份额时收取，对C类基金份额持有人收取的赎回费全额计入基金财产。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807D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807D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销活动期间，基金管理人可以按中国证监会要求履行必要手续后，对投资人适当调低基金销售费用。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的有效赎回份额乘以当日该类基金份额的基金份额净值并扣除相应的费用（如有），赎回金额单位为元。赎回金额计算结果按四舍五入方法，保留到小数点后2位，由此产生的收益或损失由基金财产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本基金采用金额申购的方式。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申购份额=净申购金额/T日A类基金份额净值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例四：某投资者（非养老金客户）投资100,000.00元申购本基金A类基金份额，假设申购当日A类基金份额净值为1.0400元，申购费率为1.5%，则其可得到的申购份额为：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净申购金额=100,000.00/（1+1.5%）=98,522.17元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申购费用=100,000.00-98,522.17=1,477.83元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申购份额=98,522.17/1.0400=94,732.86份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即：某投资者（非养老金客户）投资100,000.00元申购本基金A类基金份额，假设申购当日A类基金份额净值为1.0400元，则其可得到94,732.86份A类基金份</w:t>
      </w:r>
      <w:r>
        <w:rPr>
          <w:rFonts w:ascii="宋体" w:hAnsi="宋体"/>
          <w:sz w:val="24"/>
        </w:rPr>
        <w:lastRenderedPageBreak/>
        <w:t>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例五：某养老金客户投资1,000,000.00元通过基金管理人的直销柜台申购本基金A类基金份额，假设申购当日A类基金份额净值为1.0400元，申购费率为0.6%，则其可得到的申购份额为：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净申购金额=1,000,000.00/（1+0.6%）=994,035.79元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申购费用=1,000,000.00-994,035.79=5,964.21元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申购份额=994,035.79/1.0400=955,803.64份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即：该养老金客户投资1,000,000.00元通过基金管理人的直销柜台申购本基金A类基金份额，假设申购当日A类基金份额净值为1.0400元，则其可得到955,803.64份A类基金份额。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例六：某投资者投资100,000.00元申购本基金的C类基金份额，假设申购当日C类基金份额净值为1.0400元，则其可得到的申购份额为：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即：投资者投资100,000.00元申购本基金的C类基金份额，假设申购当日C类基金份额净值为1.0400元，则其可得到96,153.85份C类基金份额。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本基金采用“份额赎回”的方式。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例七：某投资者赎回持有的10,000.00份A类基金份额，持有期限为30日，对应的赎回费率为0.5%，假设赎回当日A类基金份额净值是1.0160元，则其可得到的赎回金额为：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赎回费用=10,000.00×1.0160×0.5%＝50.80元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即：该投资者赎回本基金10,000.00份A类基金份额，持有期限为30日，对应的赎回费率为0.5%，假设赎回当日A类基金份额净值是1.0160元，则其可得到的赎回金额为10,109.20元。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如果投资者赎回C类基金份额，赎回金额的计算方法如下：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例八：某投资者赎回持有的10,000.00份C类基金份额，持有时间为20日，对应的赎回费率为0.5%，假设赎回当日C类基金份额净值是1.0160元，则其可得到的赎回金额为：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即：投资者赎回本基金10,000.00份C类基金份额，持有时间为20日，对应的赎回费率为0.5%，假设赎回当日C类基金份额净值是1.0160元，则其可得到的赎回金额为10,109.20元。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6、基金销售机构、基金销售支付结算机构或登记机构的异常情况导致基金销售系统、基金销售支付结算系统、基金注册登记系统或基金会计系统无法正常运行。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或者发生证券交易服务公司等机构认定的交易异常情况并决定暂停提供部分或者全部港股通服务，或者发生其他影响通过内地与香港股票市场交易互联互通机制进行正常交易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9、基金管理人接受某笔或者某些申购申请有可能导致单一投资者持有基金份额的比例超过50%，或者变相规避50%集中度的。出现上述情形时，基金管理人有权将上述申购申请全部或部分确认失败。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10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w:t>
      </w:r>
      <w:r>
        <w:rPr>
          <w:rFonts w:ascii="宋体" w:hAnsi="宋体"/>
          <w:sz w:val="24"/>
        </w:rPr>
        <w:lastRenderedPageBreak/>
        <w:t>人无法计算当日基金资产净值。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w:t>
      </w:r>
      <w:r>
        <w:rPr>
          <w:rFonts w:ascii="宋体" w:hAnsi="宋体"/>
          <w:sz w:val="24"/>
        </w:rPr>
        <w:lastRenderedPageBreak/>
        <w:t>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w:t>
      </w:r>
      <w:r>
        <w:rPr>
          <w:rFonts w:ascii="宋体" w:hAnsi="宋体"/>
          <w:sz w:val="24"/>
        </w:rPr>
        <w:lastRenderedPageBreak/>
        <w:t>基金重新开放申购或赎回公告，并公布最近1个开放日各类基金份额的基金份额净值。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本基金2025年10月24日刊登公告自2025年10月27日起开通定期定额投资计划业务，具体开通销售机构名单和业务规则参见相关公告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2" w:name="_Toc234417624"/>
      <w:r>
        <w:rPr>
          <w:rFonts w:ascii="Times New Roman" w:hAnsi="Times New Roman"/>
          <w:sz w:val="30"/>
        </w:rPr>
        <w:lastRenderedPageBreak/>
        <w:t>九、基金的投资</w:t>
      </w:r>
      <w:bookmarkEnd w:id="12"/>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本基金主要投资于港股通标的股票，在合理控制风险的前提下，充分发挥专业的研究与管理能力，力争实现基金资产的长期稳健增值。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港股通标的股票、国内依法发行上市的股票（含主板、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通标的股票、债券及货币市场工具等各类别资产间的分配比例，并随着各类证券风险收益特征的相对变化，在基金合同约定的范围内动态调整组合中各类资产的比例，以规避或控制市场风险，提高基金收益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（1）港股通标的股票投资策略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本基金将通过内地与香港股票市场交易互联互通机制投资于香港股票市场，重点投资于处于周期上行行业、业绩向上弹性较大、具有估值优势或核心竞争力的港股通标的股票。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1）周期判断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对宏观经济、市场面、政策面等因素进行定量与定性相结合的分析研究，确定当下经济运行所处阶段，寻找与之相匹配的增速机会：当整体经济处于收缩阶段，越是增速高的预期，实现的概率会越低，反之亦然。这决定了组合在不同的经济周期，对于筛选个股增速的要求不同。主要考虑的因素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■宏观经济指标：如国内生产总值（GDP）增速、工业增加值、生产者物价指数（PPI）、消费者物价指数（CPI）、市场利率变化、货币供应量、固定资产投资、进出口贸易数据等；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■政策因素：如货币政策、财政政策、货币市场相关政策等；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■行业因素：如行业发展阶段、竞争格局、行业政策扶持情况等。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2）品质筛选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■财务状况指标：如资产负债率（D/A）、流动比率等；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3）价值评估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（2）存托凭证的投资策略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w:t>
      </w:r>
      <w:r>
        <w:rPr>
          <w:rFonts w:ascii="宋体" w:hAnsi="宋体"/>
          <w:sz w:val="24"/>
        </w:rPr>
        <w:lastRenderedPageBreak/>
        <w:t>活跃的期货合约。本基金在进行股指期货投资时，将通过对证券市场和期货市场运行趋势的研究，并结合股指期货的定价模型寻求其合理的估值水平。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（1）股票投资（含存托凭证）占基金资产的比例为60%-95%，其中投资于港股通标的股票的比例不低于非现金基金资产的80%；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（10）基金财产参与股票发行申购，本基金所申报的金额不超过本基金的总资产，本基金所申报的股票数量不超过拟发行股票公司本次发行股票的总量；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除上述（2）、（9）、（12）、（13）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法律法规或监管部门取消或者变更上述限制，如适用于本基金，基金管理人在履行适当程序后，则本基金投资不再受相关限制或以变更后的规定为准。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中证港股通综合指数（人民币）收益率×80%+中债综合全价指数收益率×10%+人民币银行活期存款利率（税后）×10%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中证港股通综合指数是由中证指数有限公司编制，选取符合港股通资格的上市公司证券作为样本，以反映港股通范围内上市公司的整体表现。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部分比较基准较为合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本基金投资港股通标的股票，会面临港股通机制下因投资环境、投资标的、市场制度以及交易规则等差异带来的特有风险。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本基金托管人中信证券股份有限公司根据本基金合同规定，于2026年04月20日复核了本报告中的财务指标、净值表现和投资组合报告等内容，保证复核内容不存在虚假记载、误导性陈述或者重大遗漏。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820,054,031.91</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87.17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820,054,031.91</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87.17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119,190,059.22</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12.67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1,464,000.80</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940,708,091.93</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注：本基金本报告期末通过港股通机制投资香港股票的公允价值为764,300,689.72元，占基金资产净值比例为82.84%。</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54,806,484.49</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925,117.90</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807D9">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55,753,342.19</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6.04</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136,637,697.42</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14.81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135,527,748.03</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14.69</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114,889,647.35</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12.45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105,173,689.41</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85,551,736.17</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9.27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78,984,066.21</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8.56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77,852,544.60</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8.44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23,329,110.65</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2.53</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4,760,071.75</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1,594,378.13</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764,300,689.72</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82.84</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169,300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72,349,982.54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7.84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06990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科伦博泰生物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144,100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58,527,223.70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6.34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770,000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57,721,090.35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6.26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00175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吉利汽车</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2,976,000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54,970,630.46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5.96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95,800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54,549,478.00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5.91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01209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华润万象生活</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1,215,800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50,496,998.29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5.47</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00388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香港交易所</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142,700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48,962,420.60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5.31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444,600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46,714,588.83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5.06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02689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玖龙纸业</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7,605,000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44,385,057.70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4.81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01519 HK</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极兔速递</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4,225,400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37,718,559.16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4.09</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9.2 本基金投资股指期货的投资政策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2025年6月16日,国家外汇管理局湖南省分局公示湘汇罚[2025]3号，给予中联重科股份有限公司4万元人民币的行政处罚。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1,354,148.96</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109,851.84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right"/>
              <w:rPr>
                <w:rFonts w:ascii="宋体" w:hAnsi="宋体"/>
                <w:color w:val="000000"/>
                <w:kern w:val="0"/>
                <w:sz w:val="25"/>
                <w:szCs w:val="24"/>
              </w:rPr>
            </w:pPr>
            <w:r>
              <w:rPr>
                <w:rFonts w:ascii="Times New Roman" w:hAnsi="Times New Roman"/>
                <w:color w:val="000000"/>
                <w:kern w:val="0"/>
                <w:sz w:val="25"/>
                <w:szCs w:val="24"/>
              </w:rPr>
              <w:t>1,464,000.80</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3" w:name="_Toc234417625"/>
      <w:r>
        <w:rPr>
          <w:rFonts w:ascii="Times New Roman" w:hAnsi="Times New Roman"/>
          <w:sz w:val="30"/>
        </w:rPr>
        <w:lastRenderedPageBreak/>
        <w:t>十、基金的业绩</w:t>
      </w:r>
      <w:bookmarkEnd w:id="13"/>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交银港股通优质精选混合A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-8.91%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-4.92%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-3.99%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2.83%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交银港股通优质精选混合C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-9.05%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-4.92%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-4.13%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r w:rsidR="00F807D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-1.30%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-3.97%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bl>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注：本基金的业绩比较基准为中证港股通综合指数（人民币）收益率×80%+中债综合全价指数收益率×10%+人民币银行活期存款利率（税后）×10%，每日进行再平衡过程。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（1）自基金合同生效以来基金份额累计净值增长率变动及其与同期业绩比较</w:t>
      </w:r>
      <w:r>
        <w:rPr>
          <w:rFonts w:ascii="宋体" w:hAnsi="宋体"/>
          <w:sz w:val="24"/>
        </w:rPr>
        <w:lastRenderedPageBreak/>
        <w:t>基准收益率变动的比较</w:t>
      </w:r>
    </w:p>
    <w:p w:rsidR="00F807D9" w:rsidRDefault="00F230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交银施罗德港股通优质精选混合型证券投资基金</w:t>
      </w:r>
    </w:p>
    <w:p w:rsidR="00F807D9" w:rsidRDefault="00F230D6">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（2025年9月23日至2026年03月31日）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交银港股通优质精选混合A</w:t>
      </w:r>
    </w:p>
    <w:p w:rsidR="00F807D9" w:rsidRDefault="00D1222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交银港股通优质精选混合C</w:t>
      </w:r>
    </w:p>
    <w:p w:rsidR="00F807D9" w:rsidRDefault="00D12225">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基金合同生效日为2025年9月23日，基金合同生效日至报告期期末，本基金运作时间未满一年。本基金建仓期为自基金合同生效日起的6个月。截至建仓期结束，本基金各项资产配置比例符合基金合同及招募说明书有关投资比例的约定。</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4" w:name="_Toc234417626"/>
      <w:r>
        <w:rPr>
          <w:rFonts w:ascii="Times New Roman" w:hAnsi="Times New Roman"/>
          <w:sz w:val="30"/>
        </w:rPr>
        <w:lastRenderedPageBreak/>
        <w:t>十一、基金的财产</w:t>
      </w:r>
      <w:bookmarkEnd w:id="14"/>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5" w:name="_Toc234417627"/>
      <w:r>
        <w:rPr>
          <w:rFonts w:ascii="Times New Roman" w:hAnsi="Times New Roman"/>
          <w:sz w:val="30"/>
        </w:rPr>
        <w:lastRenderedPageBreak/>
        <w:t>十二、基金资产的估值</w:t>
      </w:r>
      <w:bookmarkEnd w:id="15"/>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基金所拥有的股票、债券、资产支持证券、股指期货和其他投资等持续以公允价值计量的金融资产及负债。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w:t>
      </w:r>
      <w:r>
        <w:rPr>
          <w:rFonts w:ascii="宋体" w:hAnsi="宋体"/>
          <w:sz w:val="24"/>
        </w:rPr>
        <w:lastRenderedPageBreak/>
        <w:t>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8、同一证券同时在两个或两个以上市场交易的，按证券所处的市场分别估值。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14、相关法律法规以及监管部门有强制规定的，从其规定。如有新增事项，按国家最新规定估值。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资产净值、各类基金份额净值结果发送基金托管人，经基金托管人复核无误后，</w:t>
      </w:r>
      <w:r>
        <w:rPr>
          <w:rFonts w:ascii="宋体" w:hAnsi="宋体"/>
          <w:sz w:val="24"/>
        </w:rPr>
        <w:lastRenderedPageBreak/>
        <w:t>由基金管理人依据基金合同和相关法律法规的规定对外公布。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w:t>
      </w:r>
      <w:r>
        <w:rPr>
          <w:rFonts w:ascii="宋体" w:hAnsi="宋体"/>
          <w:sz w:val="24"/>
        </w:rPr>
        <w:lastRenderedPageBreak/>
        <w:t>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1、基金投资所涉及的证券、期货交易市场或外汇市场遇法定节假日或因其他原因暂停营业时；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（八）基金净值的确认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6" w:name="_Toc234417628"/>
      <w:r>
        <w:rPr>
          <w:rFonts w:ascii="Times New Roman" w:hAnsi="Times New Roman"/>
          <w:sz w:val="30"/>
        </w:rPr>
        <w:lastRenderedPageBreak/>
        <w:t>十三、基金收益与分配</w:t>
      </w:r>
      <w:bookmarkEnd w:id="16"/>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7" w:name="_Toc234417629"/>
      <w:r>
        <w:rPr>
          <w:rFonts w:ascii="Times New Roman" w:hAnsi="Times New Roman"/>
          <w:sz w:val="30"/>
        </w:rPr>
        <w:lastRenderedPageBreak/>
        <w:t>十四、基金的费用与税收</w:t>
      </w:r>
      <w:bookmarkEnd w:id="17"/>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向基金托管人发送基金管理费划款指令，基金托管人复核后于次月前5个工作日内从基金财产中一次性支付给基金管理人。若遇法定节假日、公休假等，支付日期顺延至最近可支付日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向基金托管人发送基金托管费划款指令，基金托管人复核后于次月前5个工作日内从基金财产中一次性支付给基金托管人。若遇法定节假日、公休假等，支付日期顺延至最近可支付日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于次月前5个工作日内从基金财产中一次性支付给基金管理人，由基金管理人代付给销售机构。若遇法定节假日、公休假等，支付日期顺延至最近可支付日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下列费用不列入基金费用：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8" w:name="_Toc234417630"/>
      <w:r>
        <w:rPr>
          <w:rFonts w:ascii="Times New Roman" w:hAnsi="Times New Roman"/>
          <w:sz w:val="30"/>
        </w:rPr>
        <w:lastRenderedPageBreak/>
        <w:t>十五、基金的会计与审计</w:t>
      </w:r>
      <w:bookmarkEnd w:id="18"/>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19" w:name="_Toc234417631"/>
      <w:r>
        <w:rPr>
          <w:rFonts w:ascii="Times New Roman" w:hAnsi="Times New Roman"/>
          <w:sz w:val="30"/>
        </w:rPr>
        <w:lastRenderedPageBreak/>
        <w:t>十六、基金的信息披露</w:t>
      </w:r>
      <w:bookmarkEnd w:id="19"/>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交易政策、持仓情况、损益情况、风险指标等，并充分揭示股指期货交易对基金总体风险的影响以及是否符合既定的投资政策和投资目标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本基金投资于港股通标的股票，基金应当在季度报告、中期报告、年度报告等定期报告和招募说明书（更新）等文件中披露港股通标的股票的投资情况。法律法规或中国证监会另有规定的，从其规定。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w:t>
      </w:r>
      <w:r>
        <w:rPr>
          <w:rFonts w:ascii="宋体" w:hAnsi="宋体"/>
          <w:sz w:val="24"/>
        </w:rPr>
        <w:lastRenderedPageBreak/>
        <w:t>理人、基金托管人应当向中国证监会基金电子披露网站报送拟披露的基金信息，并保证相关报送信息的真实、准确、完整、及时。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0" w:name="_Toc234417632"/>
      <w:r>
        <w:rPr>
          <w:rFonts w:ascii="Times New Roman" w:hAnsi="Times New Roman"/>
          <w:sz w:val="30"/>
        </w:rPr>
        <w:lastRenderedPageBreak/>
        <w:t>十七、侧袋机制</w:t>
      </w:r>
      <w:bookmarkEnd w:id="20"/>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807D9" w:rsidRDefault="00F230D6">
      <w:pPr>
        <w:pStyle w:val="1"/>
        <w:snapToGrid w:val="0"/>
        <w:spacing w:beforeLines="0" w:before="240" w:after="240"/>
        <w:rPr>
          <w:rFonts w:ascii="宋体" w:hAnsi="宋体"/>
          <w:szCs w:val="30"/>
        </w:rPr>
      </w:pPr>
      <w:bookmarkStart w:id="21" w:name="_Toc234417633"/>
      <w:r>
        <w:rPr>
          <w:rFonts w:ascii="Times New Roman" w:hAnsi="Times New Roman"/>
          <w:sz w:val="30"/>
        </w:rPr>
        <w:lastRenderedPageBreak/>
        <w:t>十八、风险揭示</w:t>
      </w:r>
      <w:bookmarkEnd w:id="21"/>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基金合同约定的时限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股票投资（含存托凭证）占基金资产的比例为60%-95%，其中投资于港股通标的股票的比例不低于非现金基金资产的80%。本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3、基金合同提前终止风险。基金合同生效后，连续50个工作日出现基金份额持有人数量不满200人或者基金资产净值低于5000万元情形的，基金合同终止，不</w:t>
      </w:r>
      <w:r>
        <w:rPr>
          <w:rFonts w:ascii="宋体" w:hAnsi="宋体"/>
          <w:sz w:val="24"/>
        </w:rPr>
        <w:lastRenderedPageBreak/>
        <w:t>需召开基金份额持有人大会。因此，投资者可能面临基金合同提前终止的风险。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5、投资港股通标的股票的特定风险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本基金投资于港股通标的股票，会面临港股通机制下因投资环境、投资标的、市场制度以及交易规则等差异带来的特有风险，具体如下：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w:t>
      </w:r>
      <w:r>
        <w:rPr>
          <w:rFonts w:ascii="宋体" w:hAnsi="宋体"/>
          <w:sz w:val="24"/>
        </w:rPr>
        <w:lastRenderedPageBreak/>
        <w:t>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6、投资股指期货的特定风险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（2）流动性风险是指由于股指期货合约无法及时变现所带来的风险。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7、投资资产支持证券的特定风险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8、投资流通受限证券的特定风险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9、投资存托凭证的特定风险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w:t>
      </w:r>
      <w:r>
        <w:rPr>
          <w:rFonts w:ascii="宋体" w:hAnsi="宋体"/>
          <w:sz w:val="24"/>
        </w:rPr>
        <w:lastRenderedPageBreak/>
        <w:t>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10、投资科创板股票的特定风险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w:t>
      </w:r>
      <w:r w:rsidRPr="00BB248E">
        <w:rPr>
          <w:rFonts w:ascii="宋体" w:hAnsi="宋体" w:hint="eastAsia"/>
          <w:b/>
          <w:kern w:val="0"/>
          <w:sz w:val="24"/>
        </w:rPr>
        <w:lastRenderedPageBreak/>
        <w:t>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2" w:name="_Toc234417634"/>
      <w:r>
        <w:rPr>
          <w:rFonts w:ascii="Times New Roman" w:hAnsi="Times New Roman"/>
          <w:sz w:val="30"/>
        </w:rPr>
        <w:lastRenderedPageBreak/>
        <w:t>十九、基金合同的变更、终止与基金财产的清算</w:t>
      </w:r>
      <w:bookmarkEnd w:id="22"/>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3" w:name="_Toc234417635"/>
      <w:r>
        <w:rPr>
          <w:rFonts w:ascii="Times New Roman" w:hAnsi="Times New Roman"/>
          <w:sz w:val="30"/>
        </w:rPr>
        <w:lastRenderedPageBreak/>
        <w:t>二十、基金合同内容摘要</w:t>
      </w:r>
      <w:bookmarkEnd w:id="23"/>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但根据监管机构、司法机关等有权机关的要求提供，或因审计、法律等外部专业顾问提供服务需要提供的情况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w:t>
      </w:r>
      <w:r>
        <w:rPr>
          <w:rFonts w:ascii="宋体" w:hAnsi="宋体"/>
          <w:sz w:val="24"/>
        </w:rPr>
        <w:lastRenderedPageBreak/>
        <w:t>分配基金收益；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但根据监管机构、司法机关等有权机关的要求提供，或因审计、法律等外部专业顾问提供服务需要提供的</w:t>
      </w:r>
      <w:r>
        <w:rPr>
          <w:rFonts w:ascii="宋体" w:hAnsi="宋体"/>
          <w:sz w:val="24"/>
        </w:rPr>
        <w:lastRenderedPageBreak/>
        <w:t>情况除外；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（18）面临解散、依法被撤销或者被依法宣告破产时，及时报告中国证监会，并通知基金管理人；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w:t>
      </w:r>
      <w:r>
        <w:rPr>
          <w:rFonts w:ascii="宋体" w:hAnsi="宋体"/>
          <w:sz w:val="24"/>
        </w:rPr>
        <w:lastRenderedPageBreak/>
        <w:t>基金投资者自依据《基金合同》取得本基金基金份额，即成为本基金基金份额持有人和《基金合同》的当事人，直至其不再持有本基金的基金份额。基金份额持有人作为《基金合同》当事人并不以在《基金合同》上书面签章或签字为必要条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（9）遵守基金管理人、基金托管人、销售机构和登记机构的相关交易及业务规则；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w:t>
      </w:r>
      <w:r>
        <w:rPr>
          <w:rFonts w:ascii="宋体" w:hAnsi="宋体"/>
          <w:sz w:val="24"/>
        </w:rPr>
        <w:lastRenderedPageBreak/>
        <w:t>无实质性不利影响的前提下，以下情况可由基金管理人和基金托管人协商后修改，不需召开基金份额持有人大会：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6）在法律法规允许的情况下，且在对现有基金份额持有人利益无实质性不利影响的前提下，在履行适当程序后，基金推出新业务或服务；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7）在符合法律法规及本基金合同规定、并且对基金份额持有人利益无实质性不利影响的前提下，调整本基金份额类别的设置、对基金份额分类办法及规则进行调整；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基金份额持有人大会决议自生效之日起依照《信息披露办法》的规定在规定媒介上公告。如果采用通讯方式进行表决，在公告基金份额持有人大会决议时，必须将公证书全文、公证机构、公证员姓名等一同公告。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同一主侧袋账户内的每份基金份额具有平等的表决权。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按规定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各方当事人同意，因《基金合同》而产生的或与《基金合同》有关的一切争</w:t>
      </w:r>
      <w:r w:rsidRPr="00BB248E">
        <w:rPr>
          <w:rFonts w:ascii="宋体" w:hAnsi="宋体" w:hint="eastAsia"/>
          <w:b/>
          <w:kern w:val="0"/>
          <w:sz w:val="24"/>
        </w:rPr>
        <w:lastRenderedPageBreak/>
        <w:t>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《基金合同》受中国法律（为本基金合同之目的，不含港澳台地区法律）管辖并从其解释。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4" w:name="_Toc234417636"/>
      <w:r>
        <w:rPr>
          <w:rFonts w:ascii="Times New Roman" w:hAnsi="Times New Roman"/>
          <w:sz w:val="30"/>
        </w:rPr>
        <w:lastRenderedPageBreak/>
        <w:t>二十一、托管协议的内容摘要</w:t>
      </w:r>
      <w:bookmarkEnd w:id="24"/>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1、基金管理人(或简称“管理人”)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2、基金托管人(或简称“托管人”)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名称：中信证券股份有限公司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注册地址：广东省深圳市福田区中心三路8号卓越时代广场（二期）北座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广东省深圳市福田区中心三路8号中信证券大厦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成立时间：1995年10月25日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批准设立机关：国家工商总局</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批准设立文号：100000000018305</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组织形式：股份有限公司（上市）</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注册资本：14,820,546,829元人民币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基金托管资格批文及文号：《关于核准中信证券股份有限公司证券投资基金托管资格的批复》（证监许可[2014]1044号）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经营范围：证券经纪（限山东省、河南省、浙江省天台县、浙江省苍南县以外</w:t>
      </w:r>
      <w:r>
        <w:rPr>
          <w:rFonts w:ascii="宋体" w:hAnsi="宋体"/>
          <w:sz w:val="24"/>
        </w:rPr>
        <w:lastRenderedPageBreak/>
        <w:t>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存续期间：无限期</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基金托管人根据有关法律法规的规定和《基金合同》的约定，对下述基金投资范围进行监督。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本基金将投资于以下金融工具：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港股通标的股票、国内依法发行上市的股票（含主板、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基金托管人根据有关法律法规的规定及《基金合同》的约定对下述基金投资比例进行监督。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1）按法律法规的规定及《基金合同》的约定，本基金的投资资产配置比例为：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投资（含存托凭证）占基金资产的比例为60%-95%，其中投资于港股通标的股票的比例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w:t>
      </w:r>
      <w:r>
        <w:rPr>
          <w:rFonts w:ascii="宋体" w:hAnsi="宋体"/>
          <w:sz w:val="24"/>
        </w:rPr>
        <w:lastRenderedPageBreak/>
        <w:t>申购款等。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2）根据法律法规的规定及《基金合同》的约定，本基金投资组合遵循以下投资限制：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a.股票投资（含存托凭证）占基金资产的比例为60%-95%，其中投资于港股通标的股票的比例不低于非现金基金资产的80%；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c.本基金持有一家公司发行的证券（同一家公司在内地和香港同时上市的A+H股合计计算），其市值不超过基金资产净值的10％；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管理人管理且在基金托管人处托管的全部基金持有一家公司发行的证券（同一家公司在内地和香港同时上市的A+H股合计计算），不超过该证券的10％，完全按照有关指数的构成比例进行证券投资的基金品种可以不受此条款规定的比例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e.本基金投资于同一原始权益人的各类资产支持证券的比例，不得超过基金资产净值的10％；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f.本基金持有的全部资产支持证券，其市值不得超过基金资产净值的20％；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g.本基金持有的同一（指同一信用级别）资产支持证券的比例，不得超过该资产支持证券规模的10％；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h.本基金管理人管理且在基金托管人处托管的全部基金投资于同一原始权益人的各类资产支持证券，不得超过其各类资产支持证券合计规模的10％；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i.本基金应投资于信用级别评级为BBB以上（含BBB）的资产支持证券。基金持有资产支持证券期间，如果其信用等级下降、不再符合投资标准，应在评级报告发布之日起3个月内予以全部卖出；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j.基金财产参与股票发行申购，本基金所申报的金额不超过本基金的总资产，本基金所申报的股票数量不超过拟发行股票公司本次发行股票的总量；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k.本基金管理人管理且在基金托管人处托管的全部开放式基金（包括开放式基金以及处于开放期的定期开放基金）持有一家上市公司发行的可流通股票，不得超</w:t>
      </w:r>
      <w:r>
        <w:rPr>
          <w:rFonts w:ascii="宋体" w:hAnsi="宋体"/>
          <w:sz w:val="24"/>
        </w:rPr>
        <w:lastRenderedPageBreak/>
        <w:t>过该上市公司可流通股票的15%；本基金管理人管理且在基金托管人处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l.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m.本基金与私募类证券资管产品及中国证监会认定的其他主体为交易对手开展逆回购交易的，可接受质押品的资质要求应当与基金合同约定的投资范围保持一致；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n.本基金参与股指期货交易，则：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①本基金在任何交易日日终，持有的买入股指期货合约价值，不得超过基金资产净值的10%；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③本基金在任何交易日日终，持有的卖出股指期货合约价值不得超过基金持有的股票总市值的20%；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④本基金所持有的股票市值和买入、卖出股指期货合约价值，合计（轧差计算）应当符合基金合同关于股票投资比例的有关约定；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⑤本基金在任何交易日内交易（不包括平仓）的股指期货合约的成交金额不得超过上一交易日基金资产净值的20%；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o.本基金资产总值不超过基金资产净值的140%；</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p.本基金投资存托凭证的比例限制依照境内上市交易的股票执行；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q.法律法规及中国证监会规定的和《基金合同》约定的其他投资限制。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b、i、l、m情形之外，因证券、期货市场波动、证券发行人合并、基金规模变动等基金管理人之外的因素致使基金投资比例不符合上述规定投资比例的，基金管理人应当在10个交易日内进行调整，但中国证监会规定的特殊情形除外。法</w:t>
      </w:r>
      <w:r>
        <w:rPr>
          <w:rFonts w:ascii="宋体" w:hAnsi="宋体"/>
          <w:sz w:val="24"/>
        </w:rPr>
        <w:lastRenderedPageBreak/>
        <w:t>律法规另有规定的，从其规定。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应当符合基金合同的约定。基金托管人对基金的投资的监督与检查自基金合同生效之日起开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法律法规或监管部门取消或者变更上述限制，如适用于本基金，基金管理人在履行适当程序后，则本基金投资不再受相关限制或以变更后的规定为准。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基金托管人根据有关法律法规的规定及《基金合同》的约定对下述基金投资禁止行为通过事后监督方式进行监督：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（5）本基金参与银行间市场交易，由基金管理人决定银行间市场交易对手的名单，并按照审慎的风险控制原则在该名单中约定各交易对手所适用的交易结算方</w:t>
      </w:r>
      <w:r>
        <w:rPr>
          <w:rFonts w:ascii="宋体" w:hAnsi="宋体"/>
          <w:sz w:val="24"/>
        </w:rPr>
        <w:lastRenderedPageBreak/>
        <w:t>式。基金管理人应严格按照交易对手名单的范围在银行间债券市场选择交易对手；基金管理人在银行间市场进行现券买卖和回购交易时，需按交易对手名单中约定的该交易对手所适用的交易结算方式进行交易。基金托管人对基金管理人参与银行间市场交易的交易对手是否符合交易对手名单进行事后监督。基金托管人监控依赖基金管理人提供的交易对手名单，如基金管理人未能提供，基金托管人不承担任何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此处流通受限证券与上文所述的流动性受限资产并不完全一致，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进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投资非公开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于拟执行投资指令前将上述信息书面发至基金托管人，保证基金托管人有足够的时间进行审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5）基金托管人应按照《关于基金投资非公开发行股票等流通受限证券有关问</w:t>
      </w:r>
      <w:r>
        <w:rPr>
          <w:rFonts w:ascii="宋体" w:hAnsi="宋体"/>
          <w:sz w:val="24"/>
        </w:rPr>
        <w:lastRenderedPageBreak/>
        <w:t>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相应责任，并有权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如基金管理人和基金托管人无法达成一致，应及时上报中国证监会请求解决。如果基金托管人切实履行监督职责，则不承担相应责任。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银行存款的信用风险主要包括存款银行的信用等级、存款银行的支付能力等涉及到存款银行选择方面的风险。本基金的基金管理人根据相应规则确定存款银行，本基金投资存款银行以外的银行存款出现由于存款银行信用风险而造成的损失时由相关责任人进行赔偿。基金托管人不对本基金投资银行存款的存款银行进行监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需基金管理人主动提供）中登载基金业绩表现数据等进行监督和核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法律法规、《基金合同》、本托管协议及其他有关规定时，应及时以书面形式通知基金管理人限期纠正，基金管理人收到通知后应及时核对，并以书面形式向基金托管人发出回函，进行解释或举证，说明违规原因及纠正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基金管理人应赔偿因其违反法律法规、行业自律性规定或《基金合同》或本托管协议及其他有关规定而致使投资者和基金托管人遭受的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依据交易程序尚未成交的且基金托管人在交易前能够监控的投资指令，基金托管人发现该投资指令违反有关法律法规规定或者违反《基金合同》约定的，应当拒绝执行，立即通知基金管理人，并向中国证监会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对于必须于估值完成后方可获知的监控指标或依据交易程序已经成交的投资指令，基金托管人发现该投资指令违反有关法律法规或者违反《基金合同》约定的，</w:t>
      </w:r>
      <w:r>
        <w:rPr>
          <w:rFonts w:ascii="宋体" w:hAnsi="宋体"/>
          <w:sz w:val="24"/>
        </w:rPr>
        <w:lastRenderedPageBreak/>
        <w:t>应当立即通知基金管理人，并报告中国证监会。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等法律法规、《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上述限期内，基金管理人有权随时对通知事项进行复查，督促基金托管人改正，并予协助配合。基金托管人应积极配合基金管理人的核查行为，包括但不限于：提交相关资料以供基金管理人核查基金财产的完整性和真实性，在规定时间内答复基金管理人并改正。基金托管人对基金管理人通知的违规事项未能在限期内纠正的，基金管理人应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3、基金管理人发现基金托管人有重大违规行为，应立即报告中国证监会，同时通知基金托管人限期纠正，并将纠正结果报告中国证监会。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（四）基金财产保管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（1）基金财产应独立于基金管理人、基金托管人、证券经纪机构的固有财产。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（2）基金托管人应安全保管基金财产，未经基金管理人的合法合规指令或法律法规、《基金合同》及本协议另有规定，不得自行运用、处分、分配基金的任何财产。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（3）基金托管人按照规定开设基金财产的资金账户、证券账户等投资所需账户，相关开户费用由基金资产承担。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（4）基金托管人对所托管的不同基金财产分别设置账户，分账管理，独立核算，确保基金财产的完整与独立。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因为基金认申购、投资产生的应收资产，应由基金管理人负责与有关当事人确定到账日期并通知基金托管人，到账日基金财产没有到达基金账户的，基金托管人应及时通知基金管理人采取措施进行催收。基金管理人未及时催收给基金财产造成损失的，基金管理人应负责向有关当事人追偿基金财产的损失，基金托管人应予以必要的协助与配合，但对此不承担相应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因为基金管理人投资产生的存放或存管在基金托管人以外机构的基金财产，或交由期货公司或证券公司负责清算交收的基金财产（包括但不限于期货保证金账户内的资金、期货合约等）及其收益，若由于该等机构或该机构会员单位等本协议当事人外第三方的原因给基金财产造成的损失等，基金托管人不承担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（7）除依据法律法规、《基金合同》及其他有关规定外，基金托管人不得委托第三人托管基金财产。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2、《基金合同》生效前募集资金的验资和入账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基金管理人在具有托管资格的银行开立的“基金募集专户”，该账户由基金管理人开立并管理。基金募集期满或基金管理人宣布停止募集时，募集的基金份额总额、基金募集金额、基金份额持有人人数符合《基金法》、《运作办法》等有关规定后，基金管理人应将属于本基金财产的全部资金划入在基金托管人为本基金开立的基金银行账户。同时在规定时间内，由基金管理人在法定期限内聘请符合《中华人民共和国证券法》规定的会计师事务所对基金进行验资，并出具验资报告，出具的验资报告应由参加验资的2名以上(含2名)中</w:t>
      </w:r>
      <w:r>
        <w:rPr>
          <w:rFonts w:ascii="宋体" w:hAnsi="宋体"/>
          <w:sz w:val="24"/>
        </w:rPr>
        <w:lastRenderedPageBreak/>
        <w:t>国注册会计师签字方为有效。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（2）若基金募集期限届满，未能达到《基金合同》生效的条件，由基金管理人按规定办理退款等事宜，基金托管人应提供必要的协助。</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3、基金的银行账户（基金托管账户）的开设和管理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本基金的名义在具有基金托管资格的商业银行开设本基金的银行账户。本基金的银行预留印鉴为“中信证券股份有限公司托管业务结算专用章”和基金托管人有权人名章。本基金的一切货币收支活动，包括但不限于投资、支付赎回金额、支付基金收益、收取申购款，均需通过本基金的银行账户进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（3）本基金银行账户的开立和使用，限于满足开展本基金业务的需要。基金托管人和基金管理人不得假借本基金的名义开立其他任何银行账户；亦不得使用本基金的银行账户进行本基金业务以外的活动。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（4）本基金银行账户的开立和管理应符合法律法规及银行业监督管理机构的有关规定。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4、基金证券账户和证券资金账户的开设和管理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（1）基金托管人应当代表本基金，以基金托管人和本基金联名的方式在中国证券登记结算有限责任公司（以下简称为“中登公司”）开设证券账户。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证券账户的开立和使用，限于满足开展本基金业务的需要。基金托管人和基金管理人不得出借或未经另一方同意擅自转让本基金的证券账户；亦不得使用本基金的证券账户进行本基金业务以外的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（3）基金证券账户的开立由基金托管人负责，账户资产的管理和运用由基金管理人负责。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（4）证券账户开立后，证券经纪商选择指定营业网点为本基金开立证券资金账户，并通知基金托管人，该证券资金账户与基金托管账户之间建立银证转账对应关系。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证券交易资金采用第三方存管模式，即用于证券交易结算资金全额存放在基金管理人为基金开设证券资金账户中，场内的证券交易资金清算由基金管理人所选择的证券公司负责。基金托管人不负责办理场内的证券交易资金清算，也不负责保管证券资金账户内存放的资金。</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（6）在本托管协议生效日之后，本基金被允许从事其他投资品种的投资业务</w:t>
      </w:r>
      <w:r>
        <w:rPr>
          <w:rFonts w:ascii="宋体" w:hAnsi="宋体"/>
          <w:sz w:val="24"/>
        </w:rPr>
        <w:lastRenderedPageBreak/>
        <w:t>的，涉及相关账户的开设、使用的，若无相关规定，则基金托管人应当比照并遵守上述关于账户开设、使用的规定。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基金的名义在中央国债登记结算有限责任公司、银行间市场清算所股份有限公司开设银行间债券市场债券托管账户和资金结算专户，并代表基金进行银行间债券市场债券和资金的清算。基金管理人和基金托管人应共同负责完成银行间债券市场准入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6、期货账户的开设和管理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根据投资需要按照规定开立期货保证金账户及期货交易编码等。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7、其他账户的开立和管理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（1）因业务发展需要而开立的其他账户，可以根据法律法规和《基金合同》的规定，由基金管理人协助基金托管人按照有关法律法规和本协议的约定协商后开立。新账户按有关规定使用并管理。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8、基金投资银行存款账户的开立和管理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基金投资银行定期存款应由基金管理人与存款银行总行或其授权分行签订总体合作协议，并将资金存放于存款银行总行或其授权分行指定的分支机构。</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账户必须以基金名义开立，账户名称为基金名称，存款账户开户文件上加盖预留印鉴及基金管理人公章。预留印鉴为“中信证券股份有限公司托管业务结算专用章”和基金托管人有权人名章。存款证实书原件由基金托管人负责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本基金投资银行存款时，基金管理人应当与存款银行签订具体存款协议，明确</w:t>
      </w:r>
      <w:r>
        <w:rPr>
          <w:rFonts w:ascii="宋体" w:hAnsi="宋体"/>
          <w:sz w:val="24"/>
        </w:rPr>
        <w:lastRenderedPageBreak/>
        <w:t>存款的类型、期限、利率、金额、账号、对账方式、支取方式、账户管理等细则。存款协议须约定将基金托管人为本基金开立的托管银行账户指定为唯一回款账户，任何情况下，存款银行都不得将存款本息划往任何其他账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为防范特殊情况下的流动性风险，定期存款协议中应当约定提前支取条款。</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基金所投资定期存款存续期间，基金管理人、基金托管人应当与存款银行建立定期对账机制，确保基金银行存款业务账目及核对的真实、准确。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9、基金财产投资的有关有价凭证的保管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物证券、银行定期存款存单等有价凭证由基金托管人存放于其档案库或保险柜，但要与非本基金的其他有价凭证分开保管。保管凭证由基金托管人持有，基金托管人承担保管职责。基金托管人对由基金托管人以外机构实际有效控制的证券不承担保管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10、与基金财产有关的重大合同及有关凭证的保管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按照法律法规保管由基金管理人代表基金签署的与基金有关的重大合同及有关凭证。基金管理人代表基金签署有关重大合同后应在收到合同正本后30日内将一份正本的原件提交给基金托管人。除本协议另有规定外，基金管理人在代表基金签署与基金有关的重大合同时应保证基金一方持有两份以上的正本，以便基金管理人和基金托管人至少各持有一份正本的原件。重大合同的保管期限不少于法律法规的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对于无法取得二份以上的正本的，基金管理人应向基金托管人提供与合同原件核对一致的并加盖基金管理人公章的合同传真件或复印件或扫描件，未经双方协商一致，合同原件不得转移。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1、基金资产净值的计算和复核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每个工作日对基金资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估值日对基金资产估值后，将基金资产净值、基金份额净值以双方认可的方式发送给基金托管人。基金托管人对净值计算结果复核后以双方认可的方式发送给基金管理人，由基金管理人按规定对基金净值予以公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法律法规以及监管部门有强制规定的，从其规定。如有新增事项，按最新规定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基金所拥有的股票、债券、资产支持证券、股指期货和其他投资等持续以公允价值计量的金融资产及负债。</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w:t>
      </w:r>
      <w:r>
        <w:rPr>
          <w:rFonts w:ascii="宋体" w:hAnsi="宋体"/>
          <w:sz w:val="24"/>
        </w:rPr>
        <w:lastRenderedPageBreak/>
        <w:t>行业协会有关规定确定公允价值。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3）对于已上市或已挂牌转让的不含权固定收益品种（另有规定的除外），选取第三方估值基准服务机构提供的相应品种当日的估值全价进行估值。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4）对于已上市或已挂牌转让的含权固定收益品种（另有规定的除外），选取第三方估值基准服务机构提供的相应品种当日的唯一估值全价或推荐估值全价进行估值。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含投资者回售权的固定收益品种，行使回售权的，在回售登记日至实际收款日期间建议选取第三方估值基准服务机构提供的相应品种的唯一估值全价或推荐估值全价，同时应充分考虑发行人的信用风险变化对公允价值的影响。回售登记期截止日（含当日）后未行使回售权的按照长待偿期所对应的价格进行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6）对于未上市或未挂牌转让且不存在活跃市场的固定收益品种，采用在当前情况下适用并且有足够可利用数据和其他信息支持的估值技术确定其公允价值。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7）本基金投资股指期货合约，一般以估值当日结算价进行估值，估值当日无结算价的，且最近交易日后经济环境未发生重大变化的，采用最近交易日结算价估值。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8）同一证券同时在两个或两个以上市场交易的，按证券所处的市场分别估值。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9）估值计算中涉及港币对人民币汇率的，将依据下列信息提供机构所提供的汇率为基准：当日中国人民银行或其授权机构公布的人民币与港币的中间价。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10）对于因税收规定调整或其他原因导致本基金实际交纳税金与估算的应交税金有差异的，本基金将在相关税金调整日或实际支付日进行相应的会计处理。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11）本基金投资存托凭证的估值核算依照境内上市交易的股票执行。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13）当发生大额申购或赎回情形时，基金管理人可以采用摆动定价机制，以确保基金估值的公平性。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14）相关法律法规以及监管部门有强制规定的，从其规定。如有新增事项，按</w:t>
      </w:r>
      <w:r>
        <w:rPr>
          <w:rFonts w:ascii="宋体" w:hAnsi="宋体"/>
          <w:sz w:val="24"/>
        </w:rPr>
        <w:lastRenderedPageBreak/>
        <w:t>国家最新规定估值。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w:t>
      </w:r>
      <w:r>
        <w:rPr>
          <w:rFonts w:ascii="宋体" w:hAnsi="宋体"/>
          <w:sz w:val="24"/>
        </w:rPr>
        <w:lastRenderedPageBreak/>
        <w:t>务的当事人有足够的时间进行更正而未更正，则其应当承担相应赔偿责任。估值错误责任方应对更正的情况向有关当事人进行确认，确保估值错误已得到更正。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（5）特殊情况的处理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1）基金管理人或基金托管人按本协议约定的估值方法的第（12）项进行估值时，所造成的误差不作为基金资产估值错误处理。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（1）基金投资所涉及的证券、期货交易市场或外汇市场遇法定节假日或因其他原因暂停营业时；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（3）当特定资产占前一估值日基金资产净值50%以上的，经与基金托管人协商确认后，基金管理人应当暂停基金估值；</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（4）法律法规、中国证监会和《基金合同》认定的其他情形。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登记和保管基金的全套账册，对双方各自的账册定期进行核对，互相监督，以保证基金财产的安全。若双方对会计处理方法存在分歧，应以基金管理人的处理方法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7、基金财务报表和定期报告的编制和复核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务报表由基金管理人和基金托管人每月分别独立编制。月度报表的编制，应于每月终了后5个工作日内完成；《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基金招募说明书、基金产品资料概要其他信息发生变更的，基金管理人至少每年更新一次。基金终止运作的，基金管理人不再更新基金招募说明书和基金产品资料概要。季度报告应在季度结束之日起15个工作日内予以公告；中期报告在会计年度半年终了后两个月内予以公告；年度报告在会计年度终了后三个月内予以公告。《基金合同》生效不足2个月的，基金管理人可以不编制当期季度报告、中期报告或者年度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个工作日内完成复核，并将复核结果书面通知基金管理人。基金管理人在年度报告完成当日，将有关报告提供基金托管人复核，基金托管人应在收到后45个工作日内完成复核，并将复核结果书面通知基金管理人。基金管理人和基金托管人之间的上述文件往来均以传真的方式或双方商定的其他方式进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业务印鉴或者出具加盖业务印鉴的复核意见书或进行电子确认，双方各自留存一份。如果基金管理人与基金托管人不能于应当发布公告之日之前就相关报表达成一致，基金管理人有权按照其编制的报表对外发布公告，基金托管人有权就相关情况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基金托管人在对财务会计报告、季度报告、中期报告或年度报告复核完毕后，需盖章确认或出具相应的复核确认书或进行电子确认，以备有权机构对相关文件审核时出具。</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8、基金管理人应每季向基金托管人提供基金业绩比较基准的基础数据和编制结果。</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1、基金份额持有人名册的保管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的基金登记机构根据基金管理人的指令编制和保管，基金管理人和基金托管人应按照目前相关规则分别保管基金份额持有人名册。保管方式可以采用电子或文档的形式。保管期限不低于法定最低期限。</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2、基金份额持有人名册的提交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1、本协议适用中华人民共和国法律（为本协议之目的，不包括香港特别行政区、澳门特别行政区和台湾地区法律）并从其解释。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之间因本协议产生的或与本协议有关的争议可通过友好协商解决。但争议未能以协商方式解决的，则任何一方有权将争议提交中国国际经济贸易仲裁委员会，按照中国国际经济贸易仲裁委员会届时有效的仲裁规则进行仲裁，仲裁地点为北京市。仲裁裁决是终局的，对仲裁各方当事人均具有约束力。除非仲裁裁决另有规定，仲裁费用由败诉方承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3、争议处理期间，双方当事人应恪守基金管理人和基金托管人职责，各自继</w:t>
      </w:r>
      <w:r>
        <w:rPr>
          <w:rFonts w:ascii="宋体" w:hAnsi="宋体"/>
          <w:sz w:val="24"/>
        </w:rPr>
        <w:lastRenderedPageBreak/>
        <w:t>续忠实、勤勉、尽责地履行《基金合同》和《托管协议》规定的义务，维护基金份额持有人的合法权益。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本协议双方当事人经协商一致，可以对协议的内容进行变更。变更后的托管协议，其内容不得与《基金合同》的规定有任何冲突。基金托管协议的变更按规定报中国证监会备案。</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2）基金托管人解散、依法被撤销、破产或有其他基金托管人接管基金资产；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3）基金管理人解散、依法被撤销、破产或有其他基金管理人接管基金管理权；</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4）发生法律法规、中国证监会或《基金合同》规定的终止事项。</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w:t>
      </w:r>
      <w:r>
        <w:rPr>
          <w:rFonts w:ascii="宋体" w:hAnsi="宋体"/>
          <w:sz w:val="24"/>
        </w:rPr>
        <w:lastRenderedPageBreak/>
        <w:t>出具法律意见书；</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清算费用是指基金财产清算小组在进行基金财产清算过程中发生的所有合理费用，清算费用由基金财产清算小组优先从基金财产中支付。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（8）基金财产清算的公告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（9）基金财产清算账册及文件的保存</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5" w:name="_Toc234417637"/>
      <w:r>
        <w:rPr>
          <w:rFonts w:ascii="Times New Roman" w:hAnsi="Times New Roman"/>
          <w:sz w:val="30"/>
        </w:rPr>
        <w:lastRenderedPageBreak/>
        <w:t>二十二、对基金份额持有人的服务</w:t>
      </w:r>
      <w:bookmarkEnd w:id="25"/>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定期定额投资等业务等。通过网上直销交易平台办理本基金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待技术条件成熟时，基金管理人可通过销售机构为投资人提供转换的服务，具体实施方法另行公告。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6" w:name="_Toc234417638"/>
      <w:r>
        <w:rPr>
          <w:rFonts w:ascii="Times New Roman" w:hAnsi="Times New Roman"/>
          <w:sz w:val="30"/>
        </w:rPr>
        <w:lastRenderedPageBreak/>
        <w:t>二十三、其他应披露事项</w:t>
      </w:r>
      <w:bookmarkEnd w:id="26"/>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交银施罗德港股通优质精选混合型证券投资基金基金合同及招募说明书提示性公告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交银施罗德港股通优质精选混合型证券投资基金基金合同摘要</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交银施罗德基金管理有限公司关于增加交银施罗德港股通优质精选混合型证券投资基金销售机构的公告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2025-09-05</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交银施罗德基金管理有限公司关于交银施罗德港股通优质精选混合型证券投资基金基金合同生效公告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交银施罗德基金管理有限公司关于交银施罗德港股通优质精选混合型证券投资基金开放日常申购、赎回、定期定额投资业务的公告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交银施罗德基金管理有限公司关于旗下部分基金于</w:t>
            </w:r>
            <w:r>
              <w:rPr>
                <w:rFonts w:ascii="Times New Roman" w:hAnsi="Times New Roman"/>
                <w:color w:val="000000"/>
                <w:kern w:val="0"/>
                <w:sz w:val="25"/>
                <w:szCs w:val="24"/>
              </w:rPr>
              <w:t>2026</w:t>
            </w:r>
            <w:r>
              <w:rPr>
                <w:rFonts w:ascii="Times New Roman" w:hAnsi="Times New Roman"/>
                <w:color w:val="000000"/>
                <w:kern w:val="0"/>
                <w:sz w:val="25"/>
                <w:szCs w:val="24"/>
              </w:rPr>
              <w:t>年非港股通交易日暂停基金交易业务的提示性公告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2026-02-14</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交银施罗德基金管理有限公司关于旗下部分基金非港股通交易日暂停申购、赎回等业务安排的公告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交银施罗德港股通优质精选混合型证券投资基金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交银施罗德基金管理有限公司关于旗下部分基金非港股通交易日暂停申购、赎回等业务安排的公告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F807D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807D9" w:rsidRDefault="00F23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7" w:name="_Toc234417639"/>
      <w:r>
        <w:rPr>
          <w:rFonts w:ascii="Times New Roman" w:hAnsi="Times New Roman"/>
          <w:sz w:val="30"/>
        </w:rPr>
        <w:lastRenderedPageBreak/>
        <w:t>二十四、招募说明书的存放及查阅方式</w:t>
      </w:r>
      <w:bookmarkEnd w:id="27"/>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230D6"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807D9" w:rsidRDefault="00F230D6">
      <w:pPr>
        <w:pStyle w:val="1"/>
        <w:snapToGrid w:val="0"/>
        <w:spacing w:beforeLines="0" w:before="240" w:after="240"/>
        <w:rPr>
          <w:rFonts w:ascii="宋体" w:hAnsi="宋体"/>
          <w:szCs w:val="30"/>
        </w:rPr>
      </w:pPr>
      <w:bookmarkStart w:id="28" w:name="_Toc234417640"/>
      <w:r>
        <w:rPr>
          <w:rFonts w:ascii="Times New Roman" w:hAnsi="Times New Roman"/>
          <w:sz w:val="30"/>
        </w:rPr>
        <w:lastRenderedPageBreak/>
        <w:t>二十五、备查文件</w:t>
      </w:r>
      <w:bookmarkEnd w:id="28"/>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（一）中国证监会准予交银施罗德港股通优质精选混合型证券投资基金募集注册的文件</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（二）《交银施罗德港股通优质精选混合型证券投资基金基金合同》</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（三）《交银施罗德港股通优质精选混合型证券投资基金托管协议》</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807D9" w:rsidRDefault="00F230D6">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（六）关于申请募集注册交银施罗德港股通优质精选混合型证券投资基金的法律意见书</w:t>
      </w:r>
    </w:p>
    <w:sectPr w:rsidR="00F807D9">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DC3" w:rsidRDefault="00F230D6">
      <w:r>
        <w:separator/>
      </w:r>
    </w:p>
  </w:endnote>
  <w:endnote w:type="continuationSeparator" w:id="0">
    <w:p w:rsidR="00D76DC3" w:rsidRDefault="00F23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807D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D1222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807D9" w:rsidRDefault="00F230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12225">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807D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D12225">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807D9" w:rsidRDefault="00F230D6">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D12225">
                  <w:rPr>
                    <w:rFonts w:ascii="Times New Roman" w:hAnsi="Times New Roman"/>
                    <w:noProof/>
                    <w:kern w:val="0"/>
                    <w:sz w:val="18"/>
                    <w:szCs w:val="18"/>
                  </w:rPr>
                  <w:t>141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DC3" w:rsidRDefault="00F230D6">
      <w:r>
        <w:separator/>
      </w:r>
    </w:p>
  </w:footnote>
  <w:footnote w:type="continuationSeparator" w:id="0">
    <w:p w:rsidR="00D76DC3" w:rsidRDefault="00F23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807D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230D6">
    <w:pPr>
      <w:pStyle w:val="a3"/>
      <w:jc w:val="right"/>
      <w:rPr>
        <w:rFonts w:ascii="宋体" w:hAnsi="宋体"/>
      </w:rPr>
    </w:pPr>
    <w:r>
      <w:rPr>
        <w:rFonts w:ascii="宋体" w:hAnsi="宋体" w:hint="eastAsia"/>
      </w:rPr>
      <w:t>交银施罗德港股通优质精选混合型证券投资基金招募说明书更新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807D9">
    <w:pPr>
      <w:pStyle w:val="10"/>
      <w:jc w:val="right"/>
    </w:pPr>
  </w:p>
  <w:p w:rsidR="00F807D9" w:rsidRDefault="00F807D9">
    <w:pPr>
      <w:pStyle w:val="10"/>
      <w:jc w:val="right"/>
    </w:pPr>
  </w:p>
  <w:p w:rsidR="00F807D9" w:rsidRDefault="00F807D9">
    <w:pPr>
      <w:pStyle w:val="a3"/>
      <w:jc w:val="right"/>
    </w:pPr>
  </w:p>
  <w:p w:rsidR="00F807D9" w:rsidRDefault="00F230D6">
    <w:pPr>
      <w:pStyle w:val="a3"/>
      <w:jc w:val="right"/>
      <w:rPr>
        <w:rFonts w:ascii="宋体" w:hAnsi="宋体"/>
      </w:rPr>
    </w:pPr>
    <w:r>
      <w:rPr>
        <w:rFonts w:ascii="宋体" w:hAnsi="宋体" w:hint="eastAsia"/>
      </w:rPr>
      <w:t>交银施罗德港股通优质精选混合型证券投资基金招募说明书更新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7D9" w:rsidRDefault="00F807D9">
    <w:pPr>
      <w:pStyle w:val="a3"/>
      <w:jc w:val="right"/>
    </w:pPr>
  </w:p>
  <w:p w:rsidR="00F807D9" w:rsidRDefault="00F807D9">
    <w:pPr>
      <w:pStyle w:val="a3"/>
      <w:jc w:val="right"/>
    </w:pPr>
  </w:p>
  <w:p w:rsidR="00F807D9" w:rsidRDefault="00F807D9">
    <w:pPr>
      <w:pStyle w:val="a3"/>
      <w:jc w:val="right"/>
    </w:pPr>
  </w:p>
  <w:p w:rsidR="00F807D9" w:rsidRDefault="00F230D6">
    <w:pPr>
      <w:pStyle w:val="a3"/>
      <w:jc w:val="right"/>
      <w:rPr>
        <w:rFonts w:ascii="宋体" w:hAnsi="宋体"/>
      </w:rPr>
    </w:pPr>
    <w:r>
      <w:rPr>
        <w:rFonts w:ascii="宋体" w:hAnsi="宋体" w:hint="eastAsia"/>
      </w:rPr>
      <w:t>交银施罗德港股通优质精选混合型证券投资基金招募说明书更新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225"/>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DC3"/>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0D6"/>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7D9"/>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B69B570-6360-4079-B648-402795719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142</Pages>
  <Words>15152</Words>
  <Characters>86368</Characters>
  <Application>Microsoft Office Word</Application>
  <DocSecurity>0</DocSecurity>
  <Lines>719</Lines>
  <Paragraphs>202</Paragraphs>
  <ScaleCrop>false</ScaleCrop>
  <Company>Microsoft</Company>
  <LinksUpToDate>false</LinksUpToDate>
  <CharactersWithSpaces>101318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2026-07-08T07:39:00Z</dcterms:created>
  <dcterms:modified xsi:type="dcterms:W3CDTF">2026-07-08T07:40:00Z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