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交银施罗德瑞卓三年持有期混合型证券投资基金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交银瑞卓三年持有期混合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013247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2021-09-24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每个开放日开放申购；每份基金份额最短持有期限为三年，在最短持有期限内不可赎回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郭斐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2021-09-24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2009-08-17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本基金在严格控制风险的前提下，充分发挥专业研究与管理能力，追求超越业绩比较基准的投资收益，力争为投资者提供长期稳健的投资回报。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沪深300指数收益率×65%+恒生指数收益率×5%+中证综合债券指数收益率×30%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详见《交银施罗德瑞卓三年持有期混合型证券投资基金招募说明书》“基金的投资”。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2、本基金合同于2021年9月24日生效，合同生效当年净值增长率按实际存续期计算。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三年，最短持有期限届满后，本基金不收取赎回费。其中，对于不受最短持有期限制的红利再投资所得基金份额，对持续持有期少于7日的投资者收取1.5%的赎回费，并全额计入基金财产。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三年，在最短持有期限内该份基金份额不可赎回，自最短持有期限届满的下一工作日起（含该日）可赎回。对于每笔认购的基金份额而言，最短持有期限自基金合同生效之日起（含该日）至三年后年度对日的前一日；对于每笔申购的基金份额而言，最短持有期限自该笔申购份额确认日（含该日）至三年后年度对日的前一日。因此，对于基金份额持有人而言，存在投资本基金后三年内无法赎回的风险。</w:t>
      </w:r>
    </w:p>
    <w:p>
      <w:pPr>
        <w:ind w:firstLine="420"/>
        <w:jc w:val="left"/>
        <w:rPr>
          <w:rFonts w:ascii="仿宋_GB2312" w:eastAsia="仿宋_GB2312"/>
          <w:szCs w:val="21"/>
        </w:rPr>
      </w:pPr>
      <w:r>
        <w:rPr>
          <w:rFonts w:hint="eastAsia" w:ascii="仿宋_GB2312" w:eastAsia="仿宋_GB2312"/>
          <w:szCs w:val="21"/>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（5）基金合同提前终止风险。连续50个工作日出现基金份额持有人数量不满200人或者基金资产净值低于5000万元情形的，基金合同终止，不需召开基金份额持有人大会。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●《交银施罗德瑞卓三年持有期混合型证券投资基金基金合同》、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《交银施罗德瑞卓三年持有期混合型证券投资基金托管协议》、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《交银施罗德瑞卓三年持有期混合型证券投资基金招募说明书》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17891"/>
    <w:rsid w:val="00F75715"/>
    <w:rsid w:val="00F811C4"/>
    <w:rsid w:val="00FC2918"/>
    <w:rsid w:val="73D908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816</Words>
  <Characters>4655</Characters>
  <Lines>38</Lines>
  <Paragraphs>10</Paragraphs>
  <TotalTime>1</TotalTime>
  <ScaleCrop>false</ScaleCrop>
  <LinksUpToDate>false</LinksUpToDate>
  <CharactersWithSpaces>5461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2026-06-23T08:19:00Z</dcterms:created>
  <dc:creator>Cc</dc:creator>
  <cp:lastModifiedBy>haotingting</cp:lastModifiedBy>
  <dcterms:modified xsi:type="dcterms:W3CDTF">2026-06-30T06:30:09Z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D2F5F00B332847589694A5CA34BEACAB</vt:lpwstr>
  </property>
</Properties>
</file>