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交银施罗德信用添利债券证券投资基金（LOF）（A类份额）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交银信用添利债券（LOF）A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164902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2011-01-27</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深圳证券交易所/2011-04-20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场内简称：交银添利；场内扩位简称：交银添利LOF；交易代码：164902。</w:t>
            </w:r>
          </w:p>
          <w:p>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164902（前端），164903（后端）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本基金的投资组合比例如下：</w:t>
            </w:r>
          </w:p>
          <w:p>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0"/>
        <w:gridCol w:w="2813"/>
        <w:gridCol w:w="1752"/>
        <w:gridCol w:w="200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pPr>
        <w:ind w:firstLine="420"/>
        <w:jc w:val="left"/>
        <w:rPr>
          <w:rFonts w:ascii="仿宋_GB2312" w:eastAsia="仿宋_GB2312"/>
          <w:szCs w:val="21"/>
        </w:rPr>
      </w:pPr>
      <w:r>
        <w:rPr>
          <w:rFonts w:hint="eastAsia" w:ascii="仿宋_GB2312" w:eastAsia="仿宋_GB2312"/>
          <w:szCs w:val="21"/>
        </w:rPr>
        <w:t>（2）本基金封闭期结束后转为上市开放式基金（LOF），基金份额持有人可通过深圳证券交易所二级市场上市交易的方式卖出A类前端基金份额，也可以通过深圳证券交易所场内赎回A类前端基金份额。若投资者通过二级市场交易的方式卖出A类前端基金份额，届时若出现基金折价交易情形，则基金份额的二级市场卖出价格可能低于基金份额净值；若投资者通过场内赎回基金份额，则赎回价格以申请当日收市后计算的基金份额净值为基准进行计算。</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B26F1"/>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3033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708</Words>
  <Characters>4038</Characters>
  <Lines>33</Lines>
  <Paragraphs>9</Paragraphs>
  <TotalTime>1</TotalTime>
  <ScaleCrop>false</ScaleCrop>
  <LinksUpToDate>false</LinksUpToDate>
  <CharactersWithSpaces>4737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2026-06-30T08:17:16Z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0908B187BB8743A4A458C97EAEEB1B33</vt:lpwstr>
  </property>
</Properties>
</file>