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AD15F7">
      <w:pPr>
        <w:rPr>
          <w:sz w:val="32"/>
        </w:rPr>
      </w:pPr>
    </w:p>
    <w:p w:rsidR="00C92FC0" w:rsidRPr="00EB07BC" w:rsidRDefault="00AD15F7">
      <w:pPr>
        <w:rPr>
          <w:sz w:val="32"/>
        </w:rPr>
      </w:pPr>
    </w:p>
    <w:p w:rsidR="00C92FC0" w:rsidRPr="00EB07BC" w:rsidRDefault="00AD15F7">
      <w:pPr>
        <w:rPr>
          <w:sz w:val="32"/>
        </w:rPr>
      </w:pPr>
    </w:p>
    <w:p w:rsidR="000B1C5F" w:rsidRDefault="000B1C5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B1C5F" w:rsidRDefault="000B1C5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B1C5F" w:rsidRDefault="000B1C5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B1C5F" w:rsidRDefault="00027C3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交银施罗德优势行业灵活配置混合型证券投资基金</w:t>
      </w:r>
    </w:p>
    <w:p w:rsidR="000B1C5F" w:rsidRDefault="00027C3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0B1C5F" w:rsidRDefault="000B1C5F">
      <w:pPr>
        <w:snapToGrid w:val="0"/>
        <w:spacing w:line="360" w:lineRule="auto"/>
        <w:jc w:val="center"/>
        <w:rPr>
          <w:rFonts w:ascii="宋体" w:hAnsi="宋体"/>
          <w:b/>
          <w:sz w:val="30"/>
          <w:szCs w:val="30"/>
        </w:rPr>
      </w:pP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27C3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0B1C5F" w:rsidRDefault="00027C3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基金托管人：中国工商银行股份有限公司</w:t>
      </w: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B1C5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B1C5F" w:rsidRDefault="00027C3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0B1C5F" w:rsidRDefault="000B1C5F">
      <w:pPr>
        <w:autoSpaceDE w:val="0"/>
        <w:autoSpaceDN w:val="0"/>
        <w:adjustRightInd w:val="0"/>
        <w:snapToGrid w:val="0"/>
        <w:spacing w:line="360" w:lineRule="auto"/>
        <w:ind w:left="1347" w:rightChars="6" w:right="13"/>
        <w:rPr>
          <w:rFonts w:ascii="宋体" w:hAnsi="宋体"/>
          <w:kern w:val="0"/>
          <w:sz w:val="32"/>
          <w:szCs w:val="32"/>
        </w:rPr>
        <w:sectPr w:rsidR="000B1C5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0B1C5F" w:rsidRDefault="00027C3A">
      <w:pPr>
        <w:pStyle w:val="1"/>
        <w:snapToGrid w:val="0"/>
        <w:spacing w:beforeLines="0" w:before="240" w:after="240"/>
        <w:rPr>
          <w:rFonts w:ascii="宋体" w:hAnsi="宋体"/>
          <w:kern w:val="0"/>
        </w:rPr>
      </w:pPr>
      <w:bookmarkStart w:id="0" w:name="_Toc324920538"/>
      <w:bookmarkStart w:id="1" w:name="_Toc496884613"/>
      <w:bookmarkStart w:id="2" w:name="_Toc234408712"/>
      <w:r>
        <w:rPr>
          <w:rFonts w:ascii="Times New Roman" w:hAnsi="Times New Roman"/>
          <w:kern w:val="0"/>
        </w:rPr>
        <w:lastRenderedPageBreak/>
        <w:t>重要提示</w:t>
      </w:r>
      <w:bookmarkEnd w:id="0"/>
      <w:bookmarkEnd w:id="1"/>
      <w:bookmarkEnd w:id="2"/>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交银施罗德保本混合型证券投资基金经</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2008</w:t>
      </w:r>
      <w:r>
        <w:rPr>
          <w:rFonts w:ascii="Times New Roman" w:hAnsi="Times New Roman"/>
          <w:kern w:val="0"/>
          <w:sz w:val="24"/>
        </w:rPr>
        <w:t>】</w:t>
      </w:r>
      <w:r>
        <w:rPr>
          <w:rFonts w:ascii="Times New Roman" w:hAnsi="Times New Roman"/>
          <w:kern w:val="0"/>
          <w:sz w:val="24"/>
        </w:rPr>
        <w:t>1285</w:t>
      </w:r>
      <w:r>
        <w:rPr>
          <w:rFonts w:ascii="Times New Roman" w:hAnsi="Times New Roman"/>
          <w:kern w:val="0"/>
          <w:sz w:val="24"/>
        </w:rPr>
        <w:t>号文核准募集。《交银施罗德保本混合型证券投资基金基金合同》于</w:t>
      </w:r>
      <w:r>
        <w:rPr>
          <w:rFonts w:ascii="Times New Roman" w:hAnsi="Times New Roman"/>
          <w:kern w:val="0"/>
          <w:sz w:val="24"/>
        </w:rPr>
        <w:t>2009</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日正式生效。</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交银施罗德保本混合型证券投资基金（以下使用全称或其简称</w:t>
      </w:r>
      <w:r>
        <w:rPr>
          <w:rFonts w:ascii="Times New Roman" w:hAnsi="Times New Roman"/>
          <w:kern w:val="0"/>
          <w:sz w:val="24"/>
        </w:rPr>
        <w:t>“</w:t>
      </w:r>
      <w:r>
        <w:rPr>
          <w:rFonts w:ascii="Times New Roman" w:hAnsi="Times New Roman"/>
          <w:kern w:val="0"/>
          <w:sz w:val="24"/>
        </w:rPr>
        <w:t>交银保本</w:t>
      </w:r>
      <w:r>
        <w:rPr>
          <w:rFonts w:ascii="Times New Roman" w:hAnsi="Times New Roman"/>
          <w:kern w:val="0"/>
          <w:sz w:val="24"/>
        </w:rPr>
        <w:t>”</w:t>
      </w:r>
      <w:r>
        <w:rPr>
          <w:rFonts w:ascii="Times New Roman" w:hAnsi="Times New Roman"/>
          <w:kern w:val="0"/>
          <w:sz w:val="24"/>
        </w:rPr>
        <w:t>）的保本周期期限为三年，自基金合同生效日起至三个公历年后对应日止，如该对应日为非工作日，保本周期到期日顺延至下一个工作日，即于</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日保本周期到期，由于不符合保本基金存续条件，按照《交银施罗德保本混合型证券投资基金基金合同》的约定，交银保本保本周期到期后转型为非保本的混合型基金，名称相应变更为</w:t>
      </w:r>
      <w:r>
        <w:rPr>
          <w:rFonts w:ascii="Times New Roman" w:hAnsi="Times New Roman"/>
          <w:kern w:val="0"/>
          <w:sz w:val="24"/>
        </w:rPr>
        <w:t>“</w:t>
      </w:r>
      <w:r>
        <w:rPr>
          <w:rFonts w:ascii="Times New Roman" w:hAnsi="Times New Roman"/>
          <w:kern w:val="0"/>
          <w:sz w:val="24"/>
        </w:rPr>
        <w:t>交银施罗德优势行业灵活配置混合型证券投资基金</w:t>
      </w:r>
      <w:r>
        <w:rPr>
          <w:rFonts w:ascii="Times New Roman" w:hAnsi="Times New Roman"/>
          <w:kern w:val="0"/>
          <w:sz w:val="24"/>
        </w:rPr>
        <w:t>”</w:t>
      </w:r>
      <w:r>
        <w:rPr>
          <w:rFonts w:ascii="Times New Roman" w:hAnsi="Times New Roman"/>
          <w:kern w:val="0"/>
          <w:sz w:val="24"/>
        </w:rPr>
        <w:t>。</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管理人按照《中华人民共和国证券投资基金法》、《证券投资基金运作管理办法》等法律法规的有关规定，并依据《交银施罗德保本混合型证券投资基金基金合同》的约定，在不损害基金份额持有人利益的前提下，就变更后的</w:t>
      </w:r>
      <w:r>
        <w:rPr>
          <w:rFonts w:ascii="Times New Roman" w:hAnsi="Times New Roman"/>
          <w:kern w:val="0"/>
          <w:sz w:val="24"/>
        </w:rPr>
        <w:t>“</w:t>
      </w:r>
      <w:r>
        <w:rPr>
          <w:rFonts w:ascii="Times New Roman" w:hAnsi="Times New Roman"/>
          <w:kern w:val="0"/>
          <w:sz w:val="24"/>
        </w:rPr>
        <w:t>交银施罗德优势行业灵活配置混合型证券投资基金</w:t>
      </w:r>
      <w:r>
        <w:rPr>
          <w:rFonts w:ascii="Times New Roman" w:hAnsi="Times New Roman"/>
          <w:kern w:val="0"/>
          <w:sz w:val="24"/>
        </w:rPr>
        <w:t>”</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）修改其《基金合同》、《托管协议》及《招募说明书》，并报经中国证监会备案。</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基金管理人保证《招募说明书》的内容真实、准确、完整。本招募说明书已报经中国证监会备案，但并不表明中国证监会对本基金的价值和收益作出实质性判断或保证，也不表明投资于本基金没有风险。</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认（申）购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流动性风险，基金管理人在基金管理实施过程中产生的基金管理风险，本基金投资债券引发的信用风险，投资科创板股票的特定风险，以及本基金投资策</w:t>
      </w:r>
      <w:r>
        <w:rPr>
          <w:rFonts w:ascii="Times New Roman" w:hAnsi="Times New Roman"/>
          <w:kern w:val="0"/>
          <w:sz w:val="24"/>
        </w:rPr>
        <w:lastRenderedPageBreak/>
        <w:t>略所特有的风险等等。本基金是一只灵活配置的混合型基金，属于基金中的较高风险品种，风险与预期收益介于股票型基金和债券型基金之间。</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投资有风险，投资者在投资本基金前应认真阅读本基金的《招募说明书》和《基金合同》、基金产品资料概要。过往业绩并不代表将来表现。基金管理人管理的其他基金的业绩并不构成新基金业绩表现的保证。</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0B1C5F" w:rsidRDefault="00027C3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0B1C5F" w:rsidRDefault="000B1C5F">
      <w:pPr>
        <w:autoSpaceDE w:val="0"/>
        <w:autoSpaceDN w:val="0"/>
        <w:adjustRightInd w:val="0"/>
        <w:snapToGrid w:val="0"/>
        <w:spacing w:before="51" w:line="360" w:lineRule="auto"/>
        <w:ind w:left="120" w:rightChars="6" w:right="13" w:firstLine="480"/>
        <w:rPr>
          <w:rFonts w:ascii="宋体" w:hAnsi="宋体"/>
          <w:kern w:val="0"/>
          <w:szCs w:val="24"/>
        </w:rPr>
        <w:sectPr w:rsidR="000B1C5F">
          <w:headerReference w:type="default" r:id="rId14"/>
          <w:pgSz w:w="11920" w:h="16840"/>
          <w:pgMar w:top="1440" w:right="1680" w:bottom="280" w:left="1680" w:header="0" w:footer="1073" w:gutter="0"/>
          <w:pgNumType w:start="1"/>
          <w:cols w:space="720"/>
        </w:sectPr>
      </w:pPr>
    </w:p>
    <w:p w:rsidR="00AD15F7" w:rsidRPr="00AD15F7" w:rsidRDefault="00027C3A" w:rsidP="00AD15F7">
      <w:pPr>
        <w:pStyle w:val="ad"/>
        <w:snapToGrid w:val="0"/>
        <w:spacing w:after="240" w:line="360" w:lineRule="auto"/>
        <w:jc w:val="center"/>
        <w:rPr>
          <w:rFonts w:ascii="宋体" w:hAnsi="宋体"/>
          <w:noProof/>
          <w:sz w:val="24"/>
        </w:rPr>
      </w:pPr>
      <w:r w:rsidRPr="00AD15F7">
        <w:rPr>
          <w:rFonts w:ascii="宋体" w:hAnsi="宋体"/>
          <w:color w:val="000000"/>
          <w:position w:val="-4"/>
          <w:sz w:val="24"/>
          <w:szCs w:val="30"/>
        </w:rPr>
        <w:lastRenderedPageBreak/>
        <w:t>目</w:t>
      </w:r>
      <w:r w:rsidRPr="00AD15F7">
        <w:rPr>
          <w:rFonts w:ascii="宋体" w:hAnsi="宋体"/>
          <w:color w:val="000000"/>
          <w:position w:val="-4"/>
          <w:sz w:val="24"/>
          <w:szCs w:val="30"/>
        </w:rPr>
        <w:tab/>
        <w:t>录</w:t>
      </w:r>
      <w:r w:rsidR="00AD15F7" w:rsidRPr="00AD15F7">
        <w:rPr>
          <w:rFonts w:ascii="宋体" w:hAnsi="宋体"/>
          <w:color w:val="000000"/>
          <w:position w:val="-4"/>
          <w:sz w:val="24"/>
          <w:szCs w:val="30"/>
        </w:rPr>
        <w:fldChar w:fldCharType="begin"/>
      </w:r>
      <w:r w:rsidR="00AD15F7" w:rsidRPr="00AD15F7">
        <w:rPr>
          <w:rFonts w:ascii="宋体" w:hAnsi="宋体"/>
          <w:color w:val="000000"/>
          <w:position w:val="-4"/>
          <w:sz w:val="24"/>
          <w:szCs w:val="30"/>
        </w:rPr>
        <w:instrText xml:space="preserve"> TOC \o "1-3" \f - \h \t "-1" </w:instrText>
      </w:r>
      <w:r w:rsidR="00AD15F7" w:rsidRPr="00AD15F7">
        <w:rPr>
          <w:rFonts w:ascii="宋体" w:hAnsi="宋体"/>
          <w:color w:val="000000"/>
          <w:position w:val="-4"/>
          <w:sz w:val="24"/>
          <w:szCs w:val="30"/>
        </w:rPr>
        <w:fldChar w:fldCharType="separate"/>
      </w:r>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2" w:history="1">
        <w:r w:rsidRPr="00AD15F7">
          <w:rPr>
            <w:rStyle w:val="aa"/>
            <w:rFonts w:ascii="宋体" w:hAnsi="宋体" w:hint="eastAsia"/>
            <w:noProof/>
            <w:kern w:val="0"/>
            <w:sz w:val="24"/>
          </w:rPr>
          <w:t>重要提示</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_Toc234408712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3" w:history="1">
        <w:r w:rsidRPr="00AD15F7">
          <w:rPr>
            <w:rStyle w:val="aa"/>
            <w:rFonts w:ascii="宋体" w:hAnsi="宋体" w:hint="eastAsia"/>
            <w:noProof/>
            <w:sz w:val="24"/>
          </w:rPr>
          <w:t>一、绪言</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_Toc234408713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4</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4" w:history="1">
        <w:r w:rsidRPr="00AD15F7">
          <w:rPr>
            <w:rStyle w:val="aa"/>
            <w:rFonts w:ascii="宋体" w:hAnsi="宋体" w:hint="eastAsia"/>
            <w:noProof/>
            <w:sz w:val="24"/>
          </w:rPr>
          <w:t>二、释义</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_Toc234408714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5</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5" w:history="1">
        <w:r w:rsidRPr="00AD15F7">
          <w:rPr>
            <w:rStyle w:val="aa"/>
            <w:rFonts w:ascii="宋体" w:hAnsi="宋体" w:hint="eastAsia"/>
            <w:noProof/>
            <w:sz w:val="24"/>
          </w:rPr>
          <w:t>三、基金管理人</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_Toc234408715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9</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6" w:history="1">
        <w:r w:rsidRPr="00AD15F7">
          <w:rPr>
            <w:rStyle w:val="aa"/>
            <w:rFonts w:ascii="宋体" w:hAnsi="宋体" w:hint="eastAsia"/>
            <w:noProof/>
            <w:sz w:val="24"/>
          </w:rPr>
          <w:t>四、基金托管人</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_Toc234408716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16</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7" w:history="1">
        <w:r w:rsidRPr="00AD15F7">
          <w:rPr>
            <w:rStyle w:val="aa"/>
            <w:rFonts w:ascii="宋体" w:hAnsi="宋体" w:hint="eastAsia"/>
            <w:noProof/>
            <w:sz w:val="24"/>
          </w:rPr>
          <w:t>五、相关服务机构</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_Toc234408717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21</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8" w:history="1">
        <w:r w:rsidRPr="00AD15F7">
          <w:rPr>
            <w:rStyle w:val="aa"/>
            <w:rFonts w:ascii="宋体" w:hAnsi="宋体" w:hint="eastAsia"/>
            <w:noProof/>
            <w:sz w:val="24"/>
          </w:rPr>
          <w:t>六、基金的募集</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_Toc234408718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60</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19" w:history="1">
        <w:r w:rsidRPr="00AD15F7">
          <w:rPr>
            <w:rStyle w:val="aa"/>
            <w:rFonts w:ascii="宋体" w:hAnsi="宋体" w:hint="eastAsia"/>
            <w:noProof/>
            <w:sz w:val="24"/>
          </w:rPr>
          <w:t>七、基金合同的生效</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_Toc234408719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61</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0" w:history="1">
        <w:r w:rsidRPr="00AD15F7">
          <w:rPr>
            <w:rStyle w:val="aa"/>
            <w:rFonts w:ascii="宋体" w:hAnsi="宋体" w:hint="eastAsia"/>
            <w:noProof/>
            <w:sz w:val="24"/>
          </w:rPr>
          <w:t>八、基金份额的申购与赎回</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_Toc234408720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62</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1" w:history="1">
        <w:r w:rsidRPr="00AD15F7">
          <w:rPr>
            <w:rStyle w:val="aa"/>
            <w:rFonts w:ascii="宋体" w:hAnsi="宋体" w:hint="eastAsia"/>
            <w:noProof/>
            <w:sz w:val="24"/>
          </w:rPr>
          <w:t>九、基金的转换</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_Toc234408721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75</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2" w:history="1">
        <w:r w:rsidRPr="00AD15F7">
          <w:rPr>
            <w:rStyle w:val="aa"/>
            <w:rFonts w:ascii="宋体" w:hAnsi="宋体" w:hint="eastAsia"/>
            <w:noProof/>
            <w:sz w:val="24"/>
          </w:rPr>
          <w:t>十、基金的投资</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_Toc234408722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82</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3" w:history="1">
        <w:r w:rsidRPr="00AD15F7">
          <w:rPr>
            <w:rStyle w:val="aa"/>
            <w:rFonts w:ascii="宋体" w:hAnsi="宋体" w:hint="eastAsia"/>
            <w:noProof/>
            <w:sz w:val="24"/>
          </w:rPr>
          <w:t>十一、基金的业绩</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_Toc234408723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95</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4" w:history="1">
        <w:r w:rsidRPr="00AD15F7">
          <w:rPr>
            <w:rStyle w:val="aa"/>
            <w:rFonts w:ascii="宋体" w:hAnsi="宋体" w:hint="eastAsia"/>
            <w:noProof/>
            <w:sz w:val="24"/>
          </w:rPr>
          <w:t>十二、基金的财产</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_Toc234408724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99</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5" w:history="1">
        <w:r w:rsidRPr="00AD15F7">
          <w:rPr>
            <w:rStyle w:val="aa"/>
            <w:rFonts w:ascii="宋体" w:hAnsi="宋体" w:hint="eastAsia"/>
            <w:noProof/>
            <w:sz w:val="24"/>
          </w:rPr>
          <w:t>十三、基金资产的估值</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_Toc234408725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101</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6" w:history="1">
        <w:r w:rsidRPr="00AD15F7">
          <w:rPr>
            <w:rStyle w:val="aa"/>
            <w:rFonts w:ascii="宋体" w:hAnsi="宋体" w:hint="eastAsia"/>
            <w:noProof/>
            <w:sz w:val="24"/>
          </w:rPr>
          <w:t>十四、基金收益与分配</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_Toc234408726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106</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7" w:history="1">
        <w:r w:rsidRPr="00AD15F7">
          <w:rPr>
            <w:rStyle w:val="aa"/>
            <w:rFonts w:ascii="宋体" w:hAnsi="宋体" w:hint="eastAsia"/>
            <w:noProof/>
            <w:sz w:val="24"/>
          </w:rPr>
          <w:t>十五、基金的费用与税收</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_Toc234408727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108</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8" w:history="1">
        <w:r w:rsidRPr="00AD15F7">
          <w:rPr>
            <w:rStyle w:val="aa"/>
            <w:rFonts w:ascii="宋体" w:hAnsi="宋体" w:hint="eastAsia"/>
            <w:noProof/>
            <w:sz w:val="24"/>
          </w:rPr>
          <w:t>十六、基金的会计与审计</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_Toc234408728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111</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29" w:history="1">
        <w:r w:rsidRPr="00AD15F7">
          <w:rPr>
            <w:rStyle w:val="aa"/>
            <w:rFonts w:ascii="宋体" w:hAnsi="宋体" w:hint="eastAsia"/>
            <w:noProof/>
            <w:sz w:val="24"/>
          </w:rPr>
          <w:t>十七、基金的信息披露</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_Toc234408729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112</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0" w:history="1">
        <w:r w:rsidRPr="00AD15F7">
          <w:rPr>
            <w:rStyle w:val="aa"/>
            <w:rFonts w:ascii="宋体" w:hAnsi="宋体" w:hint="eastAsia"/>
            <w:noProof/>
            <w:sz w:val="24"/>
          </w:rPr>
          <w:t>十八、风险揭示</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_Toc234408730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118</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1" w:history="1">
        <w:r w:rsidRPr="00AD15F7">
          <w:rPr>
            <w:rStyle w:val="aa"/>
            <w:rFonts w:ascii="宋体" w:hAnsi="宋体" w:hint="eastAsia"/>
            <w:noProof/>
            <w:sz w:val="24"/>
          </w:rPr>
          <w:t>十九、基金合同的终止与基金财产的清算</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_Toc234408731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124</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2" w:history="1">
        <w:r w:rsidRPr="00AD15F7">
          <w:rPr>
            <w:rStyle w:val="aa"/>
            <w:rFonts w:ascii="宋体" w:hAnsi="宋体" w:hint="eastAsia"/>
            <w:noProof/>
            <w:sz w:val="24"/>
          </w:rPr>
          <w:t>二十、基金合同内容摘要</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_Toc234408732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126</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3" w:history="1">
        <w:r w:rsidRPr="00AD15F7">
          <w:rPr>
            <w:rStyle w:val="aa"/>
            <w:rFonts w:ascii="宋体" w:hAnsi="宋体" w:hint="eastAsia"/>
            <w:noProof/>
            <w:sz w:val="24"/>
          </w:rPr>
          <w:t>二十一、托管协议的内容摘要</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_Toc234408733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141</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4" w:history="1">
        <w:r w:rsidRPr="00AD15F7">
          <w:rPr>
            <w:rStyle w:val="aa"/>
            <w:rFonts w:ascii="宋体" w:hAnsi="宋体" w:hint="eastAsia"/>
            <w:noProof/>
            <w:sz w:val="24"/>
          </w:rPr>
          <w:t>二十二、对基金份额持有人的服务</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_Toc234408734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158</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5" w:history="1">
        <w:r w:rsidRPr="00AD15F7">
          <w:rPr>
            <w:rStyle w:val="aa"/>
            <w:rFonts w:ascii="宋体" w:hAnsi="宋体" w:hint="eastAsia"/>
            <w:noProof/>
            <w:sz w:val="24"/>
          </w:rPr>
          <w:t>二十三、其他应披露事项</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_Toc234408735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160</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6" w:history="1">
        <w:r w:rsidRPr="00AD15F7">
          <w:rPr>
            <w:rStyle w:val="aa"/>
            <w:rFonts w:ascii="宋体" w:hAnsi="宋体" w:hint="eastAsia"/>
            <w:noProof/>
            <w:sz w:val="24"/>
          </w:rPr>
          <w:t>二十四、招募说明书的存放及查阅方式</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_Toc234408736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162</w:t>
        </w:r>
        <w:r w:rsidRPr="00AD15F7">
          <w:rPr>
            <w:rFonts w:ascii="宋体" w:hAnsi="宋体"/>
            <w:noProof/>
            <w:sz w:val="24"/>
          </w:rPr>
          <w:fldChar w:fldCharType="end"/>
        </w:r>
      </w:hyperlink>
    </w:p>
    <w:p w:rsidR="00AD15F7" w:rsidRPr="00AD15F7" w:rsidRDefault="00AD15F7" w:rsidP="00AD15F7">
      <w:pPr>
        <w:pStyle w:val="10"/>
        <w:tabs>
          <w:tab w:val="right" w:leader="dot" w:pos="8550"/>
        </w:tabs>
        <w:spacing w:line="360" w:lineRule="auto"/>
        <w:rPr>
          <w:rFonts w:ascii="宋体" w:hAnsi="宋体" w:cstheme="minorBidi"/>
          <w:noProof/>
          <w:sz w:val="24"/>
        </w:rPr>
      </w:pPr>
      <w:hyperlink w:anchor="_Toc234408737" w:history="1">
        <w:r w:rsidRPr="00AD15F7">
          <w:rPr>
            <w:rStyle w:val="aa"/>
            <w:rFonts w:ascii="宋体" w:hAnsi="宋体" w:hint="eastAsia"/>
            <w:noProof/>
            <w:sz w:val="24"/>
          </w:rPr>
          <w:t>二十五、备查文件</w:t>
        </w:r>
        <w:r w:rsidRPr="00AD15F7">
          <w:rPr>
            <w:rFonts w:ascii="宋体" w:hAnsi="宋体"/>
            <w:noProof/>
            <w:sz w:val="24"/>
          </w:rPr>
          <w:tab/>
        </w:r>
        <w:r w:rsidRPr="00AD15F7">
          <w:rPr>
            <w:rFonts w:ascii="宋体" w:hAnsi="宋体"/>
            <w:noProof/>
            <w:sz w:val="24"/>
          </w:rPr>
          <w:fldChar w:fldCharType="begin"/>
        </w:r>
        <w:r w:rsidRPr="00AD15F7">
          <w:rPr>
            <w:rFonts w:ascii="宋体" w:hAnsi="宋体"/>
            <w:noProof/>
            <w:sz w:val="24"/>
          </w:rPr>
          <w:instrText xml:space="preserve"> PAGEREF _Toc234408737 \h </w:instrText>
        </w:r>
        <w:r w:rsidRPr="00AD15F7">
          <w:rPr>
            <w:rFonts w:ascii="宋体" w:hAnsi="宋体"/>
            <w:noProof/>
            <w:sz w:val="24"/>
          </w:rPr>
        </w:r>
        <w:r w:rsidRPr="00AD15F7">
          <w:rPr>
            <w:rFonts w:ascii="宋体" w:hAnsi="宋体"/>
            <w:noProof/>
            <w:sz w:val="24"/>
          </w:rPr>
          <w:fldChar w:fldCharType="separate"/>
        </w:r>
        <w:r w:rsidRPr="00AD15F7">
          <w:rPr>
            <w:rFonts w:ascii="宋体" w:hAnsi="宋体"/>
            <w:noProof/>
            <w:sz w:val="24"/>
          </w:rPr>
          <w:t>163</w:t>
        </w:r>
        <w:r w:rsidRPr="00AD15F7">
          <w:rPr>
            <w:rFonts w:ascii="宋体" w:hAnsi="宋体"/>
            <w:noProof/>
            <w:sz w:val="24"/>
          </w:rPr>
          <w:fldChar w:fldCharType="end"/>
        </w:r>
      </w:hyperlink>
    </w:p>
    <w:p w:rsidR="000B1C5F" w:rsidRPr="00AD15F7" w:rsidRDefault="00AD15F7" w:rsidP="00AD15F7">
      <w:pPr>
        <w:pStyle w:val="ad"/>
        <w:snapToGrid w:val="0"/>
        <w:spacing w:after="240" w:line="360" w:lineRule="auto"/>
        <w:jc w:val="center"/>
        <w:rPr>
          <w:rFonts w:ascii="宋体" w:hAnsi="宋体"/>
          <w:color w:val="000000"/>
          <w:sz w:val="24"/>
        </w:rPr>
      </w:pPr>
      <w:r w:rsidRPr="00AD15F7">
        <w:rPr>
          <w:rFonts w:ascii="宋体" w:hAnsi="宋体"/>
          <w:color w:val="000000"/>
          <w:position w:val="-4"/>
          <w:sz w:val="24"/>
          <w:szCs w:val="30"/>
        </w:rPr>
        <w:fldChar w:fldCharType="end"/>
      </w:r>
      <w:bookmarkStart w:id="3" w:name="_GoBack"/>
      <w:bookmarkEnd w:id="3"/>
    </w:p>
    <w:p w:rsidR="000B1C5F" w:rsidRDefault="000B1C5F">
      <w:pPr>
        <w:autoSpaceDE w:val="0"/>
        <w:autoSpaceDN w:val="0"/>
        <w:adjustRightInd w:val="0"/>
        <w:snapToGrid w:val="0"/>
        <w:spacing w:line="360" w:lineRule="auto"/>
        <w:ind w:left="120" w:rightChars="6" w:right="13"/>
        <w:rPr>
          <w:rFonts w:ascii="宋体" w:hAnsi="宋体"/>
          <w:kern w:val="0"/>
          <w:szCs w:val="24"/>
        </w:rPr>
        <w:sectPr w:rsidR="000B1C5F">
          <w:pgSz w:w="11920" w:h="16840"/>
          <w:pgMar w:top="1480" w:right="1680" w:bottom="280" w:left="1680" w:header="0" w:footer="1073" w:gutter="0"/>
          <w:cols w:space="720"/>
        </w:sectPr>
      </w:pPr>
    </w:p>
    <w:p w:rsidR="000B1C5F" w:rsidRDefault="00027C3A">
      <w:pPr>
        <w:pStyle w:val="1"/>
        <w:snapToGrid w:val="0"/>
        <w:spacing w:beforeLines="0" w:before="240" w:after="240"/>
        <w:rPr>
          <w:rFonts w:ascii="宋体" w:hAnsi="宋体"/>
          <w:szCs w:val="30"/>
        </w:rPr>
      </w:pPr>
      <w:bookmarkStart w:id="4" w:name="_Toc234408713"/>
      <w:r>
        <w:rPr>
          <w:rFonts w:ascii="Times New Roman" w:hAnsi="Times New Roman"/>
          <w:sz w:val="30"/>
        </w:rPr>
        <w:lastRenderedPageBreak/>
        <w:t>一、绪言</w:t>
      </w:r>
      <w:bookmarkEnd w:id="4"/>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优势行业灵活配置混合型证券投资基金基金合同》（以下简称“《基金合同》”）编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根据本招募说明书所载明的资料进行转型后的运作。本基金管理人没有委托或授权任何其他人提供未在本招募说明书中载明的信息,或对本招募说明书作任何解释或者说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2012年1月13日在公司网站上公布了《交银施罗德优势行业灵活配置混合型证券投资基金基金合同》，本招募说明书根据本基金的《基金合同》编写，并报经中国证监会备案。《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5" w:name="_Toc234408714"/>
      <w:r>
        <w:rPr>
          <w:rFonts w:ascii="Times New Roman" w:hAnsi="Times New Roman"/>
          <w:sz w:val="30"/>
        </w:rPr>
        <w:lastRenderedPageBreak/>
        <w:t>二、释义</w:t>
      </w:r>
      <w:bookmarkEnd w:id="5"/>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本合同、《基金合同》</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《交银施罗德优势行业灵活配置混合型证券投资基金基金合同》及对本合同的任何有效的修订和补充</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中华人民共和国</w:t>
            </w:r>
            <w:r>
              <w:rPr>
                <w:rFonts w:ascii="Times New Roman" w:hAnsi="Times New Roman"/>
                <w:color w:val="000000"/>
                <w:kern w:val="0"/>
                <w:sz w:val="25"/>
                <w:szCs w:val="24"/>
              </w:rPr>
              <w:t>(</w:t>
            </w:r>
            <w:r>
              <w:rPr>
                <w:rFonts w:ascii="Times New Roman" w:hAnsi="Times New Roman"/>
                <w:color w:val="000000"/>
                <w:kern w:val="0"/>
                <w:sz w:val="25"/>
                <w:szCs w:val="24"/>
              </w:rPr>
              <w:t>仅为《基金合同》目的不包括香港特别行政区、澳门特别行政区及台湾地区</w:t>
            </w: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中国现时有效并公布实施的法律、行政法规、部门规章及规范性文件</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《中华人民共和国证券投资基金法》</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《证券投资基金销售管理办法》</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《证券投资基金运作管理办法》</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指《公开募集证券投资基金信息披露管理办法》及颁布机关对其不时做出的修订</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中国法定货币人民币元</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指交银施罗德优势行业灵活配置混合型证券投资基金</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招募说明书》，即用于公开披露本基金的基金管理人及基金托管人、相关服务机构、基金的募集、基金合同的生效、基金份额的申购和赎回、基金的投资、基金的业绩、基金的财产、基金资产的估值、基金收益与分配、基金的费用与税收、基金的会计与审计、基金的信息披露、风险揭示、《基金合同》的终止与基金财产的清算、《基金合同》的内容摘要、《托管协议》的内容摘要、对基金份额持有人的服务、其他应披露事项、招募说明书的存放及查阅方式、备查文件等涉及本基金的信息，供基金投资者选择并决定是否提出基金认购或申购申请的要约邀请文件，及其更新</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基金管理人与基金托管人签订的《交银施罗德优势行业灵活配置混合型证券投资基金托管协议》及其任何有效修订和补充</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《发售公告》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《交银施罗德保本混合型证券投资基金基金份额发售公告》</w:t>
            </w:r>
          </w:p>
        </w:tc>
      </w:tr>
      <w:tr w:rsidR="000B1C5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vMerge w:val="restar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指《交银施罗德优势行业灵活配置混合型证券投资基金基金产品资料概要》及其更新</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《交银施罗德基金管理有限公司开放式基金业务规则》；投资者通过场内认购、申购、赎回等业务须遵守上海证券交易所及中国证券登记结算有限责任公司场内业务的有关规则</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中国证券监督管理委员会</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银行监管机构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中国银行业监督管理委员会或其他经国务院授权的机构</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中国工商银行股份有限公司</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根据《基金合同》及相关文件合法取得本基金基金份额的投资者</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基金的认购、申购、赎回、转换、非交易过户、转托管、定期定额投资以及宣传推介等业务</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基金代销机构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销售办法》和中国证监会规定的其他条件，取得基金代销业务资格，并与基金管理人签订基金销售与服务代理协议，代为办理基金销售业务的代理机构，以及可通过上海证券交易所交易系统办理基金销售业务的会员单位</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具有开放式基金代销资格，经上海证券交易所和中国证券登记结算有限责任公司认可的、可通过上海证券交易所交易系统办理开放式基金的认购、申购、赎回和转托管等业务的上海证券交易所会员单位</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基金管理人及基金代销机构</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基金管理人的直销网点及基金代销机构的代销网点</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基金登记、存管、清算和交收业务，具体内容包括投资者基金账户管理、基金份额注册登记、清算及基金交易确认、发放红利、建立并保管基金份额持有人名册等</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交银施罗德基金管理有限公司或其委托的其他符合条件的办理基金注册登记业务的机构</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受《基金合同》约束，根据《基金合同》享有权利并承担义务的法律主体，包括基金管理人、基金托管人和基金份额持有人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符合法律法规规定的条件可以投资开放式证券投资基金的自然人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符合法律法规规定可以投资开放式证券投资基金的在中国合法注册登记并存续或经政府有关部门批准设立的并存续的企业法人、事业法人、社会团体和其他组织</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符合《合格境外机构投资者境内证券投资管理办法》及相关法律法规规定的可投资于中国境内合法募集的证券投资基金的中国境外的基金管理机构、保险公司、证券公司以及其他资产管理机构</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投资者</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个人投资者、机构投资者、合格境外机构投资者和法律法规或中国证监会允许购买开放式证券投资基金的其他投资者的总称</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基金募集达到法律法规规定及《基金合同》约定的条件，基金管理人聘请法定机构验资并办理完毕基金备案手续，获得中国证监会书面确认之日</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募集期</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自基金份额发售之日起至发售结束之日止的期间，最长不超过</w:t>
            </w:r>
            <w:r>
              <w:rPr>
                <w:rFonts w:ascii="Times New Roman" w:hAnsi="Times New Roman"/>
                <w:color w:val="000000"/>
                <w:kern w:val="0"/>
                <w:sz w:val="25"/>
                <w:szCs w:val="24"/>
              </w:rPr>
              <w:t>3</w:t>
            </w:r>
            <w:r>
              <w:rPr>
                <w:rFonts w:ascii="Times New Roman" w:hAnsi="Times New Roman"/>
                <w:color w:val="000000"/>
                <w:kern w:val="0"/>
                <w:sz w:val="25"/>
                <w:szCs w:val="24"/>
              </w:rPr>
              <w:t>个月的期限</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基金存续期</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《基金合同》生效后合法存续的不定期之期间</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公历日</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公历月</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上海证券交易所和深圳证券交易所的正常交易日</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销售机构办理本基金份额申购、赎回等业务的工作日</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申购、赎回或办理其他基金业务的申请日</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个工作日（不包含</w:t>
            </w:r>
            <w:r>
              <w:rPr>
                <w:rFonts w:ascii="Times New Roman" w:hAnsi="Times New Roman"/>
                <w:color w:val="000000"/>
                <w:kern w:val="0"/>
                <w:sz w:val="25"/>
                <w:szCs w:val="24"/>
              </w:rPr>
              <w:t>T</w:t>
            </w:r>
            <w:r>
              <w:rPr>
                <w:rFonts w:ascii="Times New Roman" w:hAnsi="Times New Roman"/>
                <w:color w:val="000000"/>
                <w:kern w:val="0"/>
                <w:sz w:val="25"/>
                <w:szCs w:val="24"/>
              </w:rPr>
              <w:t>日）</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在本基金募集期内投资者购买本基金基金份额的行为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在本基金募集期内，销售机构向投资者销售本基金份额的行为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《基金合同》生效后，基金投资者根据基金销售网点规定的手续，向基金管理人购买基金份额的行为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《基金合同》生效后，基金份额持有人根据基金销售网点规定的手续，向基金管理人卖出基金份额的行为。本基金的日常赎回自《基金合同》生效后不超过</w:t>
            </w:r>
            <w:r>
              <w:rPr>
                <w:rFonts w:ascii="Times New Roman" w:hAnsi="Times New Roman"/>
                <w:color w:val="000000"/>
                <w:kern w:val="0"/>
                <w:sz w:val="25"/>
                <w:szCs w:val="24"/>
              </w:rPr>
              <w:t>3</w:t>
            </w:r>
            <w:r>
              <w:rPr>
                <w:rFonts w:ascii="Times New Roman" w:hAnsi="Times New Roman"/>
                <w:color w:val="000000"/>
                <w:kern w:val="0"/>
                <w:sz w:val="25"/>
                <w:szCs w:val="24"/>
              </w:rPr>
              <w:t>个月的时间开始办理</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在单个开放日，本基金的基金份额净赎回申请（赎回申请总数加上基金转换中转出申请份额总数后扣除申购申请总数及基金转换中转入申请份额总数后的余额）超过上一日本基金总份额的</w:t>
            </w:r>
            <w:r>
              <w:rPr>
                <w:rFonts w:ascii="Times New Roman" w:hAnsi="Times New Roman"/>
                <w:color w:val="000000"/>
                <w:kern w:val="0"/>
                <w:sz w:val="25"/>
                <w:szCs w:val="24"/>
              </w:rPr>
              <w:t>10%</w:t>
            </w:r>
            <w:r>
              <w:rPr>
                <w:rFonts w:ascii="Times New Roman" w:hAnsi="Times New Roman"/>
                <w:color w:val="000000"/>
                <w:kern w:val="0"/>
                <w:sz w:val="25"/>
                <w:szCs w:val="24"/>
              </w:rPr>
              <w:t>时的情形</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不通过上海证券交易所的交易系统办理基金份额认购、申购和赎回等业务的销售机构和场所</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通过上海证券交易所的交易系统办理基金份额申购和赎回等业务的销售机构和场所</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注册登记系统</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中国证券登记结算有限责任公司开放式基金登记结算系统</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证券登记结算系统</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中国证券登记结算有限责任公司上海分公司证券登记结算系统</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基金注册登记机构给投资者开立的用于记录投资者持有基金管理人管理的开放式基金份额情况的账户</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交易账户</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各销售机构为投资者开立的记录投资者通过该销售机构办理认购、申购、赎回、转换、定期定额投资及转托管等业务而引起的基金份额的变动及结余情况的账户</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转托管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基金份额持有人在本基金的不同销售机构之间实施的变更所持基金份额销售机构的行为，包括系统内转托管及跨系统转托管</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系统内转托管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基金份额持有人将持有的基金份额在注册登记系统内不同销售机构（网点）之间或证券登记结算系统内不同会员单位（席位或交易单元）之间进行转登记的行为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跨系统转托管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基金份额持有人将持有的基金份额在注册登记系统和证券登记结算系统间进行转登记的行为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按照《基金合同》和基金管理人届时有效公告规定的条件，向基金管理人提出申请将其所持有的基金管理人管理的任一开放式基金（转出基金）的全部或部分基金份额转换为基金管理人管理的其他开放式基金（转入基金）的基金份额的行为</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投资者通过有关销售机构提出申请，约定每期申购日、扣款金额及扣款方式，由指定的销售机构在投资者指定银行账户内自动完成扣款并于每期约定的申购日提交基金申购申请的一种投资方式</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基金利润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基金投资所得的股票红利、股息、债券利息、票据投资收益、买卖证券差价、银行存款利息以及其他收益和因运用基金财产带来的成本或费用的节约</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基金所拥有的各类证券及票据价值、银行存款本息和本基金应收的申购基金款以及其他投资所形成的价值总和</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基金资产总值扣除负债后的净资产值</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计算日基金资产净值除以计算日基金份额总数</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计算评估基金资产和负债的价值，以确定基金资产净值的过程</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货币市场工具</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现金；一年以内</w:t>
            </w:r>
            <w:r>
              <w:rPr>
                <w:rFonts w:ascii="Times New Roman" w:hAnsi="Times New Roman"/>
                <w:color w:val="000000"/>
                <w:kern w:val="0"/>
                <w:sz w:val="25"/>
                <w:szCs w:val="24"/>
              </w:rPr>
              <w:t>(</w:t>
            </w:r>
            <w:r>
              <w:rPr>
                <w:rFonts w:ascii="Times New Roman" w:hAnsi="Times New Roman"/>
                <w:color w:val="000000"/>
                <w:kern w:val="0"/>
                <w:sz w:val="25"/>
                <w:szCs w:val="24"/>
              </w:rPr>
              <w:t>含一年</w:t>
            </w:r>
            <w:r>
              <w:rPr>
                <w:rFonts w:ascii="Times New Roman" w:hAnsi="Times New Roman"/>
                <w:color w:val="000000"/>
                <w:kern w:val="0"/>
                <w:sz w:val="25"/>
                <w:szCs w:val="24"/>
              </w:rPr>
              <w:t>)</w:t>
            </w:r>
            <w:r>
              <w:rPr>
                <w:rFonts w:ascii="Times New Roman" w:hAnsi="Times New Roman"/>
                <w:color w:val="000000"/>
                <w:kern w:val="0"/>
                <w:sz w:val="25"/>
                <w:szCs w:val="24"/>
              </w:rPr>
              <w:t>的银行定期存款、大额存单；剩余期限在三百九十七天以内</w:t>
            </w:r>
            <w:r>
              <w:rPr>
                <w:rFonts w:ascii="Times New Roman" w:hAnsi="Times New Roman"/>
                <w:color w:val="000000"/>
                <w:kern w:val="0"/>
                <w:sz w:val="25"/>
                <w:szCs w:val="24"/>
              </w:rPr>
              <w:t>(</w:t>
            </w:r>
            <w:r>
              <w:rPr>
                <w:rFonts w:ascii="Times New Roman" w:hAnsi="Times New Roman"/>
                <w:color w:val="000000"/>
                <w:kern w:val="0"/>
                <w:sz w:val="25"/>
                <w:szCs w:val="24"/>
              </w:rPr>
              <w:t>含三百九十七天</w:t>
            </w:r>
            <w:r>
              <w:rPr>
                <w:rFonts w:ascii="Times New Roman" w:hAnsi="Times New Roman"/>
                <w:color w:val="000000"/>
                <w:kern w:val="0"/>
                <w:sz w:val="25"/>
                <w:szCs w:val="24"/>
              </w:rPr>
              <w:t>)</w:t>
            </w:r>
            <w:r>
              <w:rPr>
                <w:rFonts w:ascii="Times New Roman" w:hAnsi="Times New Roman"/>
                <w:color w:val="000000"/>
                <w:kern w:val="0"/>
                <w:sz w:val="25"/>
                <w:szCs w:val="24"/>
              </w:rPr>
              <w:t>的债券；期限在一年以内</w:t>
            </w:r>
            <w:r>
              <w:rPr>
                <w:rFonts w:ascii="Times New Roman" w:hAnsi="Times New Roman"/>
                <w:color w:val="000000"/>
                <w:kern w:val="0"/>
                <w:sz w:val="25"/>
                <w:szCs w:val="24"/>
              </w:rPr>
              <w:t>(</w:t>
            </w:r>
            <w:r>
              <w:rPr>
                <w:rFonts w:ascii="Times New Roman" w:hAnsi="Times New Roman"/>
                <w:color w:val="000000"/>
                <w:kern w:val="0"/>
                <w:sz w:val="25"/>
                <w:szCs w:val="24"/>
              </w:rPr>
              <w:t>含一年</w:t>
            </w:r>
            <w:r>
              <w:rPr>
                <w:rFonts w:ascii="Times New Roman" w:hAnsi="Times New Roman"/>
                <w:color w:val="000000"/>
                <w:kern w:val="0"/>
                <w:sz w:val="25"/>
                <w:szCs w:val="24"/>
              </w:rPr>
              <w:t>)</w:t>
            </w:r>
            <w:r>
              <w:rPr>
                <w:rFonts w:ascii="Times New Roman" w:hAnsi="Times New Roman"/>
                <w:color w:val="000000"/>
                <w:kern w:val="0"/>
                <w:sz w:val="25"/>
                <w:szCs w:val="24"/>
              </w:rPr>
              <w:t>的债券回购；期限在一年以内</w:t>
            </w:r>
            <w:r>
              <w:rPr>
                <w:rFonts w:ascii="Times New Roman" w:hAnsi="Times New Roman"/>
                <w:color w:val="000000"/>
                <w:kern w:val="0"/>
                <w:sz w:val="25"/>
                <w:szCs w:val="24"/>
              </w:rPr>
              <w:t>(</w:t>
            </w:r>
            <w:r>
              <w:rPr>
                <w:rFonts w:ascii="Times New Roman" w:hAnsi="Times New Roman"/>
                <w:color w:val="000000"/>
                <w:kern w:val="0"/>
                <w:sz w:val="25"/>
                <w:szCs w:val="24"/>
              </w:rPr>
              <w:t>含一年</w:t>
            </w:r>
            <w:r>
              <w:rPr>
                <w:rFonts w:ascii="Times New Roman" w:hAnsi="Times New Roman"/>
                <w:color w:val="000000"/>
                <w:kern w:val="0"/>
                <w:sz w:val="25"/>
                <w:szCs w:val="24"/>
              </w:rPr>
              <w:t>)</w:t>
            </w:r>
            <w:r>
              <w:rPr>
                <w:rFonts w:ascii="Times New Roman" w:hAnsi="Times New Roman"/>
                <w:color w:val="000000"/>
                <w:kern w:val="0"/>
                <w:sz w:val="25"/>
                <w:szCs w:val="24"/>
              </w:rPr>
              <w:t>的中央银行票据；中国证监会、中国人民银行认可的其他具有良好流动性的金融工具</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本合同当事人不能预见、不能避免且不能克服的客观事件</w:t>
            </w:r>
          </w:p>
        </w:tc>
      </w:tr>
    </w:tbl>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6" w:name="_Toc234408715"/>
      <w:r>
        <w:rPr>
          <w:rFonts w:ascii="Times New Roman" w:hAnsi="Times New Roman"/>
          <w:sz w:val="30"/>
        </w:rPr>
        <w:lastRenderedPageBreak/>
        <w:t>三、基金管理人</w:t>
      </w:r>
      <w:bookmarkEnd w:id="6"/>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何帅先生:上海财经大学硕士，16年证券投资行业从业经验。2010年至2012年任国联安基金管理有限公司研究员。2012年加入交银施罗德基金管理有限公司，曾任行业分析师，现任权益部基金经理。现任交银施罗德优势行业灵活配置混合型证券投资基金(2015年07月09日至今)、交银施罗德阿尔法核心混合型证券投资基金(2015年09月16日至今)、交银施罗德持续成长主题混合型证券投资基金(2018年01月12日至今)、交银施罗德瑞和三年持有期混合型证券投资基金(2022年03月02日至今)的基金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张迎军先生(2009年01月21日至2015年07月10日)。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8、办理与基金财产管理业务活动有关的信息披露事项；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（1）健全性原则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w:t>
      </w:r>
      <w:r>
        <w:rPr>
          <w:rFonts w:ascii="宋体" w:hAnsi="宋体"/>
          <w:sz w:val="24"/>
        </w:rPr>
        <w:lastRenderedPageBreak/>
        <w:t>会报告的其他情形等。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建立、健全了岗位责任制，使每个员工都明确自己的任务、职责，并及时将各自工作领域中的风险隐患上报，以防范和减少风险。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7" w:name="_Toc234408716"/>
      <w:r>
        <w:rPr>
          <w:rFonts w:ascii="Times New Roman" w:hAnsi="Times New Roman"/>
          <w:sz w:val="30"/>
        </w:rPr>
        <w:lastRenderedPageBreak/>
        <w:t>四、基金托管人</w:t>
      </w:r>
      <w:bookmarkEnd w:id="7"/>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注册资本：人民币35,640,625.7089万元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联系电话：010-66105799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截至2026年3月，中国工商银行资产托管部共有员工209人，平均年龄38岁，99%以上员工拥有大学本科以上学历，高管人员均拥有研究生以上学历或高级技术职称。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2026年3月，中国工商银行共托管证券投资基金1577只。自2003年以来，本行连续二十二年获得香港《亚洲货币》、英国《全球托管人》、香港《财资》、美国《环球金融》、内地《证券时报》、《上海证券报》等境内外权威财经媒体评选的113项最佳托管银行大奖；是获得奖项最多的国内托管银行，优良的服务品质获得国内外金融领域的持续认可和广泛好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（四）基金托管人的内部控制情况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在风险管理的实操过程中根据国际公认的内部控制COSO准则从控制环境、风险评估、控制活动、信息与沟通、内部监督五个方面构建起了托管业务内部风险控制体系，并纳入统一的风险管理体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（1）资产托管业务经营管理合法合规；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（2）促进实现资产托管业务发展战略和经营目标；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（3）资产托管业务风险管理的有效性和资产安全；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（4）提高资产托管经营效率和效果；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（5）业务记录、会计信息和其他经营管理相关信息的真实、准确、完整、及时。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（1）全面性原则。资产托管业务内部控制应贯穿决策、执行和监督全过程，覆盖资产托管业务各项业务流程和管理活动，覆盖所有机构、部门和从业人员。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（2）重要性原则。资产托管业务内部控制应在全面控制基础上，关注重要业务事项、重点业务环节和高风险领域。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（3）制衡性原则。资产托管业务内部控制应在机构设置、权责分配及业务流程等方面形成相互制约、相互监督的机制，同时兼顾运营效率。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（4）适应性原则。资产托管业务内部控制应当与经营规模、业务范围和风险</w:t>
      </w:r>
      <w:r>
        <w:rPr>
          <w:rFonts w:ascii="宋体" w:hAnsi="宋体"/>
          <w:sz w:val="24"/>
        </w:rPr>
        <w:lastRenderedPageBreak/>
        <w:t>特点相适应，并进行动态调整，以合理成本实现内部控制目标。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（5）审慎性原则。资产托管业务内部控制应坚持风险为本、审慎经营的理念，设立机构或开展各项经营管理活动均应坚持内控优先。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（6）成本效益原则。资产托管业务内部控制应权衡实施成本与预期效益，以合理成本实现有效控制。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资产托管业务内部控制纳入全行统一的内部控制体系。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（2）总行内控合规部负责托管业务的内控管理工作再监督，根据年度工作重点，定期或不定期在全行开展相关业务监督检查，将托管业务检查项目整合到全行业务监督检查工作中。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（3）总行内部审计局负责对资产托管业务的审计与评价工作。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（4）一级（直属）分行资产托管业务部门作为内部控制的执行机构，负责组织开展本机构内部控制的日常运行及自查工作，及时整改、纠正、处理存在的问题。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5.风险控制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6.业务连续性保障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w:t>
      </w:r>
      <w:r>
        <w:rPr>
          <w:rFonts w:ascii="宋体" w:hAnsi="宋体"/>
          <w:sz w:val="24"/>
        </w:rPr>
        <w:lastRenderedPageBreak/>
        <w:t>知基金管理人限期纠正。</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8" w:name="_Toc234408717"/>
      <w:r>
        <w:rPr>
          <w:rFonts w:ascii="Times New Roman" w:hAnsi="Times New Roman"/>
          <w:sz w:val="30"/>
        </w:rPr>
        <w:lastRenderedPageBreak/>
        <w:t>五、相关服务机构</w:t>
      </w:r>
      <w:bookmarkEnd w:id="8"/>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个人投资者可以通过本公司网上直销交易平台办理开户、本基金的申购、赎回、定期定额投资及转换等业务，具体交易细则请参阅本公司网站。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（3）名称：兴业银行股份有限公司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（4）名称：东吴证券股份有限公司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（5）名称：中国邮政储蓄银行股份有限公司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（6）名称：中国工商银行股份有限公司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（7）名称：厦门银行股份有限公司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（8）名称：江苏银行股份有限公司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（10）名称：中国光大银行股份有限公司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住所：北京市西城区太平桥大街25号、甲25号中国光大中心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（11）名称：中国建设银行股份有限公司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（12）名称：交通银行股份有限公司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（13）名称：招商银行股份有限公司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（14）名称：上海银行股份有限公司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（16）名称：江苏常熟农村商业银行股份有限公司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网址：www.csrcbank.com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（17）名称：东莞农村商业银行股份有限公司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（18）名称：中国农业银行股份有限公司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（20）名称：平安银行股份有限公司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电话：0755-22166574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（21）名称：中国民生银行股份有限公司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（22）名称：光大证券股份有限公司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（23）名称：万联证券股份有限公司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公司官网：www.wlzq.cn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（24）名称：天风证券股份有限公司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（25）名称：中国中金财富证券有限公司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（26）名称：中邮证券有限责任公司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（27）名称：国联民生证券股份有限公司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办公地址：江苏省无锡市金融一街8号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（28）名称：开源证券股份有限公司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（29）名称：山西证券股份有限公司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（30）名称：西部证券股份有限公司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（31）名称：东北证券股份有限公司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（32）名称：中银国际证券股份有限公司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（33）名称：华福证券股份有限公司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（34）名称：东兴证券股份有限公司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网址：www.dxzq.net</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（35）名称：方正证券股份有限公司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（36）名称：德邦证券股份有限公司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（37）名称：国投证券股份有限公司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（38）名称：国元证券股份有限公司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联系电话：0551-62207400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（39）名称：五矿证券有限公司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（40）名称：东莞证券股份有限公司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（41）名称：财通证券股份有限公司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（42）名称：中信建投证券股份有限公司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住所：北京市朝阳区安立路66号4号楼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（43）名称：东方财富证券股份有限公司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（44）名称：国信证券股份有限公司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（45）名称：湘财证券股份有限公司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传真：（021）68865680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（46）名称：兴业证券股份有限公司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（47）名称：广发证券股份有限公司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（48）名称：华龙证券股份有限公司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（49）名称：华宝证券股份有限公司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（50）名称：长城国瑞证券有限公司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（51）名称：大同证券有限责任公司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（52）名称：长江证券股份有限公司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法定代表人：胡运钊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（53）名称：招商证券股份有限公司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（54）名称：联储证券有限责任公司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（55）名称：第一创业证券股份有限公司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客户服务电话：4008881888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（56）名称：华西证券股份有限公司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（57）名称：粤开证券股份有限公司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（58）名称：国新证券股份有限公司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（59）名称：西南证券股份有限公司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电话：（023）63786141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（60）名称：信达证券股份有限公司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（61）名称：国金证券股份有限公司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（62）名称：长城证券有限责任公司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网址：www.cc168.com.cn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（63）名称：中国国际金融股份有限公司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（64）名称：华鑫证券有限责任公司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（65）名称：中泰证券股份有限公司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（66）名称：申万宏源西部证券有限公司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网址：www.hysec.com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（67）名称：中国银河证券股份有限公司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（68）名称：申万宏源证券有限公司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（69）名称：国都证券股份有限公司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（70）名称：平安证券股份有限公司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（71）名称：南京证券股份有限公司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（72）名称：东方证券股份有限公司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（73）名称：金融街证券股份有限公司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（74）名称：华安证券股份有限公司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住所：安徽省合肥市政务文化新区天鹅湖路198号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法定代表人：章宏韬</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（75）名称：华泰证券股份有限公司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（76）名称：中航证券有限公司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（77）名称：中信证券（山东）有限责任公司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电话：0531-89606166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（78）名称：中信证券股份有限公司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（79）名称：中信证券华南股份有限公司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（80）名称：国泰海通证券股份有限公司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（81）名称：民生证券股份有限公司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（82）名称：上海中欧财富基金销售有限公司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（83）名称：济安财富（北京）基金销售有限公司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（84）名称：博时财富基金销售有限公司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法定代表人：王德英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（85）名称：大连网金基金销售有限公司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（86）名称：阳光人寿保险股份有限公司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（87）名称：玄元保险代理有限公司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客户服务电话：400-080-8208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（88）名称：上海大智慧基金销售有限公司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（89）名称：和耕传承基金销售有限公司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（90）名称：腾安基金销售（深圳）有限公司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（91）名称：珠海盈米基金销售有限公司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（92）名称：上海华夏财富投资管理有限公司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（93）名称：北京度小满基金销售有限公司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（94）名称：南京苏宁基金销售有限公司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（95）名称：嘉实财富管理有限公司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（96）名称：北京汇成基金销售有限公司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（97）名称：上海利得基金销售有限公司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伍豪</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（98）名称：北京虹点基金销售有限公司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（99）名称：上海挖财基金销售有限公司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（100）名称：万家财富基金销售（天津）有限公司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网址：http://www.wanjiawealth.com/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（101）名称：上海万得基金销售有限公司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（102）名称：格上富信投资顾问有限公司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（103）名称：深圳市金斧子基金销售有限公司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（104）名称：北京雪球基金销售有限公司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办公地址：北京市朝阳区创远路 34 号院融新科技中心 C 座 17 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（105）名称：北京新浪仓石基金销售有限公司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（106）名称：上海证达通基金销售有限公司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（107）名称：北京创金启富基金销售有限公司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电话：010-66154828-8047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（108）名称：奕丰基金销售有限公司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（109）名称：上海天天基金销售有限公司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（110）名称：和讯信息科技有限公司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联系人：周轶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（111）名称：诺亚正行基金销售有限公司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（112）名称：上海好买基金销售有限公司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（113）名称：上海长量基金销售有限公司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（114）名称：深圳众禄基金销售股份有限公司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住所：深圳市罗湖区梨园路物资控股置地大厦8楼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（115）名称：北京广源达信基金销售有限公司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（116）名称：深圳市新兰德证券投资咨询有限公司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（117）名称：北京展恒基金销售股份有限公司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电话：（010）59601366-7024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（118）名称：泛华普益基金销售有限公司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（119）名称：中国人寿保险股份有限公司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（120）名称：上海联泰基金销售有限公司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（121）名称：宜信普泽（北京）基金销售有限公司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住所：北京市朝阳区建国路乙118号12层01D、02A—02F、03A—03C</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（122）名称：浙江同花顺基金销售有限公司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（123）名称：上海基煜基金销售有限公司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（124）名称：天相投资顾问有限公司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法定代表人：林义相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（125）名称：深圳前海微众银行股份有限公司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（126）名称：中信期货有限公司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（127）名称：蚂蚁（杭州）基金销售有限公司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（128）名称：京东肯特瑞基金销售有限公司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（129）名称：上海陆金所基金销售有限公司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办公地址：北京市西城区太平桥大街17号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9" w:name="_Toc234408718"/>
      <w:r>
        <w:rPr>
          <w:rFonts w:ascii="Times New Roman" w:hAnsi="Times New Roman"/>
          <w:sz w:val="30"/>
        </w:rPr>
        <w:lastRenderedPageBreak/>
        <w:t>六、基金的募集</w:t>
      </w:r>
      <w:bookmarkEnd w:id="9"/>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交银施罗德保本混合型证券投资基金转型而来，交银施罗德保本混合型证券投资基金由基金管理人依照《基金法》、《运作办法》、《交银施罗德保本混合型证券投资基金基金合同》及其他有关规定，并经中国证监会证监许可【2008】1285号文批准募集发售，募集期间基金份额净值为人民币1.00元，按初始面值发售，自2008年12月3日至2009年1月15日止完成募集，设立募集期共募集4,956,375,599.84份基金份额，有效认购户数为46,900户。</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0" w:name="_Toc234408719"/>
      <w:r>
        <w:rPr>
          <w:rFonts w:ascii="Times New Roman" w:hAnsi="Times New Roman"/>
          <w:sz w:val="30"/>
        </w:rPr>
        <w:lastRenderedPageBreak/>
        <w:t>七、基金合同的生效</w:t>
      </w:r>
      <w:bookmarkEnd w:id="10"/>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根据有关规定，交银施罗德保本混合型证券投资基金募集满足基金合同生效条件，基金合同已于2009年1月21日正式生效，自基金合同生效之日起，本基金管理人正式开始管理该基金。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保本混合型证券投资基金于2012年1月30日保本周期到期，由于不符合保本基金存续条件，按照《交银施罗德保本混合型证券投资基金基金合同》的约定，该基金保本周期到期后转型为非保本的混合型基金，名称相应变更为“交银施罗德优势行业灵活配置混合型证券投资基金”。基金托管人及基金注册登记机构不变，基金代码亦保持不变为“519697”。</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保本混合型证券投资基金的保本周期到期选择期为保本周期到期日及其后三个工作日，即自2012年1月30日（含）起至2012年2月2日（含）止。基金份额持有人可在保本周期到期选择期内的交易时间里，通过基金管理人和各代销机构的营业网点进行到期选择。在保本周期到期选择期截止日的次日，即2012年2月3日起“交银施罗德保本混合型证券投资基金”转型为“交银施罗德优势行业灵活配置混合型证券投资基金”。《交银施罗德优势行业灵活配置混合型证券投资基金基金合同》及《交银施罗德优势行业灵活配置混合型证券投资基金托管协议》即日生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交银施罗德保本混合型证券投资基金保本周期到期选择期截止日次日起,在不超过3个月的时间区间内，为交银施罗德优势行业灵活配置混合型证券投资基金的投资转型期。投资转型期结束，本基金的投资组合比例应符合基金合同的有关约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1" w:name="_Toc234408720"/>
      <w:r>
        <w:rPr>
          <w:rFonts w:ascii="Times New Roman" w:hAnsi="Times New Roman"/>
          <w:sz w:val="30"/>
        </w:rPr>
        <w:lastRenderedPageBreak/>
        <w:t>八、基金份额的申购与赎回</w:t>
      </w:r>
      <w:bookmarkEnd w:id="11"/>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直销机构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个人投资者可以通过本公司网上直销交易平台办理开户、本基金的申购、赎回、定期定额投资及转换等业务，具体交易细则请参阅本公司网站。网上直销交易平台网址：www.fund001.com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本基金的场外代销机构的代销网点参见本招募说明书“五、相关服务机构”章节或拨打本公司客户服务电话进行咨询。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投资者可通过上述销售机构办理基金申购、赎回业务的营业场所或按上述销售机构提供的其他方式进行申购或赎回。本基金管理人可根据情况变更或增减基金场外代销机构，并在管理人网站公示。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的场内代销机构为通过上海证券交易所交易系统办理相关业务的上海证券交易所会员单位。本基金目前暂不开通场内代销业务，日后开通具体时间本基金管理人将依照《信息披露办法》的有关规定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和赎回的开放日为证券交易所交易日（基金管理人公告暂停申购或赎回时除外），投资者应当在开放日办理申购和赎回申请。开放日的具体业务办理时间为上海证券交易所、深圳证券交易所正常交易日的交易时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若出现新的证券交易市场或交易所交易时间更改或实际情况需要，基金管理人可对申购、赎回时间进行调整，但此项调整应在实施日前依照《信息披露办法》的有关规定在指定媒介上公告。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投资者在基金合同约定之外的日期和时间提出申购、赎回、转换申请，且申请被确认的，其基金份额申购、赎回价格为下次办理基金份额申购、赎回时间所在开放日的价格。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保本周期到期转型后，本基金已于2012年2月3日起开放申购业务和赎回业务。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4、赎回遵循“先进先出”原则，即按照投资者认购、申购的先后次序进行顺序赎回；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基金运作的实际情况并在不影响基金份额持有人实质利益的前提下调整上述原则。基金管理人必须在新规则开始实施前按照《信息披露办法》的有关规定在指定媒介上公告并报中国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场外申购时，场外代销网点每个账户单笔申购的最低金额为单笔1元，如果代销机构业务规则规定的最低单笔认购金额高于1元，以代销机构的规定为准。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投资者赎回本基金，赎回的最低份额为1份基金份额，如果销售机构业务规则</w:t>
      </w:r>
      <w:r>
        <w:rPr>
          <w:rFonts w:ascii="宋体" w:hAnsi="宋体"/>
          <w:sz w:val="24"/>
        </w:rPr>
        <w:lastRenderedPageBreak/>
        <w:t>规定的最低单笔赎回份额高于1份，以该销售机构的规定为准。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场内赎回时，赎回的最低份额为50份基金份额，同时赎回份额必须是整数份额，并且单笔赎回最多不超过99,999,999份基金份额。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5、基金管理人可根据市场情况，在法律法规允许的情况下，调整上述对申购的金额、赎回的份额和最低保留余额的数量限制。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基金管理人必须在调整生效前依照《信息披露办法》的有关规定至少在一家指定的媒介公告并报中国证监会备案。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基金投资者必须根据基金销售机构规定的程序，在开放日的业务办理时间向基金销售机构提出申购或赎回的申请。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投资者在申购本基金时须按销售机构规定的方式备足申购资金,投资者在提交赎回申请时，必须有足够的基金份额余额，否则所提交的申购、赎回的申请无效而不予成交。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T日规定时间受理的申请，正常情况下，基金注册登记机构在T+1日内为投资者对该交易的有效性进行确认，在T＋2日后（包括该日）投资者可向销售机构或以销售机构规定的其他方式查询申购与赎回的确认情况。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基金管理人可以在法律法规允许的范围内，依法对上述申购和赎回申请的确认时间进行调整，并必须在调整实施日前按照《信息披露办法》的有关规定在指定媒介上公告。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基金销售机构对申购、赎回申请的受理并不代表该申请一定成功，而仅代表销</w:t>
      </w:r>
      <w:r>
        <w:rPr>
          <w:rFonts w:ascii="宋体" w:hAnsi="宋体"/>
          <w:sz w:val="24"/>
        </w:rPr>
        <w:lastRenderedPageBreak/>
        <w:t>售机构确实接收到该申购、赎回申请。申购、赎回申请的确认以基金注册登记机构的确认结果为准。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申购采用全额缴款方式，若申购资金在规定时间内未全额到账则申购不成功，若申购不成功或无效，申购款项将退回投资者账户。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T日赎回申请成功后，基金管理人将通过基金注册登记机构及其相关基金销售机构在T＋7日（包括该日）内将赎回款项划往基金份额持有人账户。在发生巨额赎回的情形时，款项的支付办法参照《基金合同》的有关条款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投资者申购基金成功后，基金注册登记机构在T+1日为投资者登记权益并办理注册登记手续，投资者自T+2日（含该日）后有权赎回、转换或转托管该部分基金份额。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投资者赎回基金成功后，基金注册登记机构在T+1日为投资者办理扣除权益的注册登记手续。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基金管理人可以在法律法规允许的范围内，依法对上述注册登记办理时间进行调整，并必须在调整实施日前按照《信息披露办法》的有关规定在指定媒介上公告并报中国证监会备案。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本基金目前提供前端收费模式，即在申购时支付申购费用；日后本基金将择机开通后端收费模式，即在赎回时才支付相应的申购费用，该费用随基金份额的持有时间递减。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本基金的申购费用由基金份额申购人承担，不列入基金财产，主要用于本基金的市场推广、销售、注册登记等各项费用。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B1C5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0B1C5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本基金自2013年4月11日起，对通过本公司直销柜台申购本基金前端基金份额的养老金客户实施特定申购费率。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0B1C5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赎回费用由基金份额赎回人承担，赎回费用的25%归基金财产，其余用于支付注册登记费和其他必要的手续费。其中，对持续持有期少于7日的基金份额持有人收取不低于1.5%的赎回费并全额计入基金财产。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B1C5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0B1C5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B1C5F" w:rsidRDefault="000B1C5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本基金由交银施罗德保本混合型证券投资基金转型而来并自2012年2月3日起适用上述费率，原交银保本赎回费率从该日起不再适用。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交银保本基金份额持有人选择继续持有变更后的本基金的基金份额的，对应基金份额的持有期限将自基金份额持有人认购交银保本的基金份额注册登记日起连续计算，即该部分基金份额实际对应赎回费率为0。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基金合同》的相关约定调整费率或收费方式，最新的费率和收费方式在更新的招募说明书中列示。费率或收费方式如发生变更，基金管理人应于新的费率或收费方式实施日前依照《信息披露办法》的有关规定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形下根据市场情况制定基金促销计划，针对特定地域范围、特定行业、特定职业的投资者以及以特定交易方式（如网上交易、电话交易等）等进行基金交易的投资者定期或不定期地开展基金促销活动。在基金促销活动期间，按相关监管部门要求履行相关手续后基金管理人可以适当调低基金申购费率和基金赎回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为按实际确认的申购金额在扣除相应的费用后，以当日基金份额净值为基准计算，场外申购份额计算结果保留到小数点后2位，小数点后两位以后的部分四舍五入，由此产生的误差计入基金财产。场内申购有效份额的计算截位保留到整数位，剩余部分折回金额返还投资者，折回金额的计算保留到小数点后两位，小数点两位以后的部分四舍五入，由此产生的误差计入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当日基金份额净值并扣除相应的费用，赎回金额计算结果保留到小数点后2位，小数点后两位以后的部分四舍五入，由此产生的误差计入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目前本基金暂只开通场外申购，且只提供前端收费模式。本基金日后将择机开通场内申购及提供后端申购模式。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（1）前端收费模式：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场内申购金额的有效份额保留到整数位，剩余部分对应申购资金返还投资者。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例一：某投资者投资40,000元申购本基金，假设申购当日基金份额净值为1.040元，如果其选择前端收费方式，申购费率为1.5%，则其可得到的申购份额为：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如果投资者是场外申购，申购份额为37,893.14份。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如果投资者是场内申购，则申购份额为37,893份，其余0.14份对应金额返回给投资者。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例二：某投资者投资40,000元场外申购本基金，假设申购当日基金份额净值为1.040元，如果其选择后端收费方式，则其可得到的申购份额为：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 ＝ 38,461.54份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即：投资者投资40,000元场外申购本基金，假设申购当日基金份额净值为1.040元，则可得到38,461.54份基金份额，但其在赎回时需根据其持有时间按对应的后端申购费率交纳后端申购费用。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3、赎回金额的计算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（1）如果投资者在申购时选择交纳前端申购费用，则赎回金额的计算方法如下：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例三：某投资者赎回通过前端申购持有的10,000份基金份额，对应的赎回费率为0.5%，假设赎回当日基金份额净值是1.016元，则其可得到的赎回金额为：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即：投资者赎回本基金10,000份基金份额，假设赎回当日基金份额净值是1.016元，则其可得到的赎回金额为10,109.20元。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（2）如果投资者在申购时选择交纳后端申购费用，则赎回金额的计算方法如下：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例四：某投资者赎回通过后端申购持有的10,000份基金份额，对应的后端申购费率是1.8%，赎回费率为0.5%，假设赎回当日基金份额净值是1.016元，申购时的基金份额净值为1.010元，则其可得到的赎回金额为：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赎回总额=10,000×1.016=10,160元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后端申购费用=10,000×1.010×1.8%=181.80元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即：投资者赎回本基金10,000份基金份额，对应的赎回费率为0.5%，假设赎回当日基金份额净值是1.016元，投资者对应的后端申购费率是1.8%，申购时的基金份额净值为1.010元，则其可得到的赎回金额为9,927.40元。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基金份额净值＝基金资产净值总额/发行在外的基金份额总数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（八）拒绝或暂停申购的情形及处理方式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除非出现如下情形，基金管理人不得暂停或拒绝基金投资者的申购申请：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（1）不可抗力的原因导致基金无法正常运作；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（2）证券交易场所在交易时间临时停市，导致当日基金资产净值无法计算；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（4）基金资产规模过大，使基金管理人无法找到合适的投资品种，或可能对基金业绩产生负面影响，从而损害现有基金份额持有人的利益；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（5）当前一估值日基金资产净值50%以上的资产出现无可参考的活跃市场价格且采用估值技术仍导致公允价值存在重大不确定性时，经与基金托管人协商确认后，基金管理人应当暂停接受基金申购申请；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（6）基金管理人、基金托管人、基金销售机构、上海证券交易所或注册登记机构的技术保障等出现异常情况导致基金销售系统或基金注册登记系统或基金会计系统无法正常运作；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（7）基金管理人认为会有损于现有基金份额持有人利益的某笔申购；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（9）法律法规规定或中国证监会认定的其他可暂停申购的情形。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发生上述情形之一的，申购款项将全额退还投资者。发生上述（1）到（6）、（9）项暂停申购情形且基金管理人决定暂停申购时，基金管理人应当在指定媒介刊登暂停申购公告。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（九）暂停赎回或者延缓支付赎回款项的情形及处理方式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除非出现如下情形，基金管理人不得拒绝接受或暂停基金份额持有人的赎回申请或者延缓支付赎回款项：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（1）不可抗力的原因导致基金管理人不能支付赎回款项；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（2）证券交易场所依法决定临时停市，导致基金管理人无法计算当日基金资产净值；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（3）因市场剧烈波动或其他原因而出现连续2个或2个以上开放日巨额赎回，导致本基金的现金支付出现困难；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（5）发生《基金合同》规定的暂停基金资产估值情况；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的，基金管理人应在当日立即向中国证监会备案。已接受的赎回申请，基金管理人将足额支付；如暂时不能足额支付的，可延期支付部分赎回款项，按已被接受的单笔赎回申请量占已接受赎回申请总量的比例分配给赎回申请人，未支付部分由基金管理人按照发生的情况制定相应的处理办法在后续开放日予以支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同时，在出现上述第（3）款的情形时，对已接受的赎回申请可延期支付赎回款项，最长不超过20个工作日，并在指定媒介上公告。投资者在申请赎回时可事先选择将当日可能未获受理部分予以撤销。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暂停基金的赎回，基金管理人应及时在指定媒介上刊登暂停赎回公告。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在暂停赎回的情况消除时，基金管理人应及时恢复赎回业务的办理，并依照有关规定在指定媒介上公告。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份额净赎回申请（赎回申请份额总数加上基金转换中转出申请份额总数后扣除申购申请总数及基金转换中转入申请份额总数后的余额）超过上一日基金总份额的10%时，即认为发生了巨额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当出现巨额赎回时，基金管理人可以根据本基金当时的资产组合状况决定全额赎回或部分顺延赎回。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（1）全额赎回：当基金管理人认为有能力支付投资者的全部赎回申请时，按正常赎回程序执行。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（2）部分顺延赎回：当基金管理人认为支付投资者的赎回申请有困难或认为支付投资者的赎回申请可能会对基金的资产净值造成较大波动时，基金管理人在当</w:t>
      </w:r>
      <w:r>
        <w:rPr>
          <w:rFonts w:ascii="宋体" w:hAnsi="宋体"/>
          <w:sz w:val="24"/>
        </w:rPr>
        <w:lastRenderedPageBreak/>
        <w:t>日接受赎回比例不低于上一日基金总份额的10%的前提下，对其余赎回申请延期予以办理。对于单个基金份额持有人的赎回申请，应当按照其申请赎回份额占当日申请赎回总份额的比例，确定该单个基金份额持有人当日办理的赎回份额；投资者未能赎回部分，除投资者在提交赎回申请时选择将当日未获办理部分予以撤销外，延迟至下一个开放日办理，赎回价格为下一个开放日的价格。依照上述规定转入下一个开放日的赎回不享有赎回优先权，并以此类推，直到全部赎回为止。部分顺延赎回不受单笔赎回最低份额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顺延赎回”的约定方式与其他基金份额持有人的赎回申请一并办理。但是，如该类基金份额持有人在当日选择取消赎回，则其当日未获受理的部分赎回申请将被撤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（3）巨额赎回的公告：当发生巨额赎回并顺延赎回时，基金管理人应在2日内在指定媒介上刊登公告。同时以邮寄、传真、刊登公告或者通知代销机构代为告知的方式通知基金份额持有人，并说明有关处理方法。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本基金连续2个或2个开放日以上发生巨额赎回，如基金管理人认为有必要，可暂停接受赎回申请；已经接受的赎回申请可以延缓支付赎回款项，但不得超过20个工作日，并应当在指定媒介上公告。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（十一）重新开放申购或赎回的公告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如果发生暂停的时间为一天，基金管理人应于重新开放日在指定媒介上刊登基金重新开放申购或赎回的公告并公布最近一个开放日的基金份额净值。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的时间超过一天，暂停结束，基金重新开放申购或赎回时，基金管理人应提前2日在指定媒介上刊登基金重新开放申购或赎回的公告，并在重新开始办理申购或赎回的开放日公告最近一个工作日的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（十二）转托管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择时开通本基金的场内前端申购、赎回及场外后端申购、赎回等业务。本基金的份额采用分系统登记的原则。场外认购或申购的基金份额登记在注册登记系统基金份额持有人开放式基金账户下；场内申购的基金份额登记在证券登记结算系统基金份额持有人证券账户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1、系统内转托管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（1）系统内转托管是指基金份额持有人将持有的基金份额在注册登记系统内不同代销机构之间或证券登记结算系统内不同会员单位之间进行转登记的行为。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（2）基金份额登记在注册登记系统的基金份额持有人在变更办理基金赎回业务的销售机构（网点）时，销售机构（网点）之间不能通存通兑的，可办理已持有基金份额的系统内转托管。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（1）跨系统转托管是指基金份额持有人将持有的基金份额在注册登记系统和证券登记结算系统之间进行转登记的行为。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（2）本基金跨系统转托管的具体业务按照中国证券登记结算有限责任公司的相关规定办理。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本基金2015年12月29日刊登公告自2015年12月30日起开通本基金定期定额投资计划业务，具体开通销售机构名单和业务规则参见相关公告。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（十四）基金的非交易过户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非交易过户是指不采用申购、赎回等基金交易方式，将一定数量的基金份额按照一定规则从某一投资者基金账户转移到另一投资者基金账户的行为。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继承、捐赠、司法强制执行和经基金注册登记机构认可的其他情况下的非交易过户。其中，“继承”指基金份额持有人死亡，其持有的基金份额由其合法的继承人继承；“捐赠”指基金份额持有人将其合法持有的基金份额捐赠给福利性质的基金会或社会团体的情形；“司法强制执行”是指司法机构依据生效司法文书将基金份额持有人持有的基金份额强制划转给其他自然人、法人、社会团体或其他组织。无论在上述何种情况下，接受划转的主体应符合相关法律法规和《基金合同》规定的可持有本基金份额的投资者的条件。办理非交易过户必须提供基金注册登记机构要求提供的相关资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基金注册登记机构受理上述情况下的非交易过户，其他销售机构不得办理该项业务。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对于符合条件的非交易过户申请按《业务规则》的有关规定办理。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（十五）基金的冻结和解冻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国家有权机关依法要求的基金份额的冻结与解冻以及基金注册登记机构认可的其他情况下的冻结与解冻。基金份额被冻结的，被冻结部分产生的权益按照法律法规以及国家有权机关的要求来决定是否冻结。被冻结部分份额仍然参与收益分配。</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2" w:name="_Toc234408721"/>
      <w:r>
        <w:rPr>
          <w:rFonts w:ascii="Times New Roman" w:hAnsi="Times New Roman"/>
          <w:sz w:val="30"/>
        </w:rPr>
        <w:lastRenderedPageBreak/>
        <w:t>九、基金的转换</w:t>
      </w:r>
      <w:bookmarkEnd w:id="12"/>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本基金2012年1月19日刊登公告自2012年2月3日起开放日常转换业务。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3" w:name="_Toc234408722"/>
      <w:r>
        <w:rPr>
          <w:rFonts w:ascii="Times New Roman" w:hAnsi="Times New Roman"/>
          <w:sz w:val="30"/>
        </w:rPr>
        <w:lastRenderedPageBreak/>
        <w:t>十、基金的投资</w:t>
      </w:r>
      <w:bookmarkEnd w:id="13"/>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根据宏观经济周期和市场环境的变化，自上而下灵活配置资产，积极把握行业发展趋势和行业景气轮换中蕴含的投资机会，在控制风险并保持基金资产良好的流动性的前提下，力求实现基金资产的长期稳定增值。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本基金的投资范围为具有良好流动性的金融工具，包括国内依法发行上市的股票（含存托凭证）、债券、货币市场工具、权证、资产支持证券以及法律法规或中国证监会允许基金投资的其他金融工具。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股票资产（含存托凭证）占基金资产的30%-80%；债券、货币市场工具、权证、资产支持证券以及法律法规或中国证监会允许基金投资的其他证券品种占基金资产的20%-70%，其中基金保留的现金以及投资于到期日在一年以内的政府债券的比例合计不低于基金资产净值的5%，现金不包括结算备付金、存出保证金和应收申购款等。在基金实际管理过程中，管理人将根据中国宏观经济情况和证券市场的阶段性变化，在上述投资组合比例范围内，适时调整基金资产在股票、债券及货币市场工具间的配置比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选股方法与积极主动的投资风格相结合，在分析和判断宏观经济周期和市场环境变化趋势的基础上，动态调整投资组合比例，自上而下灵活配置资产；通过把握和判断行业发展趋势及行业景气程度变化，挖掘预期具有良好增长前景的优势行业，精选个股，以谋求超额收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采用“自上而下”的多因素分析决策支持系统，结合定性分析和定量分析实现大类资产的灵活配置。具体而言，首先利用经济周期理论，对宏观经济的经济周期进行预测，在此基础上形成对不同资产市场表现的预测和判断，确定基金资产在各类别资产间的分配比例，并随着各类证券风险收益特征的相对变化，动态</w:t>
      </w:r>
      <w:r>
        <w:rPr>
          <w:rFonts w:ascii="宋体" w:hAnsi="宋体"/>
          <w:sz w:val="24"/>
        </w:rPr>
        <w:lastRenderedPageBreak/>
        <w:t>调整组合中各类资产的比例，以规避或分散市场风险，提高基金收益率。同时，本基金将充分借鉴施罗德集团公司在配置型基金方面成功的投资经验。具体操作中，本基金管理人采用经济周期理论下的资产配置模型，通过对宏观经济运行指标、利率和货币政策等相关因素的分析，对中国的宏观经济运行情况进行判断和预测，然后利用经济周期理论确定基金资产在各类别资产间的战略配置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2、优势行业选择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国民经济快速增长的背后蕴涵了不同行业对GDP增长贡献率的差异。而不同行业受宏观经济周期、行业自身生命周期以及相关结构性因素的影响在不同时期表现往往具有明显差异。</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通过在全球经济的框架下建立交银施罗德优势行业评估体系，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我们对行业的挑选重点分为两个部分，即行业平均增长率预测和行业综合评价。首先考察各行业历史收入和利润增长表现，对未来行业收入增长率和行业平均利润增长率进行预测；对根据预测结果计算的增长率低于GDP增长率的行业进行剔除。然后根据交银施罗德优势行业评估体系，对行业的综合表现和增长空间进行评估和排序，挑选出未来一段时间内最具增长前景的行业。具体评估将从宏观经济环境(重点包括宏观经济政策、产业政策对相关行业发展的影响)、行业景气度分析和预测(关注上下游行业对本行业景气度影响、密切追踪各行业景气度指标)、行业财务状况(行业盈利能力、行业经营效率)和行业竞争力综合表现四个方面入手，采用定性分析结合定量分析的方法对行业的未来的增长前景进行综合评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在完成对行业增长预测和行业综合评价基础上，通过市场及各个行业的相对和绝对估值水平PE、PB等数据的横向、纵向分析，进行估值比较，并跟踪各行业的资金流向、机构持仓特征等判断行业吸引力，动态把握行业板块轮换蕴涵的投资机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3、股票选择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本基金综合运用施罗德集团的股票研究分析方法和其它投资分析工具，采用自下而上方式精选具有投资潜力的股票构建股票投资组合，前述优势行业中股票优先</w:t>
      </w:r>
      <w:r>
        <w:rPr>
          <w:rFonts w:ascii="宋体" w:hAnsi="宋体"/>
          <w:sz w:val="24"/>
        </w:rPr>
        <w:lastRenderedPageBreak/>
        <w:t>入选。具体分以下两个层次进行股票挑选：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筛选出在公司治理、财务及管理品质上符合基本品质要求的上市公司，构建备选股票池，主要筛选指标包括：盈利能力指标(如P/E、P/Cash Flow、P/FCF、P/S、P/EBIT等)、经营效率指标(如ROE、ROA、Return on operating assets等)和财务状况指标(如D/A、流动比率等)。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（2）多元化价值评估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本基金在前述优势行业选择体系的基础上，根据下述标准挑选出其中具有投资潜力的上市公司构建核心股票池：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①公司治理结构良好，管理规范，信息透明；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②主营业务鲜明，盈利能力强，收入和利润稳定增长；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③公司具有质量优良的成长性，通过对控制企业盈利增长质量的指标(如ROIC-WACC、EVA等)进行评估，挑选EVA不断增长或改善的优质公司；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④公司财务状况良好，具备一定的规模优势和较好的抗风险能力；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⑤公司在管理制度、产品开发、技术进步方面具有相当的核心竞争优势，有良好的市场知名度和较好的品牌效应，处于行业龙头地位。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对上述核心股票池中的重点上市公司进行内在价值的评估和成长性跟踪研究，在明确的价值评估基础上选择定价相对合理且成长性可持续的投资标的。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相匹配的投资收益，以实现在一定程度上规避股票市场的系统性风险和保证基金资产的流动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w:t>
      </w:r>
      <w:r>
        <w:rPr>
          <w:rFonts w:ascii="宋体" w:hAnsi="宋体"/>
          <w:sz w:val="24"/>
        </w:rPr>
        <w:lastRenderedPageBreak/>
        <w:t>略，获取债券市场的长期稳定收益。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6、资产支持证券的投资策略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7、其他衍生工具投资策略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密切跟踪国内各种衍生产品的动向，一旦有新的产品推出市场，将在届时相应法律法规的框架内，制订符合本基金投资目标的投资策略，同时结合对衍生工具的研究，在充分考虑衍生产品风险和收益特征的前提下，谨慎进行投资。本基金将按照相关法律法规通过利用股票指数期货及其他金融工具进行套利、避险交易，控制基金组合风险，获取超额收益。本基金投资于股票指数期货主要用于避险交易及套利交易。</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（四）业绩比较基准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60%×沪深300指数收益率+40%×中证综合债券指数收益率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本基金股票投资部分的业绩比较基准是沪深300指数，债券投资部分的业绩比较基准是中证综合债券指数。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由上海和深圳证券市场中选取300只A股作为样本编制而成。该指数样本对沪深市场的覆盖度高，具有良好的市场代表性，投资者可以方便地从报纸、互联网等财经媒体中获取。同时该指数引进国际指数编制和管理的经验，编制方法清晰透明，具有独立性和良好的市场流动性；与市场整体表现具有较高的相关度。沪深300指数是目前衡量本基金股票投资业绩的理想基准。同时，根据本基金的目标资产配置比例来分配权重，本基金的业绩比较基准中加入了中证综合债券指数并按照本基金的目标资产配置比例来安排。</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w:t>
      </w:r>
      <w:r>
        <w:rPr>
          <w:rFonts w:ascii="宋体" w:hAnsi="宋体"/>
          <w:sz w:val="24"/>
        </w:rPr>
        <w:lastRenderedPageBreak/>
        <w:t>或者市场推出更具权威、且更能够表征本基金风险收益特征的指数，则本基金管理人将视情况调整业绩比较基准，并及时公告,但不需要召开基金份额持有人大会。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（五）风险收益特征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灵活配置的混合型基金，属于基金中的较高风险品种，风险与预期收益介于股票型基金和债券型基金之间。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（六）投资决策依据和投资程序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（1）国家有关法律法规和本基金合同的有关规定；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（2）宏观经济发展态势、证券市场运行环境和走势，以及上市公司的基本面；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（3）投资对象的预期收益和预期风险的匹配关系，本基金将在承担适度风险的范围内，选择收益风险配比最佳的品种进行投资。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本基金采用投资决策委员会领导下的基金经理负责制，投资总监、固定收益部总经理是投资决策委员会的执行代表。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基金经理、分析师、交易员在投资管理过程中既密切合作，又责任明确，在各自职责内按照业务程序独立工作并合理地相互制衡。具体的投资管理程序如下：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（1）投资决策委员会每月召开投资策略会议，决定基金的资产配置比例和股票、债券的投资重点等；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（2）研究部策略分析师、股票分析师、固定收益产品分析师、定量分析师各自独立完成相应的研究报告，为投资策略提供依据；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（3）投资总监每周召集投资例会，根据投资决策委员会的决定，结合市场运行变化，决定具体的投资策略；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具体的投资组合方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（5）基金经理根据基金投资组合方案，向中央交易室下达交易指令；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（6）中央交易室执行基金经理的交易指令，对交易情况及时反馈；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投资决策委员会有权根据市场变化和实际情况的需要，对上述投资管理程序作出调整。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1、禁止行为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承销证券；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向他人贷款或提供担保；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从事承担无限责任的投资；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买卖其他基金份额，但法律法规或中国证监会另有规定的除外；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向基金管理人、基金托管人出资或者买卖其基金管理人、基金托管人发行的股票或债券；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买卖与基金管理人、基金托管人有控股关系的股东或者与基金管理人、基金托管人有其他重大利害关系的公司发行的证券或者承销期内承销的证券；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从事内幕交易、操纵证券价格及其他不正当的证券交易活动；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当时有效的法律法规、中国证监会及《基金合同》规定禁止从事的其他行</w:t>
      </w:r>
      <w:r>
        <w:rPr>
          <w:rFonts w:ascii="宋体" w:hAnsi="宋体"/>
          <w:sz w:val="24"/>
        </w:rPr>
        <w:lastRenderedPageBreak/>
        <w:t>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如法律法规或监管部门取消上述禁止性规定，本基金管理人在履行适当程序后可不受上述规定的限制。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2、投资组合限制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本基金的投资组合将遵循以下限制：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持有一家上市公司的股票，其市值不得超过基金资产净值的10%；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本基金与由本基金管理人管理的其他基金共同持有一家公司发行的证券，不得超过该证券的10%；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本基金进入全国银行间同业市场进行债券回购的资金余额不得超过基金资产净值的40%；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本基金在任何交易日买入权证的总金额，不超过上一交易日基金资产净值的0.5%，基金持有的全部权证的市值不超过基金资产净值的3%，基金管理人管理的全部基金持有同一权证的比例不超过该权证的10%。法律法规或中国证监会另有规定的，遵从其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现金以及到期日不超过1年的政府债券合计不低于基金资产净值的5%，其中现金不包括结算备付金、存出保证金和应收申购款等；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本基金持有的全部资产支持证券，其市值不得超过基金资产净值的20%；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本基金持有的同一原始权益人的各类资产支持证券的比例，不得超过基金资产净值的10%；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本基金持有的同一（指同一信用级别）资产支持证券的比例，不得超过该资产支持证券规模的10%；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本基金管理人管理的全部基金投资于同一原始权益人的各类资产支持证券，不得超过其各类资产支持证券合计规模的10%；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本基金财产参与股票发行申购，所申报的金额不得超过本基金的总资产，所申报的股票数量不得超过拟发行股票公司本次发行股票的总量；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w:t>
      </w:r>
      <w:r>
        <w:rPr>
          <w:rFonts w:ascii="宋体" w:hAnsi="宋体"/>
          <w:sz w:val="24"/>
        </w:rPr>
        <w:lastRenderedPageBreak/>
        <w:t>15%；因证券市场波动、上市公司股票停牌、基金规模变动等基金管理人之外的因素致使基金不符合该比例限制的，基金管理人不得主动新增流动性受限资产的投资；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本基金不得违反《基金合同》关于投资范围和投资比例的约定；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 本基金投资存托凭证的比例限制依照境内上市交易的股票执行；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相关法律法规以及监管部门规定的其它投资限制。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如果法律法规或监管部门对上述约定的投资组合比例规定进行变更的，以变更后的规定为准。如果法律法规或监管部门取消上述限制性规定，履行适当程序后，本基金不受上述规定的限制。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5）、（12）、（13）项外，由于证券市场波动、上市公司合并或基金规模变动等基金管理人之外的原因导致的投资组合不符合上述约定的比例不在限制之内，但基金管理人应在10个交易日内进行调整，以达到标准。法律法规另有规定的从其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本基金由交银施罗德保本混合型证券投资基金转型而来，自交银施罗德保本混合型证券投资基金保本周期到期选择期截止日次日起3个月的时间区间内，为本基金的投资转型期。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基金管理人应当自基金投资转型期截止日次日起使基金的投资组合比例符合基金合同的有关约定。基金托管人对基金的投资比例的监督与检查自本基金合同生效之日起开始。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（八）基金管理人代表基金行使股东权利的处理原则及方法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1、不谋求对上市公司的控股，不参与所投资上市公司的经营管理；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2、有利于基金资产的安全与增值；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3、基金管理人按照国家有关规定代表基金独立行使股东权利，保护基金份额持有人的利益；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4、基金管理人按照国家有关规定代表基金独立行使债权人权利，保护基金份额持有人的利益。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（九）基金的融资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本基金可以根据届时有效的有关法律法规和政策的规定进行融资。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（十）基金投资组合报告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本基金托管人中国工商银行股份有限公司根据本基金合同规定，于2026年04月20日复核了本报告中的财务指标、净值表现和投资组合报告等内容，保证复核内容不存在虚假记载、误导性陈述或者重大遗漏。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1,978,812,766.08</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76.99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1,978,812,766.08</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76.99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151,357,684.93</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5.89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151,357,684.93</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5.89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437,591,029.92</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17.03</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2,331,624.80</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2,570,093,105.73</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83,150,968.04</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3.27</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1,508,250,153.03</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59.26</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F</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28,850,661.00</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48,310,500.38</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1.90</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309,824,984.27</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12.17</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403,759.56</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1,978,812,766.08</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77.75</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175,300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254,185,000.00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9.99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2,564,667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251,593,832.70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9.89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540,200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239,222,168.00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9.40</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393,700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224,176,717.00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8.81</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679,400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137,238,800.00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5.39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601138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工业富联</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2,632,282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135,457,231.72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688766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普冉股份</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538,933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121,362,322.27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492,470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117,257,107.00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4.61</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190,700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85,242,900.00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3.35</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2,522,900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82,549,288.00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3.24</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151,357,684.93</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5.95</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151,357,684.93</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5.95</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151,357,684.93</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5.95</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151,357,684.93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5.95</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10.2 报告期末本基金投资的国债期货持仓和损益明细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1,858,796.37</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472,828.43</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right"/>
              <w:rPr>
                <w:rFonts w:ascii="宋体" w:hAnsi="宋体"/>
                <w:color w:val="000000"/>
                <w:kern w:val="0"/>
                <w:sz w:val="25"/>
                <w:szCs w:val="24"/>
              </w:rPr>
            </w:pPr>
            <w:r>
              <w:rPr>
                <w:rFonts w:ascii="Times New Roman" w:hAnsi="Times New Roman"/>
                <w:color w:val="000000"/>
                <w:kern w:val="0"/>
                <w:sz w:val="25"/>
                <w:szCs w:val="24"/>
              </w:rPr>
              <w:t>2,331,624.80</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11.5 报告期末前十名股票中存在流通受限情况的说明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4" w:name="_Toc234408723"/>
      <w:r>
        <w:rPr>
          <w:rFonts w:ascii="Times New Roman" w:hAnsi="Times New Roman"/>
          <w:sz w:val="30"/>
        </w:rPr>
        <w:lastRenderedPageBreak/>
        <w:t>十一、基金的业绩</w:t>
      </w:r>
      <w:bookmarkEnd w:id="14"/>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交银施罗德优势行业灵活配置混合型证券投资基金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-2.17%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22.27%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11.38%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-12.50%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-23.13%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-18.11%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-11.23%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19.76%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20.52%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35.93%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18.30%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43.90%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20.81%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-12.92%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13.24%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10.82%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-1.99%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4.64%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-5.60%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10.24%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81.94%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7.75%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47.19%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38.06%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33.63%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4.43%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10.97%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14.43%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基金转型日</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月</w:t>
            </w:r>
            <w:r>
              <w:rPr>
                <w:rFonts w:ascii="Times New Roman" w:hAnsi="Times New Roman"/>
                <w:color w:val="000000"/>
                <w:kern w:val="0"/>
                <w:sz w:val="25"/>
                <w:szCs w:val="24"/>
              </w:rPr>
              <w:t>3</w:t>
            </w:r>
            <w:r>
              <w:rPr>
                <w:rFonts w:ascii="Times New Roman" w:hAnsi="Times New Roman"/>
                <w:color w:val="000000"/>
                <w:kern w:val="0"/>
                <w:sz w:val="25"/>
                <w:szCs w:val="24"/>
              </w:rPr>
              <w:t>日－</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-5.12%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保本混合型证券投资基金从2012年2月3日起正式转型为交银施罗德优势行业灵活配置混合型证券投资基金，本表列示的是基金转型后的基金净值表现，转型后基金的业绩比较基准为60%×沪深300指数收益率+40%×中信标普全债</w:t>
      </w:r>
      <w:r>
        <w:rPr>
          <w:rFonts w:ascii="宋体" w:hAnsi="宋体"/>
          <w:sz w:val="24"/>
        </w:rPr>
        <w:lastRenderedPageBreak/>
        <w:t>指数收益率。自2015年10月1日起，本基金的业绩比较基准由“60%×沪深300指数收益率+40%×中信标普全债指数收益率”变更为“60%×沪深300指数收益率+40%×中证综合债券指数收益率”。详情见本基金管理人于2015年9月28日发布的《交银施罗德基金管理有限公司关于旗下部分基金业绩比较基准变更并修改基金合同相关内容的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交银施罗德保本混合型证券投资基金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月</w:t>
            </w:r>
            <w:r>
              <w:rPr>
                <w:rFonts w:ascii="Times New Roman" w:hAnsi="Times New Roman"/>
                <w:color w:val="000000"/>
                <w:kern w:val="0"/>
                <w:sz w:val="25"/>
                <w:szCs w:val="24"/>
              </w:rPr>
              <w:t>2</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-5.28%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4.33%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3.38%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r>
      <w:tr w:rsidR="000B1C5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r>
              <w:rPr>
                <w:rFonts w:ascii="Times New Roman" w:hAnsi="Times New Roman"/>
                <w:color w:val="000000"/>
                <w:kern w:val="0"/>
                <w:sz w:val="25"/>
                <w:szCs w:val="24"/>
              </w:rPr>
              <w:t>2009</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21</w:t>
            </w:r>
            <w:r>
              <w:rPr>
                <w:rFonts w:ascii="Times New Roman" w:hAnsi="Times New Roman"/>
                <w:color w:val="000000"/>
                <w:kern w:val="0"/>
                <w:sz w:val="25"/>
                <w:szCs w:val="24"/>
              </w:rPr>
              <w:t>日－</w:t>
            </w:r>
            <w:r>
              <w:rPr>
                <w:rFonts w:ascii="Times New Roman" w:hAnsi="Times New Roman"/>
                <w:color w:val="000000"/>
                <w:kern w:val="0"/>
                <w:sz w:val="25"/>
                <w:szCs w:val="24"/>
              </w:rPr>
              <w:t>2009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3.19%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4.31%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bl>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保本混合型证券投资基金从2012年2月3日起正式转型为交银施罗德优势行业灵活配置混合型证券投资基金，本表列示的是基金转型前的基金净值表现，转型前基金的业绩比较基准为三年期银行定期存款收益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2、基金份额累计净值增长率变动及其与同期业绩比较基准收益率变动的比较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（1）自基金转型以来基金份额累计净值增长率变动及其与同期业绩比较基准收益率变动的比较</w:t>
      </w:r>
    </w:p>
    <w:p w:rsidR="000B1C5F" w:rsidRDefault="00027C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交银施罗德优势行业灵活配置混合型证券投资基金</w:t>
      </w:r>
    </w:p>
    <w:p w:rsidR="000B1C5F" w:rsidRDefault="00027C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0B1C5F" w:rsidRDefault="00027C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（2012年2月3日至2026年03月31日）</w:t>
      </w:r>
    </w:p>
    <w:p w:rsidR="000B1C5F" w:rsidRDefault="00AD15F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由交银施罗德保本混合型证券投资基金转型而来。基金转型日为2012年2月3日。本基金的投资转型期为交银施罗德保本混合型证券投资基金保本周期到期选择期截止日次日（即2012年2月3日）起的3个月。截至投资转型期结束，本基金各项资产配置比例符合基金合同及招募说明书有关投资比例的约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0B1C5F" w:rsidRDefault="00027C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交银施罗德保本混合型证券投资基金</w:t>
      </w:r>
    </w:p>
    <w:p w:rsidR="000B1C5F" w:rsidRDefault="00027C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0B1C5F" w:rsidRDefault="00027C3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（2009年1月21日至2012年2月2日）</w:t>
      </w:r>
    </w:p>
    <w:p w:rsidR="000B1C5F" w:rsidRDefault="00AD15F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注：交银施罗德保本混合型证券投资基金的建仓期为自基金合同生效日起的6个月。截至建仓期结束，其各项资产配置比例符合基金合同及招募说明书有关投资比例的约定。</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5" w:name="_Toc234408724"/>
      <w:r>
        <w:rPr>
          <w:rFonts w:ascii="Times New Roman" w:hAnsi="Times New Roman"/>
          <w:sz w:val="30"/>
        </w:rPr>
        <w:lastRenderedPageBreak/>
        <w:t>十二、基金的财产</w:t>
      </w:r>
      <w:bookmarkEnd w:id="15"/>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基金资产总值是指购买的各类证券及票据价值、银行存款本息和基金应收的申购基金款以及其他投资所形成的价值总和。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其构成主要有：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1、银行存款及其应计利息；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2、结算备付金及其应计利息；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3、根据有关规定缴纳的保证金及其应收利息；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4、应收证券交易清算款；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5、应收申购款；</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6、股票投资及其估值调整；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7、债券投资及其估值调整和应计利息；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8、权证投资及其估值调整；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9、其他投资及其估值调整；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10、其他资产等。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基金托管人的名义开立资金结算账户和托管专户用于基金的资金结算业务，并以基金托管人和本基金联名的方式开立基金证券账户、以本基金的名义开立银行间债券托管账户并报中国人民银行备案。开立的基金专用账户与基金管理人、基金托管人、基金代销机构和基金注册登记机构自有的财产账户以及其他基金财产账户相独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代销机构的财产，并由基金托管人保管。基金管理人、基金托管人不得将基金财产归入其固有财产；基金管理人、基金托管人因基金财产的管理、运用或其他情形而取得的财产和收益，归入基金财产。基金管理人、基金托管人、基金注册登记机构和基金代销机构以其自有的财产承担其自身的法律责任，其债权人不得对本基金财产行使请求冻结、扣押或其</w:t>
      </w:r>
      <w:r>
        <w:rPr>
          <w:rFonts w:ascii="宋体" w:hAnsi="宋体"/>
          <w:sz w:val="24"/>
        </w:rPr>
        <w:lastRenderedPageBreak/>
        <w:t>他权利。除依法律法规和《基金合同》的规定处分外，基金财产不得被处分。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基金管理人管理运作基金财产所产生的债权，不得与其固有财产产生的债务相互抵销；基金管理人管理运作不同基金的基金财产所产生的债权债务不得相互抵销。</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6" w:name="_Toc234408725"/>
      <w:r>
        <w:rPr>
          <w:rFonts w:ascii="Times New Roman" w:hAnsi="Times New Roman"/>
          <w:sz w:val="30"/>
        </w:rPr>
        <w:lastRenderedPageBreak/>
        <w:t>十三、基金资产的估值</w:t>
      </w:r>
      <w:bookmarkEnd w:id="16"/>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基金资产估值的目的是客观、准确地反映基金财产是否保值、增值，依据经基金资产估值后确定的基金资产净值计算出的基金份额净值，是计算基金申购与赎回价格的基础。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基金所拥有的股票、债券、权证和银行存款本息等资产和负债。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管理人完成估值后，将估值结果以双方认可的方式发送给基金托管人，基金托管人按法律法规、《基金合同》规定的估值方法、时间、程序进行复核，以双方认可的方式发送给基金管理人；月末、年中和年末估值复核与基金会计账目的核对同时进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（五）估值方法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本基金按以下方式进行估值：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w:t>
      </w:r>
      <w:r>
        <w:rPr>
          <w:rFonts w:ascii="宋体" w:hAnsi="宋体"/>
          <w:sz w:val="24"/>
        </w:rPr>
        <w:lastRenderedPageBreak/>
        <w:t>似投资品种的现行市价及重大变化因素，调整最近交易市价，确定公允价格；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（1）送股、转增股、配股和公开增发的新股，按估值日在证券交易所挂牌的同一股票的市价（收盘价）估值；该日无交易的，以最近一日的市价（收盘价）估值；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（3）首次公开发行有明确锁定期的股票，同一股票在交易所上市后，按交易所上市的同一股票的市价（收盘价）估值；非公开发行有明确锁定期的股票，按监管机构或行业协会有关规定确定公允价值。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3、因持有股票而享有的配股权，采用估值技术确定公允价值。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4、全国银行间债券市场交易的债券、资产支持证券等固定收益品种，采用估值技术确定公允价值。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就与本基金有关的会计问题，如经相关各方在平等基础上充分讨论后，仍无法达成一致的意见，按照基金管理人对基金资产净值的计算结果对外予以公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（六）基金份额净值的确认和估值错误的处理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基金份额净值的计算保留到小数点后3位，小数点后第4位四舍五入。当估值或份额净值计价错误实际发生时，基金管理人应当立即纠正，并采取合理的措施防止</w:t>
      </w:r>
      <w:r>
        <w:rPr>
          <w:rFonts w:ascii="宋体" w:hAnsi="宋体"/>
          <w:sz w:val="24"/>
        </w:rPr>
        <w:lastRenderedPageBreak/>
        <w:t>损失进一步扩大。当错误达到或超过基金资产净值的0.25%时，基金管理人应报中国证监会备案；当估值错误偏差达到基金份额净值的0.5%时，基金管理人应当公告，并报中国证监会备案。因基金估值错误给投资者造成损失的，应先由基金管理人承担，基金管理人对不应由其承担的责任，有权向过错人追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关于差错处理，本合同的当事人按照以下约定处理：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基金注册登记机构、或代理销售机构、或投资者自身的过错造成差错，导致其他当事人遭受损失的，过错的责任人应当对由于该差错遭受损失的当事人（“受损方”）按下述“差错处理原则”给予赔偿承担赔偿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无法预见、无法避免、无法抗拒，则属不可抗力，按照下述规定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w:t>
      </w:r>
      <w:r>
        <w:rPr>
          <w:rFonts w:ascii="宋体" w:hAnsi="宋体"/>
          <w:sz w:val="24"/>
        </w:rPr>
        <w:lastRenderedPageBreak/>
        <w:t>利的权利；如果获得不当得利的当事人已经将此部分不当得利返还给受损方，则受损方应当将其已经获得的赔偿额加上已经获得的不当得利返还的总和超过其实际损失的差额部分支付给差错责任方。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托管人之外的第三方造成基金资产的损失，并拒绝进行赔偿时，由基金管理人负责向差错方追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行政法规、《基金合同》或其他规定，基金管理人自行或依据法院判决、仲裁裁决对受损方承担了赔偿责任，则基金管理人有权向出现过错的当事人进行追索，并有权要求其赔偿或补偿由此发生的费用和遭受的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（4）根据差错处理的方法，需要修改基金注册登记机构的交易数据的，由基金注册登记机构进行更正，并就差错的更正向有关当事人进行确认；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及基金托管人基金份额净值计算错误偏差达到基金份额净值的0.25%时，基金管理人应当报告中国证监会；基金管理人及基金托管人基金份额净值计算错误偏差达到基金份额净值的0.5%时，基金管理人应当公告并报中国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1、与本基金投资有关的证券交易场所遇法定节假日或因其他原因暂停营业时；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2、因不可抗力或其他情形致使基金管理人无法准确评估基金资产价值时；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3、当前一估值日基金资产净值50%以上的资产出现无可参考的活跃市场价格且采用估值技术仍导致公允价值存在重大不确定性时，经与基金托管人协商一致的确认后，基金管理人应当暂停估值；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4、占基金相当比例的投资品种的估值出现重大转变，而基金管理人为保障基金份额持有人的利益，已决定延迟估值；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5、出现基金管理人认为属于会导致基金管理人不能出售或评估基金资产的紧急事故的任何情况；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6、中国证监会认定的其他情形。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1、基金管理人按估值方法的第6项进行估值时，所造成的误差不作为基金资产估值错误处理；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及其登记结算公司发送的数据错误，或由于其他不可抗力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由此造成的影响。</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7" w:name="_Toc234408726"/>
      <w:r>
        <w:rPr>
          <w:rFonts w:ascii="Times New Roman" w:hAnsi="Times New Roman"/>
          <w:sz w:val="30"/>
        </w:rPr>
        <w:lastRenderedPageBreak/>
        <w:t>十四、基金收益与分配</w:t>
      </w:r>
      <w:bookmarkEnd w:id="17"/>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基金可供分配利润指截至收益分配基准日基金未分配利润与未分配利润中已实现收益的孰低数。基金已实现收益指基金利润减去公允价值变动收益后的余额。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1、在符合有关基金分红条件的前提下，本基金每年收益分配次数最多为10次，全年分配比例不得低于年度可供分配收益的5%，若《基金合同》生效不满3个月可不进行收益分配；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基金收益分配时所发生的银行转账或其他手续费用由投资者自行承担。当投资者的现金红利小于一定金额，不足于支付银行转账或其他手续费用时，基金注册登</w:t>
      </w:r>
      <w:r>
        <w:rPr>
          <w:rFonts w:ascii="宋体" w:hAnsi="宋体"/>
          <w:sz w:val="24"/>
        </w:rPr>
        <w:lastRenderedPageBreak/>
        <w:t>记机构可将基金份额持有人的现金红利自动转为基金份额。红利再投资的计算方法，依照《业务规则》执行。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投资者同一日多次申报分红方式变更的，按照《业务规则》执行，最终确认的分红方式以注册登记机构记录为准。</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8" w:name="_Toc234408727"/>
      <w:r>
        <w:rPr>
          <w:rFonts w:ascii="Times New Roman" w:hAnsi="Times New Roman"/>
          <w:sz w:val="30"/>
        </w:rPr>
        <w:lastRenderedPageBreak/>
        <w:t>十五、基金的费用与税收</w:t>
      </w:r>
      <w:bookmarkEnd w:id="18"/>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8、按照国家有关规定和《基金合同》约定，可以在基金财产中列支的其他费用。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本基金终止清算时所发生费用，按实际支出额从基金财产总值中扣除。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本基金的管理费按前一日基金资产净值的1.20%的年费率计提。管理费的计算方法如下：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向基金托管人发送基金管理费划付指令，基金托管人复核后于次月前2个工作日内从基金财产中一次性支付给基金管理人，若遇法定节假日、公休假等，支付日期顺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本基金的托管费按前一日基金资产净值的0.20%的年费率计提。托管费的计算方法如下：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每日计提，逐日累计至每月月末，按月支付。由基金管理人向基金托管人发送基金托管费划付指令，基金托管人复核后于次月前2个工作日内从基金财产中一次性支付给基金托管人，若遇法定节假日、公休日等，支付日期顺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上述（一）基金费用的种类中第3－8项费用，根据有关法规及相应协议规定，按费用实际支出金额列入当期费用，由基金托管人从基金财产中支付。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3、《基金合同》生效前的相关费用，包括但不限于验资费、会计师和律师费、信息披露费用等费用；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（四）费用调整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基金管理人和基金托管人协商一致后，可根据基金发展情况调整基金管理费率和基金托管费率等相关费率。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调高基金管理费率或基金托管费率等费率，须召开基金份额持有人大会审议；调低基金管理费率或基金托管费率等费率，无须召开基金份额持有人大会。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基金管理人必须最迟于新的费率实施日前依照《信息披露办法》的有关规定在指定媒介上公告。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（五）基金税收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19" w:name="_Toc234408728"/>
      <w:r>
        <w:rPr>
          <w:rFonts w:ascii="Times New Roman" w:hAnsi="Times New Roman"/>
          <w:sz w:val="30"/>
        </w:rPr>
        <w:lastRenderedPageBreak/>
        <w:t>十六、基金的会计与审计</w:t>
      </w:r>
      <w:bookmarkEnd w:id="19"/>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7、基金托管人每月与基金管理人就基金的会计核算、报表编制等进行核对并书面确认。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0" w:name="_Toc234408729"/>
      <w:r>
        <w:rPr>
          <w:rFonts w:ascii="Times New Roman" w:hAnsi="Times New Roman"/>
          <w:sz w:val="30"/>
        </w:rPr>
        <w:lastRenderedPageBreak/>
        <w:t>十七、基金的信息披露</w:t>
      </w:r>
      <w:bookmarkEnd w:id="20"/>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募集申请经中国证监会核准后，基金管理人在基金份额发售的3日前，将《招募说明书》、《基金合同》摘要登载在指定报刊和基金管理人网站上；基金管理人、基金托管人应当将《基金合同》、《托管协议》登载在网站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（2）《基金合同》是界定《基金合同》当事人的各项权利、义务关系，明确基金份额持有人大会召开的规则及具体程序，说明基金产品的特性等涉及基金投资者重大利益的事项的法律文件。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2、《发售公告》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基金管理人应当就基金份额发售的具体事宜编制《发售公告》，并在披露招募说明书的当日登载于指定报刊和基金管理人网站上。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基金管理人应当在《基金合同》生效的次日在指定报刊和基金管理人网站上登载《基金合同》生效公告。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次日，通过指定网站、基金销售机构网站或者营业网点披露开放日的基金份额净值和基金份额累计净值。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（2）《基金合同》终止、基金清算；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（21）发生涉及基金申购、赎回事项调整或潜在影响投资者赎回等重大事项时；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国务院证券监督管理机构核准或者备案，并予以公告。召开基金份额持有人大会的，召集人应当至少提前30日公告基金份额持有人大会的召开时间、会议形式、审议事项、议事程序和表决方式等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w:t>
      </w:r>
      <w:r>
        <w:rPr>
          <w:rFonts w:ascii="宋体" w:hAnsi="宋体"/>
          <w:sz w:val="24"/>
        </w:rPr>
        <w:lastRenderedPageBreak/>
        <w:t>基金定期报告、更新的招募说明书、基金产品资料概要、基金清算报告等公开披露的相关基金信息进行复核、审查，并向基金管理人进行书面或电子确认。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1" w:name="_Toc234408730"/>
      <w:r>
        <w:rPr>
          <w:rFonts w:ascii="Times New Roman" w:hAnsi="Times New Roman"/>
          <w:sz w:val="30"/>
        </w:rPr>
        <w:lastRenderedPageBreak/>
        <w:t>十八、风险揭示</w:t>
      </w:r>
      <w:bookmarkEnd w:id="21"/>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者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份额净赎回申请（赎回申请份额总数加上基金转换中转出申请份额总数后扣除申购申请总数及基金转换中转入申请份额总数后的余额）超过上一日基金总份额的10%时，即认为发生了巨额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当出现巨额赎回时，基金管理人可以根据本基金当时的资产组合状况决定全额赎回或部分顺延赎回。</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（1）全额赎回：当基金管理人认为有能力支付投资者的全部赎回申请时，按正常赎回程序执行。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者的赎回申请有困难或认为支付投资者的赎回申请可能会对基金的资产净值造成较大波动时，基金管理人在当日接受赎回比例不低于上一日基金总份额的10%的前提下，对其余赎回申请延期予以办理。对于单个基金份额持有人的赎回申请，应当按照其申请赎回份额占当日申请赎回总份额的比例，确定该单个基金份额持有人当日办理的赎回份额；投资者未能赎回部分，除投资者在提交赎回申请时选择将当日未获办理部分予以撤销外，延迟至下一个开放日办理，赎回价格为下一个开放日的价格。依照上述规定转入下一个开放日的赎回不享有赎回优先权，并以此类推，直到全部赎回为止。部分顺延赎回不受单笔赎回最低份额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w:t>
      </w:r>
      <w:r>
        <w:rPr>
          <w:rFonts w:ascii="宋体" w:hAnsi="宋体"/>
          <w:sz w:val="24"/>
        </w:rPr>
        <w:lastRenderedPageBreak/>
        <w:t>20%的情形下，基金管理人有权采取如下措施：对于该类基金份额持有人当日超过20%的赎回申请，可以对其赎回申请延期办理；对于该类基金份额持有人未超过上述比例的部分，基金管理人可以根据前段“（1）全额赎回”或“（2）部分顺延赎回”的约定方式与其他基金份额持有人的赎回申请一并办理。但是，如该类基金份额持有人在当日选择取消赎回，则其当日未获受理的部分赎回申请将被撤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（3）暂停赎回：本基金连续2个或2个开放日以上发生巨额赎回，如基金管理人认为有必要，可暂停接受赎回申请；已经接受的赎回申请可以延缓支付赎回款项，但不得超过20个工作日，并应当在指定媒介上公告。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和现金等各类资产之间进行配置来降低风险，提高收益。如果债券市场和股票市场同时出现整体下跌，本基金的净值表现将受到影响。基金虽然采用自上而下资产配置的投资策略，但并不能完全抵御两个市场同时下跌的风险。此外，在股市大幅上涨时也不能完全保证基金净值能够完全跟随或超越大盘走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2、本基金可投资创业板股票，创业板个股上市后的前五个交易日不设价格涨跌幅限制，第六个交易日开始涨跌幅限制比例为20%。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（六）投资科创板股票的特定风险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w:t>
      </w:r>
      <w:r>
        <w:rPr>
          <w:rFonts w:ascii="宋体" w:hAnsi="宋体"/>
          <w:sz w:val="24"/>
        </w:rPr>
        <w:lastRenderedPageBreak/>
        <w:t>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（七）投资存托凭证的特定风险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w:t>
      </w:r>
      <w:r>
        <w:rPr>
          <w:rFonts w:ascii="宋体" w:hAnsi="宋体"/>
          <w:sz w:val="24"/>
        </w:rPr>
        <w:lastRenderedPageBreak/>
        <w:t>境内外交易机制相关的风险可能直接或间接成为本基金风险。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2" w:name="_Toc234408731"/>
      <w:r>
        <w:rPr>
          <w:rFonts w:ascii="Times New Roman" w:hAnsi="Times New Roman"/>
          <w:sz w:val="30"/>
        </w:rPr>
        <w:lastRenderedPageBreak/>
        <w:t>十九、基金合同的终止与基金财产的清算</w:t>
      </w:r>
      <w:bookmarkEnd w:id="22"/>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（1）《基金合同》终止后，由基金财产清算小组统一接管基金财产；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（7）对基金财产进行分配。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w:t>
      </w:r>
      <w:r>
        <w:rPr>
          <w:rFonts w:ascii="宋体" w:hAnsi="宋体"/>
          <w:sz w:val="24"/>
        </w:rPr>
        <w:lastRenderedPageBreak/>
        <w:t>清算费用由基金财产清算小组优先从基金财产中支付。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（四）基金财产清算剩余资产的分配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（五）基金财产清算的公告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合同》终止并报中国证监会备案后5个工作日内由基金财产清算小组进行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（六）基金财产清算账册及文件的保存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3" w:name="_Toc234408732"/>
      <w:r>
        <w:rPr>
          <w:rFonts w:ascii="Times New Roman" w:hAnsi="Times New Roman"/>
          <w:sz w:val="30"/>
        </w:rPr>
        <w:lastRenderedPageBreak/>
        <w:t>二十、基金合同内容摘要</w:t>
      </w:r>
      <w:bookmarkEnd w:id="23"/>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根据《基金法》、《运作办法》及其他有关法律法规，基金管理人的权利包括但不限于：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依法募集基金；</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自《基金合同》生效之日起，根据法律法规和《基金合同》独立运用并管理基金财产；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依照《基金合同》收取基金管理费以及法律法规规定或中国证监会批准的其他收入；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销售基金份额；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召集基金份额持有人大会；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依据《基金合同》及有关法律规定监督基金托管人，如认为基金托管人违反了《基金合同》及国家有关法律规定，应呈报中国证监会和其他监管部门，并采取必要措施保护基金投资者的利益；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在基金托管人更换时，提名新的基金托管人；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选择、委托、更换基金代销机构，对基金代销机构的相关行为进行监督和处理；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担任或委托其他符合条件的机构担任基金注册登记机构办理基金注册登记业务并获得《基金合同》规定的费用；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在《基金合同》约定的范围内，拒绝或暂停受理申购与赎回申请；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（12）在符合有关法律法规和《基金合同》的前提下，制订和调整《业务规则》，决定和调整除调高管理费率和托管费率之外的基金相关费率结构和收费方式；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（13）依照法律法规为基金的利益对被投资公司行使股东权利，为基金的利益行使因基金财产投资于证券所产生的权利；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在法律法规允许的前提下，为基金的利益依法为基金进行融资；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（15）以基金管理人的名义，代表基金份额持有人的利益行使诉讼权利或者实</w:t>
      </w:r>
      <w:r>
        <w:rPr>
          <w:rFonts w:ascii="宋体" w:hAnsi="宋体"/>
          <w:sz w:val="24"/>
        </w:rPr>
        <w:lastRenderedPageBreak/>
        <w:t>施其他法律行为；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（16）选择、更换律师事务所、会计师事务所、证券经纪商或其他为基金提供服务的外部机构；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（17）法律法规和《基金合同》规定的其他权利。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根据《基金法》、《运作办法》及其他有关法律法规，基金管理人的义务包括但不限于：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依法募集基金，办理或者委托经中国证监会认定的其他机构代为办理基金份额的发售、申购、赎回和登记事宜，如认为基金代销机构违反《基金合同》、基金销售与服务代理协议及有关法律法规规定，应呈报中国证监会和其他监管部门，并采取必要措施保护投资者的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办理基金备案手续；</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自《基金合同》生效之日起,以诚实信用、勤勉尽责的原则管理和运用基金财产；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配备足够的具有专业资格的人员进行基金投资分析、决策，以专业化的经营方式管理和运作基金财产；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建立健全内部风险控制、监察与稽核、财务管理及人事管理等制度，保证所管理的基金财产和基金管理人的财产相互独立,对所管理的不同基金分别管理，分别记账，进行证券投资；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除依据《基金法》、《基金合同》及其他有关规定外,不得利用基金财产为自己及任何第三人谋取利益，不得委托第三人运作基金财产；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依法接受基金托管人的监督；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采取适当合理的措施使计算基金份额认购、申购、赎回和注销价格的方法符合《基金合同》等法律文件的规定，按有关规定计算并公告基金净值信息，确定基金份额申购、赎回的价格；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进行基金会计核算并编制基金财务会计报告；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编制季度报告、中期报告和年度报告；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严格按照《基金法》、《基金合同》及其他有关规定，履行信息披露及报告义务；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保守基金商业秘密，不泄露基金投资计划、投资意向等。除《基金法》、《基金合同》及其他有关规定另有规定外，在基金信息公开披露前应予保密，</w:t>
      </w:r>
      <w:r>
        <w:rPr>
          <w:rFonts w:ascii="宋体" w:hAnsi="宋体"/>
          <w:sz w:val="24"/>
        </w:rPr>
        <w:lastRenderedPageBreak/>
        <w:t>不向他人泄露；</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 按《基金合同》的约定确定基金收益分配方案，及时向基金份额持有人分配基金收益；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按规定受理申购与赎回申请，及时、足额支付赎回款项；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 依据《基金法》、《基金合同》及其他有关规定召集基金份额持有人大会或配合基金托管人、基金份额持有人依法召集基金份额持有人大会；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按规定保存基金财产管理业务活动的会计账册、报表、记录和其他相关资料15年以上；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 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 组织并参加基金财产清算小组,参与基金财产的保管、清理、估价、变现和分配；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 面临解散、依法被撤销或者被依法宣告破产时，及时报告中国证监会并通知基金托管人；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 因违反《基金合同》导致基金财产的损失或损害基金份额持有人合法权益时，应当承担赔偿责任，其赔偿责任不因其退任而免除；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当基金管理人将其义务委托第三方处理时，应当对第三方处理有关基金事务的行为承担责任；但因第三方责任导致基金财产或基金份额持有人利益受到损失，而基金管理人首先承担了责任的情况下，基金管理人有权向第三方追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（26）建立并保存基金份额持有人名册，定期或不定期向基金托管人提供基金</w:t>
      </w:r>
      <w:r>
        <w:rPr>
          <w:rFonts w:ascii="宋体" w:hAnsi="宋体"/>
          <w:sz w:val="24"/>
        </w:rPr>
        <w:lastRenderedPageBreak/>
        <w:t>份额持有人名册；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 法律法规及中国证监会规定的和《基金合同》约定的其他义务。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根据《基金法》、《运作办法》及其他有关法律法规，基金托管人的权利包括但不限于：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自《基金合同》生效之日起，依法律法规和《基金合同》的规定安全保管基金财产；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依《基金合同》约定获得基金托管费以及法律法规规定或监管部门批准的其他收入；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在中国证券登记结算有限公司上海分公司和深圳分公司开设证券账户；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开立证券交易资金账户，用于证券交易资金清算；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在中央国债登记结算有限公司开设银行间债券托管账户，负责基金投资债券的后台匹配及资金的清算；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提议召开或召集基金份额持有人大会；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在基金管理人更换时，提名新的基金管理人；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法律法规和《基金合同》规定的其他权利。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根据《基金法》、《运作办法》及其他有关法律法规，基金托管人的义务包括但不限于：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以诚实信用、勤勉尽责的原则持有并安全保管基金财产；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设立专门的基金托管部门，具有符合要求的营业场所，配备足够的、合格的熟悉基金托管业务的专职人员，负责基金财产托管事宜；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名册登记、账户设置、资金划拨、账册记录等方面相互独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除依据《基金法》、《基金合同》及其他有关规定外，不得利用基金财产为自己及任何第三人谋取利益，不得委托第三人托管基金财产；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 保管由基金管理人代表基金签订的与基金有关的重大合同及有关凭证；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按规定开设基金财产的资金账户和证券账户,按照《基金合同》的约定，根据基金管理人的投资指令，及时办理清算、交割事宜；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保守基金商业秘密，除《基金法》、《基金合同》及其他有关规定另有规定外，在基金信息公开披露前予以保密，不得向他人泄露；</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复核、审查基金管理人计算的基金资产净值、基金份额净值、基金份额申购、赎回价格；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办理与基金托管业务活动有关的信息披露事项；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保存基金托管业务活动的记录、账册、报表和其他相关资料15年以上；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建立并保存基金份额持有人名册；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 按规定制作相关账册并与基金管理人核对；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依据基金管理人的指令或有关规定向基金份额持有人支付基金收益和赎回款项；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 按照规定召集基金份额持有人大会或配合基金管理人、基金份额持有人依法召集基金份额持有人大会；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按照法律法规和《基金合同》的规定监督基金管理人的投资运作；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 参加基金财产清算小组，参与基金财产的保管、清理、估价、变现和分配；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 面临解散、依法被撤销或者被依法宣告破产时，及时报告中国证监会和银行监管机构，并通知基金管理人；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 因违反《基金合同》导致基金财产损失时，应承担赔偿责任，其赔偿责任不因其退任而免除；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 按规定监督基金管理人按法律法规和《基金合同》规定履行自己的义务，基金管理人因违反《基金合同》造成基金财产损失时，应为基金利益向基金管理人追偿；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 执行生效的基金份额持有人大会的决定；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法律法规及中国证监会规定的和《基金合同》约定的其他义务。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购买本基金基金份额的行为即视为对《基金合同》的承认和接受，基金投资者自取得依据《基金合同》募集的基金份额，即成为本基金份额持有人和《基金合同》的当事人，直至其不再持有本基金的基金份额。基金份额持有人作为《基金合同》当事人并不以在《基金合同》上书面签章或签字为必要条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在基金合同约定的范围内，每份基金份额具有同等的合法权益。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分享基金财产收益；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参与分配清算后的剩余基金财产；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依法申请赎回其持有的基金份额；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按照规定要求召开基金份额持有人大会；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出席或者委派代表出席基金份额持有人大会，对基金份额持有人大会审议事项行使表决权；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查阅或者复制公开披露的基金信息资料；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监督基金管理人的投资运作；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对基金管理人、基金托管人、基金销售机构损害其合法权益的行为依法提起诉讼；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法律法规和《基金合同》规定的其他权利。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遵守《基金合同》；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缴纳基金认购、申购款项及法律法规和《基金合同》所规定的费用；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在其持有的基金份额范围内，承担基金亏损或者《基金合同》终止的有限责任，《基金合同》另有约定的除外；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不从事任何有损基金及其他《基金合同》当事人合法权益的活动；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返还在基金交易过程中因任何原因，自基金管理人、基金托管人及代销机构、其他基金份额持有人处获得的不当得利；</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 执行生效的基金份额持有人大会的决定；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法律法规及中国证监会规定的和《基金合同》约定的其他义务。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4、本基金合同当事人各方的权利义务以本基金合同为依据，不因基金账户名称而有所改变。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基金份额持有人大会由基金份额持有人或基金份额持有人的合法授权代表共同组成。基金份额持有人持有的每一基金份额具有平等的投票权。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经基金管理人、基金托管人或持有基金份额10%以上（含10%，下同）的基金份额持有人（以基金管理人收到提议当日的基金份额计算，下同）提议时，应当召开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5）提高基金管理人、基金托管人的报酬标准，但法律法规要求提高该等报酬标准的除外；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8）变更基金投资目标、范围或策略，但法律法规和中国证监会另有规定的除外；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9）变更基金份额持有人大会召开程序；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10）对基金当事人权利和义务产生重大影响的其他事项；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11）法律法规、《基金合同》或中国证监会规定的其他应当召开基金份额持有人大会的事项。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（2）以下情况可由基金管理人和基金托管人协商后修改基金合同，不需召开基金份额持有人大会：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1）调低基金管理费、基金托管费和其他应由基金承担的费用；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w:t>
      </w:r>
      <w:r>
        <w:rPr>
          <w:rFonts w:ascii="宋体" w:hAnsi="宋体"/>
          <w:sz w:val="24"/>
        </w:rPr>
        <w:lastRenderedPageBreak/>
        <w:t>回费率、变更或增加收费方式；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4）因相应的法律法规、证券交易所或者注册登记机构的相关业务规则发生变动而应当对《基金合同》进行修改；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6）除按照法律法规和《基金合同》规定应当召开基金份额持有人大会的以外的其他情形。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w:t>
      </w:r>
      <w:r>
        <w:rPr>
          <w:rFonts w:ascii="宋体" w:hAnsi="宋体"/>
          <w:sz w:val="24"/>
        </w:rPr>
        <w:lastRenderedPageBreak/>
        <w:t>益登记日。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（1）召开基金份额持有人大会，召集人应于会议召开前30天，在指定媒介上公告。基金份额持有人大会通知应至少载明以下内容：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1）会议召开的时间、地点、方式和会议形式；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2）会议拟审议的事项、议事程序和表决形式；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4）授权委托书的内容要求（包括但不限于代理人身份，代理权限和代理有效期限等）、送达时间和地点；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通讯方式和书面表决方式，并在会议通知中说明本次基金份额持有人大会所采取的具体通讯方式、委托的公证机关及其联系方式和联系人、书面表决意见寄交的截止时间和收取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 不影响表决意见的计票结果。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基金份额持有人大会可通过现场开会方式或通讯开会方式召开。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会议的召开方式由会议召集人确定，但更换基金管理人和基金托管人必须以现场开会方式召开。</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书委派代表出席，现场开会时基金管理人和基金托管人的授权代表应当列席基金份额持有人大会，基金管理人或托管人不派代表列席的，不影响表决效力。现场开会同时符合以下条件时，可以进行基金份额持有人大会议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1）亲自出席会议者持有基金份额的凭证、受托出席会议者出具的委托人持有基金份额的凭证及委托人的代理投票授权委托书符合法律法规、《基金合同》和会</w:t>
      </w:r>
      <w:r>
        <w:rPr>
          <w:rFonts w:ascii="宋体" w:hAnsi="宋体"/>
          <w:sz w:val="24"/>
        </w:rPr>
        <w:lastRenderedPageBreak/>
        <w:t>议通知的规定，并且持有基金份额的凭证与基金管理人持有的登记资料相符；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1）会议召集人按《基金合同》规定公布会议通知后，在2个工作日内连续公布相关提示性公告；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书符合法律法规、《基金合同》和会议通知的规定，并与基金登记注册机构记录相符，并且委托人出具的代理投票授权委托书符合法律法规、《基金合同》和会议通知的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（3）在法律法规和监管机关允许的情况下，本基金亦可采用网络、电话等其他非书面方式由基金份额持有人向其授权代表进行授权。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w:t>
      </w:r>
      <w:r>
        <w:rPr>
          <w:rFonts w:ascii="宋体" w:hAnsi="宋体"/>
          <w:sz w:val="24"/>
        </w:rPr>
        <w:lastRenderedPageBreak/>
        <w:t>他非现场方式或者以非现场方式与现场方式结合的方式召开基金份额持有人大会，会议程序比照现场开会和通讯方式开会的程序进行。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单独或合并持有权益登记日基金总份额10%（含10%）以上的基金份额持有人可以在大会召集人发出会议通知前向大会召集人提交需由基金份额持有人大会审议表决的提案；也可以在会议通知发出后向大会召集人提交临时提案，临时提案应当在大会召开日至少35天前提交召集人并由召集人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基金份额持有人大会的召集人发出召集会议的通知后，对原有提案的修改应当在基金份额持有人大会召开日30天前公告。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召集人对于基金管理人、基金托管人和基金份额持有人提交的临时提案进行审核，符合条件的应当在大会召开日30天前公告。大会召集人应当按照以下原则对提案进行审核：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关联性。大会召集人对于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程序性。大会召集人可以对提案涉及的程序性问题做出决定。如将提案进行分拆或合并表决，需征得原提案人同意；原提案人不同意变更的，大会主持人可以就程序性问题提请基金份额持有人大会做出决定，并按照基金份额持有人大会决定的程序进行审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单独或合并持有权益登记日基金总份额10%（含10%）以上的基金份额持有人提交基金份额持有人大会审议表决的提案，或基金管理人或基金托管人提交基金份额</w:t>
      </w:r>
      <w:r>
        <w:rPr>
          <w:rFonts w:ascii="宋体" w:hAnsi="宋体"/>
          <w:sz w:val="24"/>
        </w:rPr>
        <w:lastRenderedPageBreak/>
        <w:t>持有人大会审议表决的提案，未获基金份额持有人大会审议通过，就同一提案再次提请基金份额持有人大会审议，其时间间隔不少于6个月。法律法规另有规定除外。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基金份额持有人大会的召集人发出召开会议的通知后，如果需要对原有提案进行修改，应当最迟在基金份额持有人大会召开前30日公告。否则，会议的召开日期应当顺延并保证至少与公告日期有30日的间隔期。</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所持表决权的50%以上（含50%）选举产生一名基金份额持有人作为该次基金份额持有人大会的主持人。基金管理人和基金托管人不出席或主持基金份额持有人大会，不影响基金份额持有人大会作出的决议的效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会议召集人应当制作出席会议人员的签名册。签名册载明参加会议人员姓名（或单位名称）、身份证号码、持有或代表有表决权的基金份额、委托人姓名（或单位名称）等事项。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w:t>
      </w:r>
      <w:r>
        <w:rPr>
          <w:rFonts w:ascii="宋体" w:hAnsi="宋体"/>
          <w:sz w:val="24"/>
        </w:rPr>
        <w:lastRenderedPageBreak/>
        <w:t>表决权的三分之二以上（含三分之二）通过方可做出。转换基金运作方式、更换基金管理人或者基金托管人、终止《基金合同》以特别决议通过方为有效。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提交符合会议通知中规定的确认投资者身份文件的表决视为有效出席的投资者，符合会议通知规定的书面表决意见视为有效表决，表决意见模糊不清或相互矛盾的视为弃权表决，但应当计入出具书面意见的基金份额持有人所代表的基金份额总数。</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对于提交的表决结果有怀疑，可以在宣布表决结果后立即对所投票数要求进行重新清点。监票人应当进行重新清点，重新清点以一次为限。重新清点后，大会主持人应当当场公布重新清点结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8、生效与公告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基金份额持有人大会的决议，召集人应当自通过之日起5日内报中国证监会核准或者备案。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基金份额持有人大会决定的事项自中国证监会依法核准或者出具无异议意见之日起生效。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基金份额持有人大会决议对全体基金份额持有人、基金管理人、基金托管人均有约束力。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（1）以下变更《基金合同》的事项应经基金份额持有人大会决议通过：</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1）更换基金管理人；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2）更换基金托管人；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4）提高基金管理人、基金托管人的报酬标准，但法律法规要求提高该等报酬标准的除外；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5）变更基金类别；</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6）变更基金投资目标、范围或策略，但法律法规和中国证监会另有规定的除外；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8）变更基金份额持有人大会召开程序；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9）其他可能对基金当事人权利和义务产生重大影响的事项。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1）调低基金管理费、基金托管费和其他应由基金承担的费用；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3）在法律法规和《基金合同》规定的范围内调整本基金的申购费率、调低赎回费率、变更或增加收费方式；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4）因相应的法律法规、证券交易所或者注册登记机构的相关业务规则发生变动而应当对《基金合同》进行修改；</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6）除按照法律法规和《基金合同》规定应当召开基金份额持有人大会的以外的其他情形。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（2）关于变更《基金合同》的基金份额持有人大会决议应报中国证监会核准生效后方可执行，基金管理人应自中国证监会核准之日起在指定媒介上公告。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（四）争议的处理和适用的法律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应提交中国国际经济贸易仲裁委员会根据该会当时有效的仲裁规则进行仲裁，仲裁地点为北京，仲裁裁决是终局性的并对各方当事人具有约束力，仲裁费由败诉方承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《基金合同》正本一式六份，除上报有关监管机构一式二份外，基金管理人和基金托管人各持有二份。每份均具有同等的法律效力。</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《基金合同》可印制成册，供投资者在基金管理人、基金托管人和代销机构的办公场所和营业场所查阅；投资者也可按工本费购买《基金合同》复制件或复印件，但内容应以《基金合同》正本为准。</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4" w:name="_Toc234408733"/>
      <w:r>
        <w:rPr>
          <w:rFonts w:ascii="Times New Roman" w:hAnsi="Times New Roman"/>
          <w:sz w:val="30"/>
        </w:rPr>
        <w:lastRenderedPageBreak/>
        <w:t>二十一、托管协议的内容摘要</w:t>
      </w:r>
      <w:bookmarkEnd w:id="24"/>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(021)61055050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联系人：郭佳敏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住所：北京市西城区复兴门内大街55号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法定代表人：易会满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电话：（010）66105799</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传真：（010）66105798</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联系人：郭明</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注册资本：人民币35,640,625.71万元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批准设立机关和设立文号：国务院《关于中国人民银行专门行使中央银行职能的决定》（国发[1983]146号）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存续期间：持续经营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兼业代理业务（有效期至2008年9月4日）；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本基金的投资范围为具有良好流动性的金融工具，包括国内依法发行上市的股票（含存托凭证）、债券、货币市场工具、权证、资产支持证券以及法律法规或中国证监会允许基金投资的其他金融工具。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如法律法规或监管机构以后允许基金投资的其他品种，基金管理人在履行适当程序后，可以将其纳入投资范围，并可依据届时有效的法律法规适时合理地调整投资范围。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股票资产（含存托凭证）占基金资产的30%-80%；债券、货币市场工具、权证、资产支持证券以及法律法规或中国证监会允许基金投资的其他证券品种占基金资产的20%-70%，其中基金保留的现金以及投资于到期日在一年以内的政府债券的比例合计不低于基金资产净值的5%，现金不包括结算备付金、存出保证金和应收申购款等。在基金实际管理过程中，基金管理人将根据中国宏观经济情况和证券市场的阶段性变化，在上述投资组合比例范围内，适时调整基金资产在股票、债券及货币市场工具间的配置比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a、持有一家上市公司的股票，其市值不得超过基金资产净值的10%；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b、本基金与由本基金管理人管理的且托管于托管人处的其他基金共同持有一家公司发行的证券，不得超过该证券的10%；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c、本基金进入全国银行间同业市场进行债券回购的资金余额不得超过基金资产净值的40%；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在任何交易日买入权证的总金额，不超过上一交易日基金资产净值的0.5%，基金持有的全部权证的市值不超过基金资产净值的3%，基金管理人管理的且托管于托管人处的全部基金持有同一权证的比例不超过该权证的10%。法律法规或中国证监会另有规定的，遵从其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e、现金以及到期日不超过1年的政府债券合计不低于基金资产净值的5%，其中现金不包括结算备付金、存出保证金和应收申购款等；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f、本基金持有的全部资产支持证券，其市值不得超过基金资产净值的20%；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g、本基金持有的同一原始权益人的各类资产支持证券的比例，不得超过基金资产净值的10%；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h、本基金持有的同一（指同一信用级别）资产支持证券的比例，不得超过该资产支持证券规模的10%；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i、本基金管理人管理的且托管于托管人处的全部基金投资于同一原始权益人的各类资产支持证券，不得超过其各类资产支持证券合计规模的10%；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j、本基金财产参与股票发行申购，所申报的金额不得超过本基金的总资产，</w:t>
      </w:r>
      <w:r>
        <w:rPr>
          <w:rFonts w:ascii="宋体" w:hAnsi="宋体"/>
          <w:sz w:val="24"/>
        </w:rPr>
        <w:lastRenderedPageBreak/>
        <w:t>所申报的股票数量不得超过拟发行股票公司本次发行股票的总量；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本基金管理人管理的且托管于托管人处的全部开放式基金（包括开放式基金以及处于开放期的定期开放基金）持有一家上市公司发行的可流通股票，不得超过该上市公司可流通股票的15%；本基金管理人管理的且托管于托管人处的全部投资组合持有一家上市公司发行的可流通股票，不得超过该上市公司可流通股票的30%；</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m、本基金与私募类证券资管产品及中国证监会认定的其他主体为交易对手开展逆回购交易的，可接受质押品的资质要求应当与基金合同约定的投资范围保持一致；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n、本基金不得违反《基金合同》关于投资范围和投资比例的约定；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o、本基金投资存托凭证的比例限制依照境内上市交易的股票执行；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p、相关法律法规以及监管部门规定的其它投资限制。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如果法律法规或监管部门对上述约定的投资组合比例规定进行变更的，以变更后的规定为准。如果法律法规或监管部门取消上述限制性规定，履行适当程序后，本基金不受上述规定的限制。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3）法规允许的基金投资比例调整期限</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e、l、m项外，由于证券市场波动、上市公司合并或基金规模变动等基金管理人之外的原因导致的投资组合不符合上述约定的比例，不在限制之内，但基金管理人应在10个交易日内进行调整，以达到规定的投资比例限制要求。法律法规另有规定的从其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基金管理人在其可预见资产规模大幅变动的情况下，至少提前2个工作日正式向基金托管人发函说明基金可能变动规模和公司应对措施，便于托管人实施交易监督。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4）本基金可以按照国家的有关规定进行融资。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5）相关法律、法规或部门规章规定的其他比例限制。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（3）基金托管人根据有关法律法规的规定及《基金合同》的约定对下述基金投资禁止行为进行监督：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2）向他人贷款或提供担保；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4）买卖其他基金份额，但法律法规或中国证监会另有规定的除外；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5）向基金管理人、基金托管人出资或者买卖其基金管理人、基金托管人发行的股票或债券；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7）从事内幕交易、操纵证券价格及其他不正当的证券交易活动；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8）当时有效的法律法规、中国证监会及《基金合同》规定禁止从事的其他行为。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如法律法规或监管部门取消上述禁止性规定，基金管理人在履行适当程序后可不受上述规定的限制。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禁止从事的关联交易的规定，基金管理人和基金托管人应事先相互提供与本机构有控股关系的股东或与本机构有其他重大利害关系的公司名单及其更新，加盖公章并书面提交，并确保所提供的关联交易名单的真实性、完整性、全面性。基金管理人有责任保管真实、完整、全面的关联交易名单，并负责及时更新该名单。名单变更后基金管理人应及时发送基金托管人，基金托管人于2个工作日内进行回函确认收到变更后的名单。如果基金托管人在运作中严格遵循了监督流程，基金管理人仍违规进行关联交易，并造成基金财产损失的，由基金管理人承担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上述关联交易名单中列示的关联方进行法律法规禁止基金从事的关联交易时，基金托管人应及时提醒并协助基金管理人采取必要措施阻止该关联交易的发生，若基金托管人采取必要措施后仍无法阻止关联交易发生时，基金托管人有权向中国证监会报告。对于交易所场内已成交的违规关联交</w:t>
      </w:r>
      <w:r>
        <w:rPr>
          <w:rFonts w:ascii="宋体" w:hAnsi="宋体"/>
          <w:sz w:val="24"/>
        </w:rPr>
        <w:lastRenderedPageBreak/>
        <w:t>易，基金托管人应按相关法律法规和交易所规则的规定进行结算，同时向中国证监会报告。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1）基金托管人依据有关法律法规的规定和《基金合同》的约定对于基金管理人参与银行间市场交易时面临的交易对手资信风险进行监督。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向基金托管人提供符合法律法规及行业标准的银行间市场交易对手的名单，并按照审慎的风险控制原则在该名单中约定各交易对手所适用的交易结算方式。基金托管人在收到名单后1个工作日内回函对名单进行确认。基金管理人收到基金托管人书面确认后，名单开始生效。基金管理人应定期或不定期对银行间市场现券及回购交易对手的名单进行更新，名单中增加或减少银行间市场交易对手时须向基金托管人提出书面申请，基金托管人于1个工作日内回函确认收到后，对名单进行更新。基金管理人收到基金托管人书面确认后，被确认调整的名单开始生效，新名单生效前已与本次剔除的交易对手所进行但尚未结算的交易，仍应按照协议进行结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2）基金托管人对于基金管理人参与银行间市场交易的交易方式的控制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银行间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时造成基金财产损失的，基金托管人不承担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参与银行间市场交易的核心交易对手为中国工商银行股份有限公司、中国银行股份有限公司、中国建设银行股份有限公司、中国农业银行和交通银行股份有限公司，基金管理人与基金托管人协商一致后，可以根据当时的市场情况调整核心交易对手名单。基金管理人有责任控制交易对手的资信风险，因其违约与不在名单内的银行间市场交易对手进行交易或没有按照事先约定的有利于信用风</w:t>
      </w:r>
      <w:r>
        <w:rPr>
          <w:rFonts w:ascii="宋体" w:hAnsi="宋体"/>
          <w:sz w:val="24"/>
        </w:rPr>
        <w:lastRenderedPageBreak/>
        <w:t>险控制的交易方式进行交易而引起的损失先由基金管理人承担，其后向相关责任人进行追偿，如果基金托管人在运作中严格遵循了上述监督流程，则对于由于交易对手资信风险引起的损失，不承担赔偿责任。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（6）基金托管人对基金管理人选择存款银行进行监督。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的信用风险主要包括存款银行的信用等级、存款银行的支付能力等涉及到存款银行选择方面的风险。本基金核心存款银行名单为中国工商银行股份有限公司、中国银行股份有限公司、中国建设银行股份有限公司、中国农业银行和交通银行股份有限公司，本基金投资除核心存款银行以外的银行存款出现由于存款银行信用风险而造成的损失时，先由基金管理人负责赔偿，之后有权要求相关责任人进行赔偿，如果基金托管人在运作过程中遵循上述监督流程，则对于由于存款银行信用风险引起的损失，不承担赔偿责任。基金管理人与基金托管人协商一致后，可以根据当时的市场情况对于核心存款银行名单进行调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4）基金投资流通受限证券前，基金管理人应向基金托管人提供符合法律法规要求的有关书面信息，包括但不限于拟发行证券主体的中国证监会批准文件、发行</w:t>
      </w:r>
      <w:r>
        <w:rPr>
          <w:rFonts w:ascii="宋体" w:hAnsi="宋体"/>
          <w:sz w:val="24"/>
        </w:rPr>
        <w:lastRenderedPageBreak/>
        <w:t>证券数量、发行价格、锁定期，基金拟认购的数量、价格、总成本、总成本占基金资产净值的比例、已持有流通受限证券市值占基金资产净值的比例、资金划付时间等。基金管理人应保证上述信息的真实、完整，并应至少于拟执行投资指令前两个工作日将上述信息书面发至基金托管人，保证基金托管人有足够的时间进行审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已切实履行监督职责，则不承担任何责任。如果基金托管人没有切实履行监督职责，导致本基金出现风险，基金托管人应承担连带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基金托管人发现基金管理人的投资指令违反关法律法规规定或者违反《基金合同》约定的，应当拒绝执行，立即通知基金管理人，并向中国证监会报告。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w:t>
      </w:r>
      <w:r>
        <w:rPr>
          <w:rFonts w:ascii="宋体" w:hAnsi="宋体"/>
          <w:sz w:val="24"/>
        </w:rPr>
        <w:lastRenderedPageBreak/>
        <w:t>并报告中国证监会。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律法规要求需向中国证监会报送基金监督报告的，基金管理人应积极配合提供相关数据资料和制度等。</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基金份额净值、根据基金管理人指令办理清算交收、相关信息披露和监督基金投资运作等行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w:t>
      </w:r>
      <w:r>
        <w:rPr>
          <w:rFonts w:ascii="宋体" w:hAnsi="宋体"/>
          <w:sz w:val="24"/>
        </w:rPr>
        <w:lastRenderedPageBreak/>
        <w:t>提出警告仍不改正的，基金管理人应报告中国证监会。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募集的基金份额总额、基金募集金额、基金份额持有人人数符合《基金法》、《运作办法》等有关规定后，由基金管理人聘请具有从事证券业务资格的会计师事务所进行验资，基金注册登记机构应将募集的属于本基金财产的全部资金划入基金管理人为本基金开立的备付金账户中，再由基金管理人将全部资金划入基金托管人为基金开立的资产托管专户中，基金托管人在收到资金当日出具确认文件，之后由会计师事务所出具验资报告，出具的验资报告应由参加验资的2名以上（含2名）中国注册会计师签字有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其营业机构开设资产托管专户，保管基金的银行存款。该资产托管专户是指基金托管人在集中托管模式下，代表所托管的基金与中国证券登记结算有限责任公司进行一级结算的专用账户。该账户的开设和管理由基金托管人承担。本基金的一切货币收支活动，均需通过基金托管人的资产托管专户进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资产托管专户的开立和使用，限于满足开展本基金业务的需要。基金托管人和基金管理人不得假借本基金的名义开立其他任何银行账户；亦不得使用基金的任何银行账户进行本基金业务以外的活动。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资产托管专户的管理应符合《人民币银行结算账户管理办法》、《现金管理暂行条例》、《人民币利率管理规定》、《利率管理暂行规定》、《支付结算办法》以及银行业监督管理机构的其他规定。</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基金证券账户的开立和使用，限于满足开展本基金业务的需要。基金托管人和基金管理人不得出借和未经对方同意擅自转让本基金的任何证券账户；亦不得使用基金的任何证券账户进行本基金业务以外的活动。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5、债券托管专户的开立和管理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自营账户，并由基金托管人负责本基金的债券的后台匹配及资金的清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2）基金管理人和基金托管人应一起负责为本基金对外签订全国银行间债券市场债券债券回购主协议，正本由基金托管人保管，基金管理人保存副本。</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w:t>
      </w:r>
      <w:r>
        <w:rPr>
          <w:rFonts w:ascii="宋体" w:hAnsi="宋体"/>
          <w:sz w:val="24"/>
        </w:rPr>
        <w:lastRenderedPageBreak/>
        <w:t>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本基金签署的与本基金有关的重大合同的原件分别应由基金托管人、基金管理人保管。除本协议另有规定外，基金管理人在代表本基金签署与本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基金份额净值是指计算日基金资产净值除以该计算日基金份额总份额后的数值。基金份额净值的计算保留到小数点后3位，小数点后第4位四舍五入，由此产生的误差计入基金财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估值原则应符合《基金合同》、《证券投资基金会计核算办法》及其他法律、法规的规定。用于基金信息披露的基金资产净值和基金份额净值由基金管理人负责计算，基金托管人复核。基金管理人应于每个工作日交易结束后计算当日的基金份额净值并以加密传真方式发送给基金托管人。基金托管人对净值计算结果复核后，签名、盖章并以加密传真方式传送给基金管理人，由基金管理人对基金净值予以公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国家最新规定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基金所拥有的股票、债券、权证和银行存款本息等资产及负债。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（2）估值方法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本基金的估值方法为：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②交易所市场上市交易或挂牌转让的固定收益品种（另有规定的除外），选取第三方估值机构提供的相应品种当日的估值净价进行估值；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④交易所上市不存在活跃市场的有价证券，采用估值技术确定公允价值。交易所上市的资产支持证券，采用估值技术确定公允价值，在估值技术难以可靠计量公允价值的情况下，按成本估值。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①送股、转增股、配股和公开增发的新股，按估值日在证券交易所挂牌的同一股票的市价（收盘价）估值；该日无交易的，以最近一日的市价（收盘价）估值；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②首次公开发行未上市的股票、债券和权证，采用估值技术确定公允价值，在估值技术难以可靠计量公允价值的情况下，按成本估值。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③首次公开发行有明确锁定期的股票，同一股票在交易所上市后，按交易所上市的同一股票的市价（收盘价）估值；非公开发行有明确锁定期的股票，按监管机构或行业协会有关规定确定公允价值。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3）因持有股票而享有的配股权，采用估值技术确定公允价值。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4）全国银行间债券市场交易的债券、资产支持证券等固定收益品种，采用估值技术确定公允价值。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w:t>
      </w:r>
      <w:r>
        <w:rPr>
          <w:rFonts w:ascii="宋体" w:hAnsi="宋体"/>
          <w:sz w:val="24"/>
        </w:rPr>
        <w:lastRenderedPageBreak/>
        <w:t>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3、估值差错处理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因基金估值错误给投资者造成损失的应先由基金管理人承担，基金管理人对不应由其承担的责任，有权向过错人追偿。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证券交易所及其登记结算公司发送的数据错误，或由于其他不可抗力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由此造成的影响。</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双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双方各自的账册定期进行核对，互相监督，以保证基金资产的安全。若双方对会计处</w:t>
      </w:r>
      <w:r>
        <w:rPr>
          <w:rFonts w:ascii="宋体" w:hAnsi="宋体"/>
          <w:sz w:val="24"/>
        </w:rPr>
        <w:lastRenderedPageBreak/>
        <w:t>理方法存在分歧，应以基金管理人的处理方法为准。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基金产品资料概要的信息发生重大变更的，基金管理人应当在三个工作日内，更新基金招募说明书和基金产品资料概要并登载在指定网站上；基金招募说明书、基金产品资料概要其他信息发生变更的，基金管理人至少每年更新一次。基金终止运作的，基金管理人不再更新基金招募说明书、基金产品资料概要。基金管理人在季度结束之日起15个工作日内完成季度报告编制并公告；在上半年终了后两个月内完成中期报告编制并公告；在每年结束后三个月内完成年度报告编制并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对报表加盖公章后，以加密传真方式将有关报表提供基金托管人复核；基金托管人在3个工作日内进行复核，并将复核结果及时书面通知基金管理人。基金管理人在季度报告完成当日，将有关报告提供基金托管人复核，基金托管人在收到后7个工作日内进行复核，并将复核结果书面通知基金管理人。基金管理人在中期报告完成当日，将有关报告提供基金托管人复核，基金托管人在收到后30日内进行复核，并将复核结果书面通知基金管理人。基金管理人在年度报告完成当日，将有关报告提供基金托管人复核，基金托管人在收到后45日内复核，并将复核结果书面通知基金管理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双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w:t>
      </w:r>
      <w:r>
        <w:rPr>
          <w:rFonts w:ascii="宋体" w:hAnsi="宋体"/>
          <w:sz w:val="24"/>
        </w:rPr>
        <w:lastRenderedPageBreak/>
        <w:t>或出具相应的复核确认书，以备有权机构对相关文件审核时提示。</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注册登记机构根据基金管理人的指令编制和保管，基金管理人和基金托管人应按照目前相关规则分别保管基金份额持有人名册。保管方式可以采用电子或文档的形式。保管期限为15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下列日期的基金份额持有人名册：《基金合同》生效日、《基金合同》终止日、基金份额持有人大会权利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基金托管人以电子版形式妥善保管基金份额持有人名册，并定期刻成光盘备份，保存期限为15年。基金托管人不得将所保管的基金份额持有人名册用于基金托管业务以外的其他用途，并应遵守保密义务。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同意，因本协议而产生的或与本协议有关的一切争议，除经友好协商可以解决的，应提交中国国际经济贸易仲裁委员会根据该会当时有效的仲裁规则进行仲裁，仲裁的地点在北京，仲裁裁决是终局性的并对相关各方均有约束力，仲裁费用由败诉方承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1、托管协议的变更程序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本协议双方当事人经协商一致，可以对协议的内容进行变更。变更后的托管协议，其内容不得与《基金合同》的规定有任何冲突。基金托管协议的变更报中国证监会核准后生效。</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5" w:name="_Toc234408734"/>
      <w:r>
        <w:rPr>
          <w:rFonts w:ascii="Times New Roman" w:hAnsi="Times New Roman"/>
          <w:sz w:val="30"/>
        </w:rPr>
        <w:lastRenderedPageBreak/>
        <w:t>二十二、对基金份额持有人的服务</w:t>
      </w:r>
      <w:bookmarkEnd w:id="25"/>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1、每次交易结束后，场外投资者可在T+2个工作日后通过销售机构的网点查询和打印确认单；</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人可以直接通过本基金管理人网站的网上直销交易平台办理开户和本基金的申购、赎回、定期定额投资和转换等业务。通过网上直销交易平台办理本基金申购、定期定额投资业务的个人投资者将享受申购费率的优惠，通过网上直销交易平台进行基金转换，从各基金招募说明书所载的零申购费率的基金转换入非零申购费率的基金，转出与转入基金的申购补差费率将享受优惠，其他费率标准不变。具体优惠费率请参见公司网站列示的网上直销申购、定期定额投资及转换费率表或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在条件成熟的时候，本基金管理人将根据基金网上直销交易业务的发展状况，适时调整可用于基金网上直销交易平台的银行卡种类，敬请投资者留意相关公告。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和赎回等交易情况、分红方式状态、基金账户余额、基金产品与服务等信息，请拨打本基金管理人客户服务电话（400-700-5000，021-61055000）或登录本基金管理人网站（www.fund001.com）进行咨询、查询。</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资者通过客户服务电话查询基金账户下的账户和交易信息。投资者请在其知晓基金账号后，及时拨打本基金管理人客户服务电话修改基金查询密码。</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投资者可以拨打本基金管理人客户服务电话投诉直销机构的人员和服务。</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 基金红利再投资</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本基金收益分配时，投资者可以选择将当期分配所得的红利再投资于本基金，再投资红利按红利再投日（即除息日）除息后的基金份额净值自动转为基金份额，并免收申购费用。</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 定期定额投资计划</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本基金已开通定期定额投资业务，具体实施方法请参见相关公告。</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6" w:name="_Toc234408735"/>
      <w:r>
        <w:rPr>
          <w:rFonts w:ascii="Times New Roman" w:hAnsi="Times New Roman"/>
          <w:sz w:val="30"/>
        </w:rPr>
        <w:lastRenderedPageBreak/>
        <w:t>二十三、其他应披露事项</w:t>
      </w:r>
      <w:bookmarkEnd w:id="26"/>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交银施罗德基金管理有限公司关于交银施罗德优势行业灵活配置混合型证券投资基金暂停及恢复大额申购（转换转入、定期定额投资）业务的公告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交银施罗德基金管理有限公司关于交银施罗德优势行业灵活配置混合型证券投资基金分红公告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交银施罗德优势行业灵活配置混合型证券投资基金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0B1C5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B1C5F" w:rsidRDefault="00027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7" w:name="_Toc234408736"/>
      <w:r>
        <w:rPr>
          <w:rFonts w:ascii="Times New Roman" w:hAnsi="Times New Roman"/>
          <w:sz w:val="30"/>
        </w:rPr>
        <w:lastRenderedPageBreak/>
        <w:t>二十四、招募说明书的存放及查阅方式</w:t>
      </w:r>
      <w:bookmarkEnd w:id="27"/>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027C3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B1C5F" w:rsidRDefault="00027C3A">
      <w:pPr>
        <w:pStyle w:val="1"/>
        <w:snapToGrid w:val="0"/>
        <w:spacing w:beforeLines="0" w:before="240" w:after="240"/>
        <w:rPr>
          <w:rFonts w:ascii="宋体" w:hAnsi="宋体"/>
          <w:szCs w:val="30"/>
        </w:rPr>
      </w:pPr>
      <w:bookmarkStart w:id="28" w:name="_Toc234408737"/>
      <w:r>
        <w:rPr>
          <w:rFonts w:ascii="Times New Roman" w:hAnsi="Times New Roman"/>
          <w:sz w:val="30"/>
        </w:rPr>
        <w:lastRenderedPageBreak/>
        <w:t>二十五、备查文件</w:t>
      </w:r>
      <w:bookmarkEnd w:id="28"/>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（一）中国证监会批准交银施罗德保本混合型证券投资基金募集的文件</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（二）《交银施罗德优势行业灵活配置混合型证券投资基金基金合同》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（三）《交银施罗德优势行业灵活配置混合型证券投资基金托管协议》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（四）《交银施罗德保本混合型证券投资基金基金合同》</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（五）《交银施罗德保本混合型证券投资基金托管协议》</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（六）《交银施罗德保本混合型证券投资基金招募说明书》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（七）《交银施罗德保本混合型证券投资基金保函》</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（八）基金管理人业务资格批件、营业执照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（九）基金托管人业务资格批件、营业执照</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（十）上海源泰律师事务所出具的《关于申请募集交银施罗德保本混合型证券投资基金之法律意见书》</w:t>
      </w:r>
    </w:p>
    <w:p w:rsidR="000B1C5F" w:rsidRDefault="00027C3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 上海市通力律师事务所出具的《关于交银施罗德保本混合型证券投资基金保本周期到期转型方案及基金合同修改的法律意见》</w:t>
      </w:r>
    </w:p>
    <w:sectPr w:rsidR="000B1C5F">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F02" w:rsidRDefault="00027C3A">
      <w:r>
        <w:separator/>
      </w:r>
    </w:p>
  </w:endnote>
  <w:endnote w:type="continuationSeparator" w:id="0">
    <w:p w:rsidR="00381F02" w:rsidRDefault="00027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0B1C5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AD15F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0B1C5F" w:rsidRDefault="00027C3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D15F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0B1C5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AD15F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0B1C5F" w:rsidRDefault="00027C3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D15F7">
                  <w:rPr>
                    <w:rFonts w:ascii="Times New Roman" w:hAnsi="Times New Roman"/>
                    <w:noProof/>
                    <w:kern w:val="0"/>
                    <w:sz w:val="18"/>
                    <w:szCs w:val="18"/>
                  </w:rPr>
                  <w:t>163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F02" w:rsidRDefault="00027C3A">
      <w:r>
        <w:separator/>
      </w:r>
    </w:p>
  </w:footnote>
  <w:footnote w:type="continuationSeparator" w:id="0">
    <w:p w:rsidR="00381F02" w:rsidRDefault="00027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0B1C5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027C3A">
    <w:pPr>
      <w:pStyle w:val="a3"/>
      <w:jc w:val="right"/>
      <w:rPr>
        <w:rFonts w:ascii="宋体" w:hAnsi="宋体"/>
      </w:rPr>
    </w:pPr>
    <w:r>
      <w:rPr>
        <w:rFonts w:ascii="宋体" w:hAnsi="宋体" w:hint="eastAsia"/>
      </w:rPr>
      <w:t>交银施罗德优势行业灵活配置混合型证券投资基金招募说明书更新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0B1C5F">
    <w:pPr>
      <w:pStyle w:val="10"/>
      <w:jc w:val="right"/>
    </w:pPr>
  </w:p>
  <w:p w:rsidR="000B1C5F" w:rsidRDefault="000B1C5F">
    <w:pPr>
      <w:pStyle w:val="10"/>
      <w:jc w:val="right"/>
    </w:pPr>
  </w:p>
  <w:p w:rsidR="000B1C5F" w:rsidRDefault="000B1C5F">
    <w:pPr>
      <w:pStyle w:val="a3"/>
      <w:jc w:val="right"/>
    </w:pPr>
  </w:p>
  <w:p w:rsidR="000B1C5F" w:rsidRDefault="00027C3A">
    <w:pPr>
      <w:pStyle w:val="a3"/>
      <w:jc w:val="right"/>
      <w:rPr>
        <w:rFonts w:ascii="宋体" w:hAnsi="宋体"/>
      </w:rPr>
    </w:pPr>
    <w:r>
      <w:rPr>
        <w:rFonts w:ascii="宋体" w:hAnsi="宋体" w:hint="eastAsia"/>
      </w:rPr>
      <w:t>交银施罗德优势行业灵活配置混合型证券投资基金招募说明书更新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5F" w:rsidRDefault="000B1C5F">
    <w:pPr>
      <w:pStyle w:val="a3"/>
      <w:jc w:val="right"/>
    </w:pPr>
  </w:p>
  <w:p w:rsidR="000B1C5F" w:rsidRDefault="000B1C5F">
    <w:pPr>
      <w:pStyle w:val="a3"/>
      <w:jc w:val="right"/>
    </w:pPr>
  </w:p>
  <w:p w:rsidR="000B1C5F" w:rsidRDefault="000B1C5F">
    <w:pPr>
      <w:pStyle w:val="a3"/>
      <w:jc w:val="right"/>
    </w:pPr>
  </w:p>
  <w:p w:rsidR="000B1C5F" w:rsidRDefault="00027C3A">
    <w:pPr>
      <w:pStyle w:val="a3"/>
      <w:jc w:val="right"/>
      <w:rPr>
        <w:rFonts w:ascii="宋体" w:hAnsi="宋体"/>
      </w:rPr>
    </w:pPr>
    <w:r>
      <w:rPr>
        <w:rFonts w:ascii="宋体" w:hAnsi="宋体" w:hint="eastAsia"/>
      </w:rPr>
      <w:t>交银施罗德优势行业灵活配置混合型证券投资基金招募说明书更新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3A"/>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1C5F"/>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1F02"/>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5F7"/>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30BB2DB8-2E75-47C2-A439-B1DB8084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164</Pages>
  <Words>16684</Words>
  <Characters>95104</Characters>
  <Application>Microsoft Office Word</Application>
  <DocSecurity>0</DocSecurity>
  <Lines>792</Lines>
  <Paragraphs>223</Paragraphs>
  <ScaleCrop>false</ScaleCrop>
  <Company>Microsoft</Company>
  <LinksUpToDate>false</LinksUpToDate>
  <CharactersWithSpaces>111565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2026-07-08T05:11:00Z</dcterms:created>
  <dcterms:modified xsi:type="dcterms:W3CDTF">2026-07-08T05:11:00Z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