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2154D3">
      <w:pPr>
        <w:rPr>
          <w:sz w:val="32"/>
        </w:rPr>
      </w:pPr>
    </w:p>
    <w:p w:rsidR="00C92FC0" w:rsidRPr="00EB07BC" w:rsidRDefault="002154D3">
      <w:pPr>
        <w:rPr>
          <w:sz w:val="32"/>
        </w:rPr>
      </w:pPr>
    </w:p>
    <w:p w:rsidR="00C92FC0" w:rsidRPr="00EB07BC" w:rsidRDefault="002154D3">
      <w:pPr>
        <w:rPr>
          <w:sz w:val="32"/>
        </w:rPr>
      </w:pPr>
    </w:p>
    <w:p w:rsidR="008F053E" w:rsidRDefault="008F053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F053E" w:rsidRDefault="008F053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F053E" w:rsidRDefault="008F053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F053E" w:rsidRDefault="00EA001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交银施罗德瑞丰混合型证券投资基金（</w:t>
      </w:r>
      <w:r>
        <w:rPr>
          <w:rFonts w:ascii="Times New Roman" w:hAnsi="Times New Roman"/>
          <w:b/>
          <w:spacing w:val="2"/>
          <w:w w:val="99"/>
          <w:kern w:val="0"/>
          <w:position w:val="-4"/>
          <w:sz w:val="44"/>
          <w:szCs w:val="44"/>
        </w:rPr>
        <w:t>LOF</w:t>
      </w:r>
      <w:r>
        <w:rPr>
          <w:rFonts w:ascii="Times New Roman" w:hAnsi="Times New Roman"/>
          <w:b/>
          <w:spacing w:val="2"/>
          <w:w w:val="99"/>
          <w:kern w:val="0"/>
          <w:position w:val="-4"/>
          <w:sz w:val="44"/>
          <w:szCs w:val="44"/>
        </w:rPr>
        <w:t>）</w:t>
      </w:r>
    </w:p>
    <w:p w:rsidR="008F053E" w:rsidRDefault="00EA001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F053E" w:rsidRDefault="008F053E">
      <w:pPr>
        <w:snapToGrid w:val="0"/>
        <w:spacing w:line="360" w:lineRule="auto"/>
        <w:jc w:val="center"/>
        <w:rPr>
          <w:rFonts w:ascii="宋体" w:hAnsi="宋体"/>
          <w:b/>
          <w:sz w:val="30"/>
          <w:szCs w:val="30"/>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EA001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F053E" w:rsidRDefault="00EA001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8F053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F053E" w:rsidRDefault="00EA001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8F053E" w:rsidRDefault="008F053E">
      <w:pPr>
        <w:autoSpaceDE w:val="0"/>
        <w:autoSpaceDN w:val="0"/>
        <w:adjustRightInd w:val="0"/>
        <w:snapToGrid w:val="0"/>
        <w:spacing w:line="360" w:lineRule="auto"/>
        <w:ind w:left="1347" w:rightChars="6" w:right="13"/>
        <w:rPr>
          <w:rFonts w:ascii="宋体" w:hAnsi="宋体"/>
          <w:kern w:val="0"/>
          <w:sz w:val="32"/>
          <w:szCs w:val="32"/>
        </w:rPr>
        <w:sectPr w:rsidR="008F053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F053E" w:rsidRDefault="00EA001A">
      <w:pPr>
        <w:pStyle w:val="1"/>
        <w:snapToGrid w:val="0"/>
        <w:spacing w:beforeLines="0" w:before="240" w:after="240"/>
        <w:rPr>
          <w:rFonts w:ascii="宋体" w:hAnsi="宋体"/>
          <w:kern w:val="0"/>
        </w:rPr>
      </w:pPr>
      <w:bookmarkStart w:id="0" w:name="_Toc324920538"/>
      <w:bookmarkStart w:id="1" w:name="_Toc496884613"/>
      <w:bookmarkStart w:id="2" w:name="_Toc234327907"/>
      <w:r>
        <w:rPr>
          <w:rFonts w:ascii="Times New Roman" w:hAnsi="Times New Roman"/>
          <w:kern w:val="0"/>
        </w:rPr>
        <w:lastRenderedPageBreak/>
        <w:t>重要提示</w:t>
      </w:r>
      <w:bookmarkEnd w:id="0"/>
      <w:bookmarkEnd w:id="1"/>
      <w:bookmarkEnd w:id="2"/>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交银施罗德瑞丰混合型证券投资基金（</w:t>
      </w:r>
      <w:r>
        <w:rPr>
          <w:rFonts w:ascii="Times New Roman" w:hAnsi="Times New Roman"/>
          <w:kern w:val="0"/>
          <w:sz w:val="24"/>
        </w:rPr>
        <w:t>LOF</w:t>
      </w:r>
      <w:r>
        <w:rPr>
          <w:rFonts w:ascii="Times New Roman" w:hAnsi="Times New Roman"/>
          <w:kern w:val="0"/>
          <w:sz w:val="24"/>
        </w:rPr>
        <w:t>）由交银施罗德瑞丰三年封闭运作混合型证券投资基金封闭期届满后更名而来。交银施罗德瑞丰三年封闭运作混合型证券投资基金（以下与交银施罗德瑞丰混合型证券投资基金（</w:t>
      </w:r>
      <w:r>
        <w:rPr>
          <w:rFonts w:ascii="Times New Roman" w:hAnsi="Times New Roman"/>
          <w:kern w:val="0"/>
          <w:sz w:val="24"/>
        </w:rPr>
        <w:t>LOF</w:t>
      </w:r>
      <w:r>
        <w:rPr>
          <w:rFonts w:ascii="Times New Roman" w:hAnsi="Times New Roman"/>
          <w:kern w:val="0"/>
          <w:sz w:val="24"/>
        </w:rPr>
        <w:t>）简称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1194</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4</w:t>
      </w:r>
      <w:r>
        <w:rPr>
          <w:rFonts w:ascii="Times New Roman" w:hAnsi="Times New Roman"/>
          <w:kern w:val="0"/>
          <w:sz w:val="24"/>
        </w:rPr>
        <w:t>日正式生效。</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封闭期无法赎回和开放期大量赎回导致的流动性风险；信用风险；投资资产支持证券的特定风险；投资股指期货的特定风险；投资科创板股票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万元情形时，基金管理人可依基金合同约定提前终止基金合同的风险；投资本基金特有的其他风险等等。</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w:t>
      </w:r>
      <w:r>
        <w:rPr>
          <w:rFonts w:ascii="Times New Roman" w:hAnsi="Times New Roman"/>
          <w:kern w:val="0"/>
          <w:sz w:val="24"/>
        </w:rPr>
        <w:lastRenderedPageBreak/>
        <w:t>种或多种基础资产或指数，其评价主要源自于对挂钩资产的价格与价格波动的预期。投资股指期货所面临的风险主要是市场风险、流动性风险、基差风险、保证金风险、信用风险和操作风险。</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根据基金合同的约定，基金合同生效后，前三年封闭运作，在封闭期内，本基金不办理申购、赎回业务，但投资人可在本基金上市交易后通过上海证券交易所转让基金份额。封闭期届满后，本基金转为上市开放式基金（</w:t>
      </w:r>
      <w:r>
        <w:rPr>
          <w:rFonts w:ascii="Times New Roman" w:hAnsi="Times New Roman"/>
          <w:kern w:val="0"/>
          <w:sz w:val="24"/>
        </w:rPr>
        <w:t>LOF</w:t>
      </w:r>
      <w:r>
        <w:rPr>
          <w:rFonts w:ascii="Times New Roman" w:hAnsi="Times New Roman"/>
          <w:kern w:val="0"/>
          <w:sz w:val="24"/>
        </w:rPr>
        <w:t>），基金名称相应变更为</w:t>
      </w:r>
      <w:r>
        <w:rPr>
          <w:rFonts w:ascii="Times New Roman" w:hAnsi="Times New Roman"/>
          <w:kern w:val="0"/>
          <w:sz w:val="24"/>
        </w:rPr>
        <w:t>“</w:t>
      </w:r>
      <w:r>
        <w:rPr>
          <w:rFonts w:ascii="Times New Roman" w:hAnsi="Times New Roman"/>
          <w:kern w:val="0"/>
          <w:sz w:val="24"/>
        </w:rPr>
        <w:t>交银施罗德瑞丰混合型证券投资基金（</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交银施罗德瑞丰三年封闭运作混合型证券投资基金的封闭期自</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4</w:t>
      </w:r>
      <w:r>
        <w:rPr>
          <w:rFonts w:ascii="Times New Roman" w:hAnsi="Times New Roman"/>
          <w:kern w:val="0"/>
          <w:sz w:val="24"/>
        </w:rPr>
        <w:t>日起至</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日止。自</w:t>
      </w:r>
      <w:r>
        <w:rPr>
          <w:rFonts w:ascii="Times New Roman" w:hAnsi="Times New Roman"/>
          <w:kern w:val="0"/>
          <w:sz w:val="24"/>
        </w:rPr>
        <w:t>2022</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日起，本基金的基金名称变更为</w:t>
      </w:r>
      <w:r>
        <w:rPr>
          <w:rFonts w:ascii="Times New Roman" w:hAnsi="Times New Roman"/>
          <w:kern w:val="0"/>
          <w:sz w:val="24"/>
        </w:rPr>
        <w:t>“</w:t>
      </w:r>
      <w:r>
        <w:rPr>
          <w:rFonts w:ascii="Times New Roman" w:hAnsi="Times New Roman"/>
          <w:kern w:val="0"/>
          <w:sz w:val="24"/>
        </w:rPr>
        <w:t>交银施罗德瑞丰混合型证券投资基金（</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，基金简称变更为</w:t>
      </w:r>
      <w:r>
        <w:rPr>
          <w:rFonts w:ascii="Times New Roman" w:hAnsi="Times New Roman"/>
          <w:kern w:val="0"/>
          <w:sz w:val="24"/>
        </w:rPr>
        <w:t>“</w:t>
      </w:r>
      <w:r>
        <w:rPr>
          <w:rFonts w:ascii="Times New Roman" w:hAnsi="Times New Roman"/>
          <w:kern w:val="0"/>
          <w:sz w:val="24"/>
        </w:rPr>
        <w:t>交银瑞丰混合（</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，场内简称与基金代码不变，场内简称为</w:t>
      </w:r>
      <w:r>
        <w:rPr>
          <w:rFonts w:ascii="Times New Roman" w:hAnsi="Times New Roman"/>
          <w:kern w:val="0"/>
          <w:sz w:val="24"/>
        </w:rPr>
        <w:t>“</w:t>
      </w:r>
      <w:r>
        <w:rPr>
          <w:rFonts w:ascii="Times New Roman" w:hAnsi="Times New Roman"/>
          <w:kern w:val="0"/>
          <w:sz w:val="24"/>
        </w:rPr>
        <w:t>交银瑞丰</w:t>
      </w:r>
      <w:r>
        <w:rPr>
          <w:rFonts w:ascii="Times New Roman" w:hAnsi="Times New Roman"/>
          <w:kern w:val="0"/>
          <w:sz w:val="24"/>
        </w:rPr>
        <w:t>”</w:t>
      </w:r>
      <w:r>
        <w:rPr>
          <w:rFonts w:ascii="Times New Roman" w:hAnsi="Times New Roman"/>
          <w:kern w:val="0"/>
          <w:sz w:val="24"/>
        </w:rPr>
        <w:t>，基金代码为</w:t>
      </w:r>
      <w:r>
        <w:rPr>
          <w:rFonts w:ascii="Times New Roman" w:hAnsi="Times New Roman"/>
          <w:kern w:val="0"/>
          <w:sz w:val="24"/>
        </w:rPr>
        <w:t>“501087”</w:t>
      </w:r>
      <w:r>
        <w:rPr>
          <w:rFonts w:ascii="Times New Roman" w:hAnsi="Times New Roman"/>
          <w:kern w:val="0"/>
          <w:sz w:val="24"/>
        </w:rPr>
        <w:t>，扩位简称为</w:t>
      </w:r>
      <w:r>
        <w:rPr>
          <w:rFonts w:ascii="Times New Roman" w:hAnsi="Times New Roman"/>
          <w:kern w:val="0"/>
          <w:sz w:val="24"/>
        </w:rPr>
        <w:t>“</w:t>
      </w:r>
      <w:r>
        <w:rPr>
          <w:rFonts w:ascii="Times New Roman" w:hAnsi="Times New Roman"/>
          <w:kern w:val="0"/>
          <w:sz w:val="24"/>
        </w:rPr>
        <w:t>交银瑞丰</w:t>
      </w:r>
      <w:r>
        <w:rPr>
          <w:rFonts w:ascii="Times New Roman" w:hAnsi="Times New Roman"/>
          <w:kern w:val="0"/>
          <w:sz w:val="24"/>
        </w:rPr>
        <w:t>LOF”</w:t>
      </w:r>
      <w:r>
        <w:rPr>
          <w:rFonts w:ascii="Times New Roman" w:hAnsi="Times New Roman"/>
          <w:kern w:val="0"/>
          <w:sz w:val="24"/>
        </w:rPr>
        <w:t>，并适用《基金合同》中关于封闭期届满后运作的有关规定。</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8F053E" w:rsidRDefault="00EA001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8F053E" w:rsidRDefault="008F053E">
      <w:pPr>
        <w:autoSpaceDE w:val="0"/>
        <w:autoSpaceDN w:val="0"/>
        <w:adjustRightInd w:val="0"/>
        <w:snapToGrid w:val="0"/>
        <w:spacing w:before="51" w:line="360" w:lineRule="auto"/>
        <w:ind w:left="120" w:rightChars="6" w:right="13" w:firstLine="480"/>
        <w:rPr>
          <w:rFonts w:ascii="宋体" w:hAnsi="宋体"/>
          <w:kern w:val="0"/>
          <w:szCs w:val="24"/>
        </w:rPr>
        <w:sectPr w:rsidR="008F053E">
          <w:headerReference w:type="default" r:id="rId14"/>
          <w:pgSz w:w="11920" w:h="16840"/>
          <w:pgMar w:top="1440" w:right="1680" w:bottom="280" w:left="1680" w:header="0" w:footer="1073" w:gutter="0"/>
          <w:pgNumType w:start="1"/>
          <w:cols w:space="720"/>
        </w:sectPr>
      </w:pPr>
    </w:p>
    <w:p w:rsidR="002154D3" w:rsidRPr="002154D3" w:rsidRDefault="00EA001A" w:rsidP="002154D3">
      <w:pPr>
        <w:pStyle w:val="ad"/>
        <w:snapToGrid w:val="0"/>
        <w:spacing w:after="240" w:line="360" w:lineRule="auto"/>
        <w:jc w:val="center"/>
        <w:rPr>
          <w:rFonts w:ascii="宋体" w:hAnsi="宋体"/>
          <w:noProof/>
          <w:sz w:val="24"/>
        </w:rPr>
      </w:pPr>
      <w:r w:rsidRPr="002154D3">
        <w:rPr>
          <w:rFonts w:ascii="宋体" w:hAnsi="宋体"/>
          <w:color w:val="000000"/>
          <w:position w:val="-4"/>
          <w:sz w:val="24"/>
          <w:szCs w:val="30"/>
        </w:rPr>
        <w:lastRenderedPageBreak/>
        <w:t>目</w:t>
      </w:r>
      <w:r w:rsidRPr="002154D3">
        <w:rPr>
          <w:rFonts w:ascii="宋体" w:hAnsi="宋体"/>
          <w:color w:val="000000"/>
          <w:position w:val="-4"/>
          <w:sz w:val="24"/>
          <w:szCs w:val="30"/>
        </w:rPr>
        <w:tab/>
        <w:t>录</w:t>
      </w:r>
      <w:r w:rsidR="002154D3" w:rsidRPr="002154D3">
        <w:rPr>
          <w:rFonts w:ascii="宋体" w:hAnsi="宋体"/>
          <w:color w:val="000000"/>
          <w:position w:val="-4"/>
          <w:sz w:val="24"/>
          <w:szCs w:val="30"/>
        </w:rPr>
        <w:fldChar w:fldCharType="begin"/>
      </w:r>
      <w:r w:rsidR="002154D3" w:rsidRPr="002154D3">
        <w:rPr>
          <w:rFonts w:ascii="宋体" w:hAnsi="宋体"/>
          <w:color w:val="000000"/>
          <w:position w:val="-4"/>
          <w:sz w:val="24"/>
          <w:szCs w:val="30"/>
        </w:rPr>
        <w:instrText xml:space="preserve"> TOC \o "1-3" \f - \h \t "-1" </w:instrText>
      </w:r>
      <w:r w:rsidR="002154D3" w:rsidRPr="002154D3">
        <w:rPr>
          <w:rFonts w:ascii="宋体" w:hAnsi="宋体"/>
          <w:color w:val="000000"/>
          <w:position w:val="-4"/>
          <w:sz w:val="24"/>
          <w:szCs w:val="30"/>
        </w:rPr>
        <w:fldChar w:fldCharType="separate"/>
      </w:r>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07" w:history="1">
        <w:r w:rsidRPr="002154D3">
          <w:rPr>
            <w:rStyle w:val="aa"/>
            <w:rFonts w:ascii="宋体" w:hAnsi="宋体" w:hint="eastAsia"/>
            <w:noProof/>
            <w:kern w:val="0"/>
            <w:sz w:val="24"/>
          </w:rPr>
          <w:t>重要提示</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_Toc234327907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08" w:history="1">
        <w:r w:rsidRPr="002154D3">
          <w:rPr>
            <w:rStyle w:val="aa"/>
            <w:rFonts w:ascii="宋体" w:hAnsi="宋体" w:hint="eastAsia"/>
            <w:noProof/>
            <w:sz w:val="24"/>
          </w:rPr>
          <w:t>一、绪言</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_Toc234327908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09" w:history="1">
        <w:r w:rsidRPr="002154D3">
          <w:rPr>
            <w:rStyle w:val="aa"/>
            <w:rFonts w:ascii="宋体" w:hAnsi="宋体" w:hint="eastAsia"/>
            <w:noProof/>
            <w:sz w:val="24"/>
          </w:rPr>
          <w:t>二、释义</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_Toc234327909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6</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0" w:history="1">
        <w:r w:rsidRPr="002154D3">
          <w:rPr>
            <w:rStyle w:val="aa"/>
            <w:rFonts w:ascii="宋体" w:hAnsi="宋体" w:hint="eastAsia"/>
            <w:noProof/>
            <w:sz w:val="24"/>
          </w:rPr>
          <w:t>三、基金管理人</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_Toc234327910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12</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1" w:history="1">
        <w:r w:rsidRPr="002154D3">
          <w:rPr>
            <w:rStyle w:val="aa"/>
            <w:rFonts w:ascii="宋体" w:hAnsi="宋体" w:hint="eastAsia"/>
            <w:noProof/>
            <w:sz w:val="24"/>
          </w:rPr>
          <w:t>四、基金托管人</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_Toc234327911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19</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2" w:history="1">
        <w:r w:rsidRPr="002154D3">
          <w:rPr>
            <w:rStyle w:val="aa"/>
            <w:rFonts w:ascii="宋体" w:hAnsi="宋体" w:hint="eastAsia"/>
            <w:noProof/>
            <w:sz w:val="24"/>
          </w:rPr>
          <w:t>五、相关服务机构</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_Toc234327912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26</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3" w:history="1">
        <w:r w:rsidRPr="002154D3">
          <w:rPr>
            <w:rStyle w:val="aa"/>
            <w:rFonts w:ascii="宋体" w:hAnsi="宋体" w:hint="eastAsia"/>
            <w:noProof/>
            <w:sz w:val="24"/>
          </w:rPr>
          <w:t>六、基金的募集</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_Toc234327913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46</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4" w:history="1">
        <w:r w:rsidRPr="002154D3">
          <w:rPr>
            <w:rStyle w:val="aa"/>
            <w:rFonts w:ascii="宋体" w:hAnsi="宋体" w:hint="eastAsia"/>
            <w:noProof/>
            <w:sz w:val="24"/>
          </w:rPr>
          <w:t>七、基金合同的生效</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_Toc234327914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47</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5" w:history="1">
        <w:r w:rsidRPr="002154D3">
          <w:rPr>
            <w:rStyle w:val="aa"/>
            <w:rFonts w:ascii="宋体" w:hAnsi="宋体" w:hint="eastAsia"/>
            <w:noProof/>
            <w:sz w:val="24"/>
          </w:rPr>
          <w:t>八、基金份额的上市交易</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_Toc234327915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48</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6" w:history="1">
        <w:r w:rsidRPr="002154D3">
          <w:rPr>
            <w:rStyle w:val="aa"/>
            <w:rFonts w:ascii="宋体" w:hAnsi="宋体" w:hint="eastAsia"/>
            <w:noProof/>
            <w:sz w:val="24"/>
          </w:rPr>
          <w:t>九、基金份额的申购与赎回</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_Toc234327916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50</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7" w:history="1">
        <w:r w:rsidRPr="002154D3">
          <w:rPr>
            <w:rStyle w:val="aa"/>
            <w:rFonts w:ascii="宋体" w:hAnsi="宋体" w:hint="eastAsia"/>
            <w:noProof/>
            <w:sz w:val="24"/>
          </w:rPr>
          <w:t>十、基金的转换</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_Toc234327917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64</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8" w:history="1">
        <w:r w:rsidRPr="002154D3">
          <w:rPr>
            <w:rStyle w:val="aa"/>
            <w:rFonts w:ascii="宋体" w:hAnsi="宋体" w:hint="eastAsia"/>
            <w:noProof/>
            <w:sz w:val="24"/>
          </w:rPr>
          <w:t>十一、基金的投资</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_Toc234327918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71</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19" w:history="1">
        <w:r w:rsidRPr="002154D3">
          <w:rPr>
            <w:rStyle w:val="aa"/>
            <w:rFonts w:ascii="宋体" w:hAnsi="宋体" w:hint="eastAsia"/>
            <w:noProof/>
            <w:sz w:val="24"/>
          </w:rPr>
          <w:t>十二、基金的业绩</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_Toc234327919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83</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0" w:history="1">
        <w:r w:rsidRPr="002154D3">
          <w:rPr>
            <w:rStyle w:val="aa"/>
            <w:rFonts w:ascii="宋体" w:hAnsi="宋体" w:hint="eastAsia"/>
            <w:noProof/>
            <w:sz w:val="24"/>
          </w:rPr>
          <w:t>十三、基金的财产</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_Toc234327920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85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1" w:history="1">
        <w:r w:rsidRPr="002154D3">
          <w:rPr>
            <w:rStyle w:val="aa"/>
            <w:rFonts w:ascii="宋体" w:hAnsi="宋体" w:hint="eastAsia"/>
            <w:noProof/>
            <w:sz w:val="24"/>
          </w:rPr>
          <w:t>十四、基金资产的估值</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_Toc234327921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86</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2" w:history="1">
        <w:r w:rsidRPr="002154D3">
          <w:rPr>
            <w:rStyle w:val="aa"/>
            <w:rFonts w:ascii="宋体" w:hAnsi="宋体" w:hint="eastAsia"/>
            <w:noProof/>
            <w:sz w:val="24"/>
          </w:rPr>
          <w:t>十五、基金收益与分配</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_Toc234327922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93</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3" w:history="1">
        <w:r w:rsidRPr="002154D3">
          <w:rPr>
            <w:rStyle w:val="aa"/>
            <w:rFonts w:ascii="宋体" w:hAnsi="宋体" w:hint="eastAsia"/>
            <w:noProof/>
            <w:sz w:val="24"/>
          </w:rPr>
          <w:t>十六、基金的费用与税收</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_Toc234327923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95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4" w:history="1">
        <w:r w:rsidRPr="002154D3">
          <w:rPr>
            <w:rStyle w:val="aa"/>
            <w:rFonts w:ascii="宋体" w:hAnsi="宋体" w:hint="eastAsia"/>
            <w:noProof/>
            <w:sz w:val="24"/>
          </w:rPr>
          <w:t>十七、基金的会计与审计</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_Toc234327924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97</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5" w:history="1">
        <w:r w:rsidRPr="002154D3">
          <w:rPr>
            <w:rStyle w:val="aa"/>
            <w:rFonts w:ascii="宋体" w:hAnsi="宋体" w:hint="eastAsia"/>
            <w:noProof/>
            <w:sz w:val="24"/>
          </w:rPr>
          <w:t>十八、基金的信息披露</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_Toc234327925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98</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6" w:history="1">
        <w:r w:rsidRPr="002154D3">
          <w:rPr>
            <w:rStyle w:val="aa"/>
            <w:rFonts w:ascii="宋体" w:hAnsi="宋体" w:hint="eastAsia"/>
            <w:noProof/>
            <w:sz w:val="24"/>
          </w:rPr>
          <w:t>十九、风险揭示</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_Toc234327926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105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7" w:history="1">
        <w:r w:rsidRPr="002154D3">
          <w:rPr>
            <w:rStyle w:val="aa"/>
            <w:rFonts w:ascii="宋体" w:hAnsi="宋体" w:hint="eastAsia"/>
            <w:noProof/>
            <w:sz w:val="24"/>
          </w:rPr>
          <w:t>二十、基金合同的变更、终止与基金财产的清算</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_Toc234327927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115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8" w:history="1">
        <w:r w:rsidRPr="002154D3">
          <w:rPr>
            <w:rStyle w:val="aa"/>
            <w:rFonts w:ascii="宋体" w:hAnsi="宋体" w:hint="eastAsia"/>
            <w:noProof/>
            <w:sz w:val="24"/>
          </w:rPr>
          <w:t>二十一、基金合同内容摘要</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_Toc234327928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117</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29" w:history="1">
        <w:r w:rsidRPr="002154D3">
          <w:rPr>
            <w:rStyle w:val="aa"/>
            <w:rFonts w:ascii="宋体" w:hAnsi="宋体" w:hint="eastAsia"/>
            <w:noProof/>
            <w:sz w:val="24"/>
          </w:rPr>
          <w:t>二十二、托管协议的内容摘要</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_Toc234327929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133</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30" w:history="1">
        <w:r w:rsidRPr="002154D3">
          <w:rPr>
            <w:rStyle w:val="aa"/>
            <w:rFonts w:ascii="宋体" w:hAnsi="宋体" w:hint="eastAsia"/>
            <w:noProof/>
            <w:sz w:val="24"/>
          </w:rPr>
          <w:t>二十三、对基金份额持有人的服务</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_Toc234327930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151</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31" w:history="1">
        <w:r w:rsidRPr="002154D3">
          <w:rPr>
            <w:rStyle w:val="aa"/>
            <w:rFonts w:ascii="宋体" w:hAnsi="宋体" w:hint="eastAsia"/>
            <w:noProof/>
            <w:sz w:val="24"/>
          </w:rPr>
          <w:t>二十四、其他应披露事项</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_Toc234327931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153</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32" w:history="1">
        <w:r w:rsidRPr="002154D3">
          <w:rPr>
            <w:rStyle w:val="aa"/>
            <w:rFonts w:ascii="宋体" w:hAnsi="宋体" w:hint="eastAsia"/>
            <w:noProof/>
            <w:sz w:val="24"/>
          </w:rPr>
          <w:t>二十五、招募说明书的存放及查阅方式</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_Toc234327932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155</w:t>
        </w:r>
        <w:r w:rsidRPr="002154D3">
          <w:rPr>
            <w:rFonts w:ascii="宋体" w:hAnsi="宋体"/>
            <w:noProof/>
            <w:sz w:val="24"/>
          </w:rPr>
          <w:fldChar w:fldCharType="end"/>
        </w:r>
      </w:hyperlink>
    </w:p>
    <w:p w:rsidR="002154D3" w:rsidRPr="002154D3" w:rsidRDefault="002154D3" w:rsidP="002154D3">
      <w:pPr>
        <w:pStyle w:val="10"/>
        <w:tabs>
          <w:tab w:val="right" w:leader="dot" w:pos="8550"/>
        </w:tabs>
        <w:spacing w:line="360" w:lineRule="auto"/>
        <w:rPr>
          <w:rFonts w:ascii="宋体" w:hAnsi="宋体" w:cstheme="minorBidi"/>
          <w:noProof/>
          <w:sz w:val="24"/>
        </w:rPr>
      </w:pPr>
      <w:hyperlink w:anchor="_Toc234327933" w:history="1">
        <w:r w:rsidRPr="002154D3">
          <w:rPr>
            <w:rStyle w:val="aa"/>
            <w:rFonts w:ascii="宋体" w:hAnsi="宋体" w:hint="eastAsia"/>
            <w:noProof/>
            <w:sz w:val="24"/>
          </w:rPr>
          <w:t>二十六、备查文件</w:t>
        </w:r>
        <w:r w:rsidRPr="002154D3">
          <w:rPr>
            <w:rFonts w:ascii="宋体" w:hAnsi="宋体"/>
            <w:noProof/>
            <w:sz w:val="24"/>
          </w:rPr>
          <w:tab/>
        </w:r>
        <w:r w:rsidRPr="002154D3">
          <w:rPr>
            <w:rFonts w:ascii="宋体" w:hAnsi="宋体"/>
            <w:noProof/>
            <w:sz w:val="24"/>
          </w:rPr>
          <w:fldChar w:fldCharType="begin"/>
        </w:r>
        <w:r w:rsidRPr="002154D3">
          <w:rPr>
            <w:rFonts w:ascii="宋体" w:hAnsi="宋体"/>
            <w:noProof/>
            <w:sz w:val="24"/>
          </w:rPr>
          <w:instrText xml:space="preserve"> PAGEREF _Toc234327933 \h </w:instrText>
        </w:r>
        <w:r w:rsidRPr="002154D3">
          <w:rPr>
            <w:rFonts w:ascii="宋体" w:hAnsi="宋体"/>
            <w:noProof/>
            <w:sz w:val="24"/>
          </w:rPr>
        </w:r>
        <w:r w:rsidRPr="002154D3">
          <w:rPr>
            <w:rFonts w:ascii="宋体" w:hAnsi="宋体"/>
            <w:noProof/>
            <w:sz w:val="24"/>
          </w:rPr>
          <w:fldChar w:fldCharType="separate"/>
        </w:r>
        <w:r w:rsidRPr="002154D3">
          <w:rPr>
            <w:rFonts w:ascii="宋体" w:hAnsi="宋体"/>
            <w:noProof/>
            <w:sz w:val="24"/>
          </w:rPr>
          <w:t>156</w:t>
        </w:r>
        <w:r w:rsidRPr="002154D3">
          <w:rPr>
            <w:rFonts w:ascii="宋体" w:hAnsi="宋体"/>
            <w:noProof/>
            <w:sz w:val="24"/>
          </w:rPr>
          <w:fldChar w:fldCharType="end"/>
        </w:r>
      </w:hyperlink>
    </w:p>
    <w:p w:rsidR="008F053E" w:rsidRPr="002154D3" w:rsidRDefault="002154D3" w:rsidP="002154D3">
      <w:pPr>
        <w:pStyle w:val="ad"/>
        <w:snapToGrid w:val="0"/>
        <w:spacing w:after="240" w:line="360" w:lineRule="auto"/>
        <w:jc w:val="center"/>
        <w:rPr>
          <w:rFonts w:ascii="宋体" w:hAnsi="宋体"/>
          <w:color w:val="000000"/>
          <w:sz w:val="24"/>
        </w:rPr>
      </w:pPr>
      <w:r w:rsidRPr="002154D3">
        <w:rPr>
          <w:rFonts w:ascii="宋体" w:hAnsi="宋体"/>
          <w:color w:val="000000"/>
          <w:position w:val="-4"/>
          <w:sz w:val="24"/>
          <w:szCs w:val="30"/>
        </w:rPr>
        <w:fldChar w:fldCharType="end"/>
      </w:r>
      <w:bookmarkStart w:id="3" w:name="_GoBack"/>
      <w:bookmarkEnd w:id="3"/>
    </w:p>
    <w:p w:rsidR="008F053E" w:rsidRDefault="008F053E">
      <w:pPr>
        <w:autoSpaceDE w:val="0"/>
        <w:autoSpaceDN w:val="0"/>
        <w:adjustRightInd w:val="0"/>
        <w:snapToGrid w:val="0"/>
        <w:spacing w:line="360" w:lineRule="auto"/>
        <w:ind w:left="120" w:rightChars="6" w:right="13"/>
        <w:rPr>
          <w:rFonts w:ascii="宋体" w:hAnsi="宋体"/>
          <w:kern w:val="0"/>
          <w:szCs w:val="24"/>
        </w:rPr>
        <w:sectPr w:rsidR="008F053E">
          <w:pgSz w:w="11920" w:h="16840"/>
          <w:pgMar w:top="1480" w:right="1680" w:bottom="280" w:left="1680" w:header="0" w:footer="1073" w:gutter="0"/>
          <w:cols w:space="720"/>
        </w:sectPr>
      </w:pPr>
    </w:p>
    <w:p w:rsidR="008F053E" w:rsidRDefault="00EA001A">
      <w:pPr>
        <w:pStyle w:val="1"/>
        <w:snapToGrid w:val="0"/>
        <w:spacing w:beforeLines="0" w:before="240" w:after="240"/>
        <w:rPr>
          <w:rFonts w:ascii="宋体" w:hAnsi="宋体"/>
          <w:szCs w:val="30"/>
        </w:rPr>
      </w:pPr>
      <w:bookmarkStart w:id="4" w:name="_Toc234327908"/>
      <w:r>
        <w:rPr>
          <w:rFonts w:ascii="Times New Roman" w:hAnsi="Times New Roman"/>
          <w:sz w:val="30"/>
        </w:rPr>
        <w:lastRenderedPageBreak/>
        <w:t>一、绪言</w:t>
      </w:r>
      <w:bookmarkEnd w:id="4"/>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丰混合型证券投资基金（L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丰混合型证券投资基金（LOF）基金合同》（以下简称“基金合同”）编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5" w:name="_Toc234327909"/>
      <w:r>
        <w:rPr>
          <w:rFonts w:ascii="Times New Roman" w:hAnsi="Times New Roman"/>
          <w:sz w:val="30"/>
        </w:rPr>
        <w:lastRenderedPageBreak/>
        <w:t>二、释义</w:t>
      </w:r>
      <w:bookmarkEnd w:id="5"/>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瑞丰三年封闭运作混合型证券投资基金或交银施罗德瑞丰混合型证券投资基金（LOF），交银施罗德瑞丰混合型证券投资基金（LOF）由交银施罗德瑞丰三年封闭运作混合型证券投资基金封闭期届满后更名而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瑞丰三年封闭运作混合型证券投资基金基金合同》及对基金合同的任何有效修订和补充；基金更名后，基金合同相应修订为《交银施罗德瑞丰混合型证券投资基金（LOF）基金合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瑞丰三年封闭运作混合型证券投资基金托管协议》及对该托管协议的任何有效修订和补充；基金更名后，托管协议相应修订为《交银施罗德瑞丰混合型证券投资基金（LOF）托管协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瑞丰三年封闭运作混合型证券投资基金招募说明书》及其更新；基金更名后，招募说明书相应修订为《交银施罗德瑞丰混合型证券投资基金（LOF）招募说明书》及其更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7、基金份额发售公告：指《交银施罗德瑞丰三年封闭运作混合型证券投资基金基金份额发售公告》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8、上市交易公告书：指《交银施罗德瑞丰三年封闭运作混合型证券投资基金上市交易公告书》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产品资料概要：指《交银施罗德瑞丰三年封闭运作混合型证券投资基金基金产品资料概要》及其更新；基金更名后，基金产品资料概要相应修订为《交银施罗德瑞丰混合型证券投资基金（LOF）基金产品资料概要》及其更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10、法律法规：指中国现行有效并公布实施的法律、行政法规、规范性文件、司法解释、行政规章以及其他对基金合同当事人有约束力的决定、决议、通知等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11、《基金法》：指《中华人民共和国证券投资基金法》及颁布机关对其不时做出的修订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12、《销售办法》：指《证券投资基金销售管理办法》及颁布机关对其不时做出的修订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13、《信息披露办法》：指《公开募集证券投资基金信息披露管理办法》及颁布机关对其不时做出的修订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14、《运作办法》：指《公开募集证券投资基金运作管理办法》及颁布机关对其不时做出的修订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15、《流动性风险管理规定》：指《公开募集开放式证券投资基金流动性风险管理规定》及颁布机关对其不时做出的修订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证监会规定的其他条件，取得基金销售业务资格并与基金管理人签订了基金销售服务协议，办理基金销售业务的机构以及可通过上海证券交易所交易系统办理基金销售业务的会员单位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27、会员单位：指上海证券交易所会员单位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外：指不通过上海证券交易所交易系统，而通过直销机构和其它场外销售机构的柜台系统或其他交易系统办理基金份额认购、申购和赎回等业务的场所。通过该等场所办理基金份额的认购、申购和赎回也称为场外认购、场外申购和场外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30、注册登记系统：指中国证券登记结算有限责任公司开放式基金登记结算系统，通过场外认购、申购的基金份额登记在注册登记系统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31、证券登记结算系统：指中国证券登记结算有限责任公司上海分公司证券登记结算系统，通过场内认购、申购的基金份额和买入的基金份额登记在证券登记结算系统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32、场外份额：指登记在注册登记系统下的基金份额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33、场内份额：指登记在证券登记结算系统下的基金份额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35、登记机构：指办理登记业务的机构。本基金的登记机构为中国证券登记结算有限责任公司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上海证券账户：指在中国证券登记结算有限责任公司上海分公司开设的上海证券交易所人民币普通股票账户或证券投资基金账户。基金投资者通过上海证券交易所交易系统办理基金交易、场内认购、场内申购和场内赎回等业务时需持有上</w:t>
      </w:r>
      <w:r>
        <w:rPr>
          <w:rFonts w:ascii="宋体" w:hAnsi="宋体"/>
          <w:sz w:val="24"/>
        </w:rPr>
        <w:lastRenderedPageBreak/>
        <w:t>海证券账户，记录在该账户下的基金份额登记在登记机构的证券登记结算系统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38、基金交易账户：指销售机构为投资人开立的、记录投资人通过该销售机构办理认购、申购、赎回、转换及转托管等业务而引起的基金份额变动及结余情况的账户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39、基金合同生效日：指基金募集达到法律法规规定及基金合同规定的条件，基金管理人向中国证监会办理基金备案手续完毕，并获得中国证监会书面确认的日期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40、基金合同终止日：指基金合同规定的基金合同终止事由出现后，基金财产清算完毕，清算结果报中国证监会备案并予以公告的日期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41、基金募集期：指自基金份额发售之日起至发售结束之日止的期间，最长不得超过3个月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42、存续期：指基金合同生效至终止之间的不定期期限</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43、工作日：指上海证券交易所、深圳证券交易所的正常交易日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44、T日：指销售机构在规定时间受理投资人申购、赎回或其他业务申请的开放日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45、T+n日：指自T日起第n个工作日（不包含T日）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46、开放日：指为投资人办理基金份额申购、赎回或其他业务的工作日（若该工作日为非港股通交易日，则本基金可不开放）</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封闭期：本基金封闭期为三年（含三年），自基金合同生效之日起至三年后对应日前一个工作日止，若该日历年度中不存在对应日期的，则该对应日为该特定日期在后续日历年度中对应月度的最后一日。如该对应日为非工作日的，则顺延至下一个工作日。在封闭期内，本基金不办理申购、赎回业务，但投资人可在本基金上市交易后通过上海证券交易所转让基金份额。封闭期届满后，本基金转为上市开放式基金（LOF），基金名称相应变更为“交银施罗德瑞丰混合型证券投资基金（LOF）” ，可办理场外、场内申购赎回，并继续在上海证券交易所上市交易</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48、开放时间：指开放日基金接受申购、赎回或其他交易的时间段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49、《业务规则》：指本基金管理人、上海证券交易所、中国证券登记结算有限责任公司及其他销售机构的相关业务规则及其不时做出的修订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50、认购：指在基金募集期内，投资人根据基金合同和招募说明书的规定申请购买基金份额的行为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51、申购：指本基金转为上市开放式基金（LOF）后，投资人根据基金合同和招募说明书的规定申请购买基金份额的行为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52、赎回：指本基金转为上市开放式基金（LOF）后，基金份额持有人按基金合同和招募说明书规定的条件要求将基金份额兑换为现金的行为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53、基金转换：指基金份额持有人按照基金合同和基金管理人届时有效公告规定的条件，申请将其持有基金管理人管理的、某一基金的基金份额转换为基金管理人管理的其他基金基金份额的行为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55、系统内转托管：指基金份额持有人将持有的基金份额在注册登记系统内不同销售机构之间或证券登记结算系统内不同会员单位之间进行转登记的行为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56、跨系统转托管：指基金份额持有人将持有的基金份额在注册登记系统和证券登记结算系统间进行转登记的行为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59、元：指人民币元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61、基金资产总值：指基金拥有的各类有价证券、股指期货合约、银行存款本息、基金应收申购款及其他资产的价值总和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62、基金资产净值：指基金资产总值减去基金负债后的价值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63、基金份额净值：指计算日基金资产净值除以计算日基金份额总数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64、基金资产估值：指计算评估基金资产和负债的价值，以确定基金资产净值和基金份额净值的过程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65、港股通：指内地投资者委托内地证券公司，经由内地证券交易所设立的证券交易服务公司，向香港联合交易所进行申报，买卖规定范围内的香港联合交易所</w:t>
      </w:r>
      <w:r>
        <w:rPr>
          <w:rFonts w:ascii="宋体" w:hAnsi="宋体"/>
          <w:sz w:val="24"/>
        </w:rPr>
        <w:lastRenderedPageBreak/>
        <w:t>上市的股票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66、指定媒介：指中国证监会指定的用以进行信息披露的全国性报刊及指定互联网网站（包括基金管理人网站、基金托管人网站、中国证监会基金电子披露网站）等媒介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69、不可抗力：指基金合同当事人不能预见、不能避免且不能克服的客观事件</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6" w:name="_Toc234327910"/>
      <w:r>
        <w:rPr>
          <w:rFonts w:ascii="Times New Roman" w:hAnsi="Times New Roman"/>
          <w:sz w:val="30"/>
        </w:rPr>
        <w:lastRenderedPageBreak/>
        <w:t>三、基金管理人</w:t>
      </w:r>
      <w:bookmarkEnd w:id="6"/>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先生:基金经理。北京大学金融学博士，18年证券投资行业从业经验。2008年加入交银施罗德基金管理有限公司，曾任行业分析师、高级研究员，现任权益投资副总监、基金经理。曾任交银施罗德精选混合型证券投资基金(2017年06月03日至2024年08月03日)的基金经理。现任交银施罗德新成长混合型证券投资基金(2014年10月22日至今)、交银施罗德瑞丰混合型证券投资基金（LOF）(2019年09月04日至今)的基金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11、以基金管理人名义，代表基金份额持有人利益行使诉讼权利或者实施其他法律行为；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（1）健全性原则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w:t>
      </w:r>
      <w:r>
        <w:rPr>
          <w:rFonts w:ascii="宋体" w:hAnsi="宋体"/>
          <w:sz w:val="24"/>
        </w:rPr>
        <w:lastRenderedPageBreak/>
        <w:t>会报告的其他情形等。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建立、健全了岗位责任制，使每个员工都明确自己的任务、职责，并及时将各自工作领域中的风险隐患上报，以防范和减少风险。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7" w:name="_Toc234327911"/>
      <w:r>
        <w:rPr>
          <w:rFonts w:ascii="Times New Roman" w:hAnsi="Times New Roman"/>
          <w:sz w:val="30"/>
        </w:rPr>
        <w:lastRenderedPageBreak/>
        <w:t>四、基金托管人</w:t>
      </w:r>
      <w:bookmarkEnd w:id="7"/>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行长：王小青（拟任）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w:t>
      </w:r>
      <w:r>
        <w:rPr>
          <w:rFonts w:ascii="宋体" w:hAnsi="宋体"/>
          <w:sz w:val="24"/>
        </w:rPr>
        <w:lastRenderedPageBreak/>
        <w:t>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截至2026年3月31日，招商银行股份有限公司累计托管1813只证券投资基金。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w:t>
      </w:r>
      <w:r>
        <w:rPr>
          <w:rFonts w:ascii="宋体" w:hAnsi="宋体"/>
          <w:sz w:val="24"/>
        </w:rPr>
        <w:lastRenderedPageBreak/>
        <w:t>不同托管资产之间、托管资产和自有资产之间相互分离。内部控制的检查、评价部门独立于内部控制的建立和执行部门。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w:t>
      </w:r>
      <w:r>
        <w:rPr>
          <w:rFonts w:ascii="宋体" w:hAnsi="宋体"/>
          <w:sz w:val="24"/>
        </w:rPr>
        <w:lastRenderedPageBreak/>
        <w:t>业务网和办公网、托管业务网与全行业务网双分离制度，与外部业务机构实行防火墙保护，对信息技术系统采取两地三中心的应急备份管理措施等，保证信息技术系统的安全。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8" w:name="_Toc234327912"/>
      <w:r>
        <w:rPr>
          <w:rFonts w:ascii="Times New Roman" w:hAnsi="Times New Roman"/>
          <w:sz w:val="30"/>
        </w:rPr>
        <w:lastRenderedPageBreak/>
        <w:t>五、相关服务机构</w:t>
      </w:r>
      <w:bookmarkEnd w:id="8"/>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个人投资者可以通过本公司网上直销交易平台办理开户、本基金的申购、赎回、定期定额投资及转换等业务，具体交易细则请参阅本公司网站。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联系人：范瑞波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（5）名称：华西证券股份有限公司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住所：四川省成都市高新区天府二街198号华西证券大厦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（6）名称：山西证券股份有限公司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（7）名称：国投证券股份有限公司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（8）名称：中信建投证券股份有限公司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（9）名称：浙商证券股份有限公司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（10）名称：中原证券股份有限公司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办公地址：深圳市福田区益田路6003号荣超商务中心A栋第04、18层至21层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（13）名称：南京证券股份有限公司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（14）名称：国金证券股份有限公司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（15）名称：申万宏源证券有限公司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客户服务电话：95523或4008895523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（16）名称：申万宏源西部证券有限公司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（17）名称：华泰证券股份有限公司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（18）名称：湘财证券股份有限公司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（19）名称：国泰海通证券股份有限公司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（20）名称：东莞证券股份有限公司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（21）名称：深圳市新兰德证券投资咨询有限公司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（22）名称：济安财富（北京）基金销售有限公司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（23）名称：博时财富基金销售有限公司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（24）名称：大连网金基金销售有限公司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（25）名称：腾安基金销售（深圳）有限公司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网址：http://www.tenganxinxi.com/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（26）名称：珠海盈米基金销售有限公司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（27）名称：上海华夏财富投资管理有限公司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（28）名称：北京度小满基金销售有限公司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（29）名称：南京苏宁基金销售有限公司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办公地址：南京市玄武区苏宁大道1-5号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（30）名称：嘉实财富管理有限公司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（31）名称：北京汇成基金销售有限公司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（32）名称：上海利得基金销售有限公司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传真：021-50583633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（33）名称：北京虹点基金销售有限公司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（34）名称：上海挖财基金销售有限公司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（35）名称：万家财富基金销售（天津）有限公司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客户服务电话：010-59013895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（36）名称：上海万得基金销售有限公司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（37）名称：格上富信投资顾问有限公司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（38）名称：深圳市金斧子基金销售有限公司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（39）名称：北京雪球基金销售有限公司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住所：北京市朝阳区创远路 34 号院6号楼15层1501室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（40）名称：北京新浪仓石基金销售有限公司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（41）名称：奕丰基金销售有限公司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（42）名称：上海天天基金销售有限公司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（43）名称：和讯信息科技有限公司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（44）名称：诺亚正行基金销售有限公司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（45）名称：上海好买基金销售有限公司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联系人：薛年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（46）名称：上海长量基金销售有限公司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（47）名称：深圳众禄基金销售股份有限公司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（48）名称：浙江同花顺基金销售有限公司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（49）名称：宜信普泽（北京）基金销售有限公司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（50）名称：上海联泰基金销售有限公司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（51）名称：中国人寿保险股份有限公司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（52）名称：北京展恒基金销售股份有限公司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（53）名称：泛华普益基金销售有限公司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（54）名称：和耕传承基金销售有限公司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（55）名称：上海中欧财富基金销售有限公司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公司网址：https://www.zocaifu.com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（56）名称：上海基煜基金销售有限公司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（57）名称：深圳前海微众银行股份有限公司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（58）名称：蚂蚁（杭州）基金销售有限公司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（59）名称：京东肯特瑞基金销售有限公司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（60）名称：上海陆金所基金销售有限公司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本基金通过招商银行股份有限公司公开发售的时间为自2019年9月2日起至2019年9月20日止（详见销售机构相关公告）。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联系人：赵亦清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9" w:name="_Toc234327913"/>
      <w:r>
        <w:rPr>
          <w:rFonts w:ascii="Times New Roman" w:hAnsi="Times New Roman"/>
          <w:sz w:val="30"/>
        </w:rPr>
        <w:lastRenderedPageBreak/>
        <w:t>六、基金的募集</w:t>
      </w:r>
      <w:bookmarkEnd w:id="9"/>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本基金由基金管理人依照《基金法》、《运作办法》、《销售办法》、基金合同及其他有关规定，并经中国证监会2019年7月2日证监许可【2019】1194号文准予募集注册。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证券投资基金。基金合同生效后，前三年封闭运作，在封闭期内，本基金不办理申购、赎回业务，但投资人可在本基金上市交易后通过上海证券交易所转让基金份额。封闭期届满后，本基金转为上市开放式基金（LOF），基金名称相应变更为“交银施罗德瑞丰混合型证券投资基金（LOF）”，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基金的存续期间为不定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本基金自2019年8月26日 至2019年8月30日进行发售，本基金设立募集期共募集2,964,855,301.50份基金份额，有效认购户数为34,245户。</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0" w:name="_Toc234327914"/>
      <w:r>
        <w:rPr>
          <w:rFonts w:ascii="Times New Roman" w:hAnsi="Times New Roman"/>
          <w:sz w:val="30"/>
        </w:rPr>
        <w:lastRenderedPageBreak/>
        <w:t>七、基金合同的生效</w:t>
      </w:r>
      <w:bookmarkEnd w:id="10"/>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根据有关规定，本基金满足基金合同生效条件，基金合同已于2019年9月4日正式生效。自基金合同生效之日起，本基金管理人正式开始管理本基金。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1" w:name="_Toc234327915"/>
      <w:r>
        <w:rPr>
          <w:rFonts w:ascii="Times New Roman" w:hAnsi="Times New Roman"/>
          <w:sz w:val="30"/>
        </w:rPr>
        <w:lastRenderedPageBreak/>
        <w:t>八、基金份额的上市交易</w:t>
      </w:r>
      <w:bookmarkEnd w:id="11"/>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根据有关规定，基金合同生效后，具备上市条件，于2020年3月9日起在上海证券交易所上市交易。（场内简称：交银瑞丰，扩位简称：交银瑞丰LOF，代码：501087）。</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登记在证券登记结算系统中的基金份额仍将在上海证券交易所上市交易。基金在上海证券交易所上市交易的相关事项并不因基金转换运作方式而发生调整。本基金在转型前后可根据实际情况申请停牌暂停上市交易，停复牌时间以基金管理人公告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本基金的上市交易的地点为上海证券交易所。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基金合同生效后，具备下列条件的，基金管理人可依据《上海证券交易所证券投资基金上市规则》及相关法律法规，向上海证券交易所申请上市交易：</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1、本基金募集金额不少于2亿元人民币；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2、本基金基金份额持有人不少于1000人；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3、上海证券交易所规定的其他条件。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基金上市前，基金管理人应与上海证券交易所签订上市协议书。在确定上市交易的时间后，基金管理人应依照《信息披露办法》的有关规定在指定媒介上刊登上市交易公告书。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本基金在上海证券交易所的上市交易需遵循《上海证券交易所证券投资基金上市规则》、《上海证券交易所交易规则》等有关规定，包括但不限于：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1、本基金上市首日的开盘参考价为基金管理人最近公布并向上海证券交易所提供的基金份额净值；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2、本基金实行价格涨跌幅限制，涨跌幅比例限制为10%，自上市首日起实行；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3、本基金买入申报数量为100份或其整数倍；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4、本基金申报价格最小变动单位为0.001元人民币；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5、《上海证券交易所交易规则》、《上海证券交易所证券投资基金上市规则》等其他相关规定。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四、上市交易的费用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本基金上市交易的费用按照上海证券交易所有关规定办理。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五、上市交易的行情揭示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本基金在上海证券交易所挂牌交易，交易行情通过行情发布系统揭示。行情发布系统同时揭示基金管理人最近公布并向上海证券交易所提供的基金份额净值。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六、上市交易的注册登记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投资人T日买入成功后，登记机构在T日自动为投资人登记权益并办理登记手续，投资人自T＋1日（含该日）后有权卖出该部分基金份额；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投资人T日卖出成功后，登记机构在T日自动为投资人办理扣除权益的登记手续。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七、上市交易的停复牌和终止上市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本基金的停复牌和终止上市按照相关法律法规和上海证券交易所的相关规定执行。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发生《上海证券交易所证券投资基金上市规则》规定的因不再具备上市条件而应当终止上市的情形时，本基金将变更为非上市的基金并相应修订基金合同，无需召开基金份额持有人大会。基金终止上市后，对于本基金场内份额的处理规则由基金管理人提前制定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八、相关法律法规、中国证监会及上海证券交易所对基金上市交易的规则等相关规定内容进行调整的，按调整后的规定执行，无须召开基金份额持有人大会。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九、若上海证券交易所、中国证券登记结算有限责任公司增加了基金场内交易的新业务，基金管理人可以在履行适当的程序后为本基金增加办理相应的新业务。</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2" w:name="_Toc234327916"/>
      <w:r>
        <w:rPr>
          <w:rFonts w:ascii="Times New Roman" w:hAnsi="Times New Roman"/>
          <w:sz w:val="30"/>
        </w:rPr>
        <w:lastRenderedPageBreak/>
        <w:t>九、基金份额的申购与赎回</w:t>
      </w:r>
      <w:bookmarkEnd w:id="12"/>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办公地址：中国（上海）自由贸易试验区世纪大道8号国金中心二期21-22楼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2、具有基金销售业务资格、经上海证券交易所和中国证券登记结算有限责任公司认可的、通过上海证券交易所交易系统办理基金销售业务的上海证券交易所会员单位，具体名单详见上海证券交易所网站。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3、不通过上海证券交易所交易系统办理相关业务的场外销售机构（除本基金管理人）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投资人应通过上述销售机构办理基金申购、赎回业务的营业场所或按上述销售机构提供的其他方式进行申购或赎回。本基金管理人可根据情况变更或增减基金场外销售机构，并在管理人网站公示。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基金合同生效后三年之内（含三年）为封闭期，在此期间投资者不能申购、赎回基金份额，但可在本基金上市交易后通过上海证券交易所转让基金份额。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投资人方可进行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本基金已于2022年9月5日起开放申购、赎回业务。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4、投资者办理基金份额场外申购、赎回应使用开放式基金账户，办理基金份额场内申购、赎回应使用上海证券账户；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在场外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上海证券交易所交易系统办理场内申购、赎回业务时，需遵守上海证券交易所和中国证券登记结算有限责任公司的相关业务规则。若相关法律法规、中国证监会、上海证券交易所或中国证券登记结算有限责任公司对场内申购、</w:t>
      </w:r>
      <w:r>
        <w:rPr>
          <w:rFonts w:ascii="宋体" w:hAnsi="宋体"/>
          <w:sz w:val="24"/>
        </w:rPr>
        <w:lastRenderedPageBreak/>
        <w:t>赎回业务规则有新的规定，按新规定执行；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7、办理申购、赎回业务时，应当遵循基金份额持有人利益优先原则，确保投资者的合法权益不受损害并得到公平对待。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对于场内申购及持有场内份额的数量限制，上海证券交易所和中国证券登记结算有限责任公司的相关业务规则有规定的，从其最新规定办理。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对于场内赎回的数量限制，上海证券交易所和中国证券登记结算有限责任公司的相关业务规则有规定的，从其最新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场内赎回发生上述情形时，需遵守上海证券交易所及中国证券登记结算有限责任公司的相关业务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w:t>
      </w:r>
      <w:r>
        <w:rPr>
          <w:rFonts w:ascii="宋体" w:hAnsi="宋体"/>
          <w:sz w:val="24"/>
        </w:rPr>
        <w:lastRenderedPageBreak/>
        <w:t>体请参见相关公告。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如遇证券交易所或交易市场数据传输延迟、通讯系统故障、银行交换系统故障、港股通交易系统或港股通资金交收规则限制或其他非基金管理人及基金托管人所能控制的因素影响了业务流程，则赎回款项划付时间相应顺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销售机构对申购、赎回申请的受理并不代表该申请一定成功，而仅代表销售机构确实接收到申购、赎回申请。申购、赎回申请的确认以登记机构的确认结果为准。对于申请的确认情况，投资者应及时查询。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本基金基金份额的申购费用由基金份额申购人承担，不列入基金财产，主要用于本基金的市场推广、销售、登记结算等各项费用。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F053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本基金的场内申购费率由场内销售机构参照上表场外申购费率设定。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本基金对通过基金管理人直销柜台申购基金份额的养老金客户实施特定申购费率。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4）企业年金理事会委托的特定客户资产管理计划；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8F053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基金份额特定申购费率</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本基金管理人可根据业务情况调整上述交易费用和限额要求，并依据相关法规的要求提前进行公告。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赎回基金份额的基金份额持有人承担，在基金份额持有人赎回基金份额时收取。对于持续持有期间少于7日的投资者收取的赎回费全额计入基金财产，对于持续持有期间大于等于7日的投资人收取的赎回费总额的25%应归基金财产，其余用于支付登记费和其他必要的手续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F053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少于</w:t>
            </w:r>
            <w:r>
              <w:rPr>
                <w:rFonts w:ascii="Times New Roman" w:hAnsi="Times New Roman"/>
                <w:color w:val="000000"/>
                <w:kern w:val="0"/>
                <w:sz w:val="25"/>
                <w:szCs w:val="24"/>
              </w:rPr>
              <w:t>7</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8F053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F053E" w:rsidRDefault="008F053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本基金基金份额的场内赎回费率参照场外赎回费率执行。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4、当本基金发生大额申购或赎回情形时，基金管理人可以采用摆动定价机制，以确保基金估值的公平性。具体处理原则与操作规范遵循相关法律法规以及监管部门、自律规则的规定。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（1）申购的有效份额为净申购金额除以当日基金份额净值，有效份额单位为份，场外申购涉及金额、份额的计算结果保留到小数点后两位，小数点后两位以后的部分四舍五入， 由此产生的收益或损失由基金财产承担。场内申购份额先按四舍五入的原则保留到小数点后两位，再按截位法保留到整数位，小数部分对应的金额退还投资者。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（2）赎回金额为按实际确认的有效赎回份额乘以当日基金份额净值并扣除相应的费用，赎回金额单位为元。赎回金额计算结果按四舍五入方法，保留到小数点后2位，由此产生的收益或损失由基金财产承担。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当申购费用适用比例费率时，申购份额的计算方法如下：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申购费=有效申购金额×申购费率/（1+申购费率）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申购份额＝（有效申购金额－申购费）/T日的基金份额净值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当申购费用为固定金额时，申购份额的计算方法如下：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申购费＝固定金额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申购份额=（有效申购金额－申购费）/ T日的基金份额净值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例：本基金转为上市开放式基金（LOF）后，某投资人（非养老金客户）投资4万元场内申购本基金，对应费率为1.5%，假设申购当日基金份额净值为1.0400元，则其可得到的申购份额为：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申购费＝40,000.00×1.5%/（1+1.5%）＝ 591.13元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申购份额=（400,000.00-591.13）/1.0400=37,893.14份（先按四舍五入的原则保留到小数点后两位）=37,893份（再按截位法保留到整数位）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退回资金=0.14*1.0400=0.15元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即：本基金转为上市开放式基金（LOF）后，某投资人（非养老金客户）投资4万元场内申购本基金，对应费率为1.5%，假设申购当日基金份额净值为1.0400元，则其可得到37,893份基金份额。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例：本基金转为上市开放式基金（LOF）后，某投资人（非养老金客户）投资4万元场外申购基金份额，对应费率为1.5%，假设申购当日基金份额的份额净值为1.0400元，则其可得到的申购份额为：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申购费＝40,000.00×1.5%/（1+1.5%）＝ 591.13元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申购份额=（40,000.00-591.13）/1.0400=37,893.14份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即：本基金转为上市开放式基金（LOF）后，某投资人（非养老金客户）投资4万元场外申购基金份额，对应费率为1.5%，假设申购当日基金份额的份额净值为1.0400元，则其可得到37,893.14份基金份额。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例：本基金转为上市开放式基金（LOF）后，某投资者赎回10,000份基金份额，持有30日，对应的赎回费率为0.5%，假设赎回当日基金份额净值是1.0160元，则其可得到的赎回金额为：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即：本基金转为上市开放式基金（LOF）后，某投资者赎回10,000份基金份额，持有30日，对应的赎回费率为0.5%，假设赎回当日基金份额净值是1.0160元，则其可得到的赎回金额为10,109.20元。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上市交易或基金份额申购或者赎回前，基金管理人应当至少每周公告一次基金资产净值和基金份额净值。在开始办理基金上市交易或基金份额申购或者赎回后，T日的基金份额净值在当天收市后计算，并在T+1日（包括该日）内公告。遇特殊情况，经履行适当程序，可以适当延迟计算或公告。本基金基金份额净值的计算，保留到小数点后4位，小数点后第5位四舍五入，由此产生的收益或损</w:t>
      </w:r>
      <w:r>
        <w:rPr>
          <w:rFonts w:ascii="宋体" w:hAnsi="宋体"/>
          <w:sz w:val="24"/>
        </w:rPr>
        <w:lastRenderedPageBreak/>
        <w:t>失由基金财产承担。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本基金转为上市开放式基金（LOF）后，发生下列情况时，基金管理人可拒绝或暂停接受投资人的申购申请：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3、证券/期货交易所交易时间非正常停市或者港股通临时停市，导致基金管理人无法计算当日基金资产净值。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9、港股通交易每日额度不足。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10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本基金转为上市开放式基金（LOF）后，发生下列情形时，基金管理人可暂停接受投资人的赎回申请或延缓支付赎回款项：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1、因不可抗力导致基金管理人不能支付赎回款项。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3、证券/期货交易所交易时间非正常停市或者港股通临时停市，导致基金管理人无法计算当日基金资产净值。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出现暂停赎回或延缓支付赎回款项时，场内赎回申请按照上海证券交易所及中国证券登记结算有限责任公司的有关业务规则办理。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w:t>
      </w:r>
      <w:r>
        <w:rPr>
          <w:rFonts w:ascii="宋体" w:hAnsi="宋体"/>
          <w:sz w:val="24"/>
        </w:rPr>
        <w:lastRenderedPageBreak/>
        <w:t>额赎回或部分延期赎回。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3、巨额赎回的场内处理方式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（十三）基金份额的登记和转托管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1、基金份额的登记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基金份额，登记在注册登记系统中基金份额持有人的开放式基金账户下；场内认购、申购的基金份额，以及上市交易的基金份额，登记在证券登记结算系统基金份额持有人上海证券账户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基金份额，可以在上海证券交易所上市交易，也可以在本基金转为上市开放式基金（LOF）后，直接申请场内赎回，或经跨系统转托管至注册登记系统，在本基金转为上市开放式基金（LOF）后，申请场外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基金份额，既可以在本基金转为上市开放式基金（LOF）后，直接申请场外赎回，也可经跨系统转托管至证券登记结算系统后，在上海证券交易所上市交易，或在本基金转为上市开放式基金（LOF）后，申请场内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（1）系统内转托管是指基金份额持有人将持有的基金份额在注册登记系统内不同销售机构之间，或在证券登记结算系统内不同会员单位之间进行转登记的行为。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（3）基金份额登记在证券登记结算系统的基金份额持有人在变更办理基金份额场内赎回的会员单位时，需办理已持有基金份额的系统内转托管。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（2）本基金跨系统转托管的具体业务按照中国证券登记结算有限责任公司及上海证券交易所的相关规定办理。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w:t>
      </w:r>
      <w:r>
        <w:rPr>
          <w:rFonts w:ascii="宋体" w:hAnsi="宋体"/>
          <w:sz w:val="24"/>
        </w:rPr>
        <w:lastRenderedPageBreak/>
        <w:t>计划并不构成对基金日常申购、赎回等业务的影响，投资人在办理相关基金定期定额投资计划的同时，仍然可以进行日常申购、赎回业务。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本基金2022年9月1日刊登公告自2022年9月5日起开通定期定额投资计划业务，具体开通销售机构名单和业务规则参见相关公告。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3" w:name="_Toc234327917"/>
      <w:r>
        <w:rPr>
          <w:rFonts w:ascii="Times New Roman" w:hAnsi="Times New Roman"/>
          <w:sz w:val="30"/>
        </w:rPr>
        <w:lastRenderedPageBreak/>
        <w:t>十、基金的转换</w:t>
      </w:r>
      <w:bookmarkEnd w:id="13"/>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本基金2022年9月1日刊登公告自2022年9月5日起开放日常转换业务。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4" w:name="_Toc234327918"/>
      <w:r>
        <w:rPr>
          <w:rFonts w:ascii="Times New Roman" w:hAnsi="Times New Roman"/>
          <w:sz w:val="30"/>
        </w:rPr>
        <w:lastRenderedPageBreak/>
        <w:t>十一、基金的投资</w:t>
      </w:r>
      <w:bookmarkEnd w:id="14"/>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本基金在严格控制风险的前提下，坚持价值投资的基本理念，充分发挥专业研究与管理能力，力争为投资者提供长期稳健的投资回报。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转为上市开放式基金（LOF）后，股票投资（含存托凭证）占基金资产的比例为50%-95%（其中投资于港股通标的股票的比例占股票资产的0%-50%）；封闭期内，股票投资（含存托凭证）占基金资产的比例为50%-100%（其中投资于港股通标的股票的比例占股票资产的0%-50%）；但本基金转为上市开放式基金（LOF）的前后各三个月内，基金投资不受前述下限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w:t>
      </w:r>
      <w:r>
        <w:rPr>
          <w:rFonts w:ascii="宋体" w:hAnsi="宋体"/>
          <w:sz w:val="24"/>
        </w:rPr>
        <w:lastRenderedPageBreak/>
        <w:t>投资于港股或选择不将基金资产投资于港股，基金资产并非必然投资港股。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4、股指期货投资策略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基于本基金的运作方式，基金管理人在临近封闭期届满时将重点关注基金资产的流动性和变现能力，分散投资，做好流动性管理以应对本基金转为上市开放式基金（LOF）后的投资者的赎回需求。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1、组合限制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转为上市开放式基金（LOF）后，股票投资（含存托凭证）占基金资产的比例为50%-95%（其中投资于港股通标的股票的比例占股票资产的0%-50%）；封闭期内，股票投资（含存托凭证）占基金资产的比例为50%-100%（其中投资于港股通标的股票的比例占股票资产的0%-50%）；但本基金转为上市开放式基金（LOF）的前后各三个月内，基金投资不受前述下限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上市开放式基金（LOF）后，每个交易日日终，在扣除股指期货合约需缴纳的交易保证金后，本基金持有的现金或到期日在一年以内的政府债券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本基金持有一家公司发行的证券（同一家公司在内地和香港同时上市的A+H 股合计计算），其市值不超过基金资产净值的10%；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（11）本基金进入全国银行间同业市场进行债券回购的资金余额不得超过基金资产净值的40%，进入全国银行间同业市场进行债券回购的最长期限为1年，债券回购到期后不得展期；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转为上市开放式基金（LOF）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（15）在封闭期内，本基金的基金资产总值不得超过基金资产净值的200%；在转为上市开放式基金（LOF）后，本基金的基金资产总值不得超过基金资产净值的140%；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（16）本基金参与股指期货交易，则：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封闭期内的任何交易日日终，持有的买入股指期货合约价值与有价证券市值之和，不得超过基金资产净值的100%；本基金转为上市开放式基金（LOF）后，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w:t>
      </w:r>
      <w:r>
        <w:rPr>
          <w:rFonts w:ascii="宋体" w:hAnsi="宋体"/>
          <w:sz w:val="24"/>
        </w:rPr>
        <w:lastRenderedPageBreak/>
        <w:t>算）应当符合基金合同关于股票投资比例的有关约定；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w:t>
      </w:r>
      <w:r>
        <w:rPr>
          <w:rFonts w:ascii="宋体" w:hAnsi="宋体"/>
          <w:sz w:val="24"/>
        </w:rPr>
        <w:lastRenderedPageBreak/>
        <w:t>通过。基金管理人董事会应至少每半年对关联交易事项进行审查。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（八）基金投资组合报告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基金托管人招商银行股份有限公司根据本基金合同规定，于2026年04月20日复核了本报告中的财务指标、净值表现和投资组合报告等内容，保证复核内容不存在虚假记载、误导性陈述或者重大遗漏。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本报告期自2026年01月01日起至03月31日。本报告中财务资料未经审计师审计。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478,713,309.02</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82.58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478,713,309.02</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82.58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98,107,335.48</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16.92</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2,861,677.05</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579,682,321.55</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注：本基金本报告期末通过港股通机制投资香港股票的公允价值为175,787,988.74元，占基金资产净值比例为30.62%。</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209,179.05</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63,461,025.79</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26,884.64</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1,845.66</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55,983.42</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239,134,368.69</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41.65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28,148.00</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7,885.03</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302,925,320.28</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52.76</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56,215,309.00</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9.79</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39,759,832.73</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6.92</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39,226,241.61</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6.83</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32,061,515.47</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5.58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7,858,184.36</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657,555.15</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7,376.22</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1,474.89</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499.31</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175,787,988.74</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30.62</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600926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杭州银行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3,340,700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55,956,725.00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9.75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55,394,430.00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9.65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002142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宁波银行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1,774,800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54,042,660.00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9.41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03698 HK</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徽商银行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12,686,000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51,525,077.02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8.97</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00175 HK</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吉利汽车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2,151,000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39,731,796.41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6.92</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601318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632,900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35,936,062.00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6.26</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02869 HK</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绿城服务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8,114,000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30,591,374.40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5.33</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601009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南京银行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2,569,263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29,263,905.57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5.10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601665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齐鲁银行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3,732,600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21,499,776.00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3.74</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03618 HK</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重庆农村商业银行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683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4,094.74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601077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渝农商行</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3,034,700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21,394,635.00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3.73</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2025年12月25日,国家金融监督管理总局重庆监管局公示渝金管罚决字[2025]29号行政处罚决定书,给予重庆农村商业银行股份有限公司870万元人民币的行政处罚。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2025年12月05日,国家金融监督管理总局安徽监管局公示行政处罚决定书,给予徽商银行股份有限公司150万元人民币的行政处罚。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2025年12月05日,国家金融监督管理总局安徽监管局公示行政处罚决定书,给予徽商银行股份有限公司665万元人民币的行政处罚。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2025年11月25日,央行宁波市分行公示甬银罚决字[2025]18号行政处罚决定书,给予宁波银行股份有限公司98.8万元人民币的行政处罚。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2025年10月24日,国家金融监督管理总局安徽监管局公示行政处罚决定书,给予徽商银行股份有限公司240万元人民币的行政处罚。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2025年09月29日,央行安徽省分行公示皖银罚决字[2025]19号行政处罚决</w:t>
      </w:r>
      <w:r>
        <w:rPr>
          <w:rFonts w:ascii="宋体" w:hAnsi="宋体"/>
          <w:sz w:val="24"/>
        </w:rPr>
        <w:lastRenderedPageBreak/>
        <w:t>定书,给予徽商银行股份有限公司20万元人民币的行政处罚。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2025年07月18日,国家金融监督管理总局江苏监管局公示苏金罚决字[2025]32号行政处罚决定书,给予南京银行股份有限公司70万元人民币的行政处罚。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160,701.64</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2,678,180.76</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22,794.65</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right"/>
              <w:rPr>
                <w:rFonts w:ascii="宋体" w:hAnsi="宋体"/>
                <w:color w:val="000000"/>
                <w:kern w:val="0"/>
                <w:sz w:val="25"/>
                <w:szCs w:val="24"/>
              </w:rPr>
            </w:pPr>
            <w:r>
              <w:rPr>
                <w:rFonts w:ascii="Times New Roman" w:hAnsi="Times New Roman"/>
                <w:color w:val="000000"/>
                <w:kern w:val="0"/>
                <w:sz w:val="25"/>
                <w:szCs w:val="24"/>
              </w:rPr>
              <w:t>2,861,677.05</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5" w:name="_Toc234327919"/>
      <w:r>
        <w:rPr>
          <w:rFonts w:ascii="Times New Roman" w:hAnsi="Times New Roman"/>
          <w:sz w:val="30"/>
        </w:rPr>
        <w:lastRenderedPageBreak/>
        <w:t>十二、基金的业绩</w:t>
      </w:r>
      <w:bookmarkEnd w:id="15"/>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5.31%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7.95%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-11.94%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-16.35%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-8.85%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-18.58%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1.79%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59.19%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19.67%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39.52%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8F053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5.33%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5.31%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bl>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注：本基金的业绩比较基准为沪深300指数收益率×70%+恒生指数收益率×5%+中证综合债券指数收益率×25%，每日进行再平衡过程。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F053E" w:rsidRDefault="00EA001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交银施罗德瑞丰三年封闭运作混合型证券投资基金</w:t>
      </w:r>
    </w:p>
    <w:p w:rsidR="008F053E" w:rsidRDefault="00EA001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8F053E" w:rsidRDefault="00EA001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（2019年9月4日至2026年03月31日）</w:t>
      </w:r>
    </w:p>
    <w:p w:rsidR="008F053E" w:rsidRDefault="002154D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6" w:name="_Toc234327920"/>
      <w:r>
        <w:rPr>
          <w:rFonts w:ascii="Times New Roman" w:hAnsi="Times New Roman"/>
          <w:sz w:val="30"/>
        </w:rPr>
        <w:lastRenderedPageBreak/>
        <w:t>十三、基金的财产</w:t>
      </w:r>
      <w:bookmarkEnd w:id="16"/>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7" w:name="_Toc234327921"/>
      <w:r>
        <w:rPr>
          <w:rFonts w:ascii="Times New Roman" w:hAnsi="Times New Roman"/>
          <w:sz w:val="30"/>
        </w:rPr>
        <w:lastRenderedPageBreak/>
        <w:t>十四、基金资产的估值</w:t>
      </w:r>
      <w:bookmarkEnd w:id="17"/>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基金所拥有的股票、债券、股指期货合约和其他投资等持续以公允价值计量的金融资产及负债。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交易所上市实行全价交易的债券（可转债除外），选取第三方估值机构提供的估值全价减去估值全价中所含的债券（税后）应收利息得到的净价进行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（4）交易所上市不存在活跃市场的有价证券，采用估值技术确定公允价值。交易所市场挂牌转让的资产支持证券，采用估值技术确定公允价值；估值技术难以确定和计量其公允价值的，按成本估值；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w:t>
      </w:r>
      <w:r>
        <w:rPr>
          <w:rFonts w:ascii="宋体" w:hAnsi="宋体"/>
          <w:sz w:val="24"/>
        </w:rPr>
        <w:lastRenderedPageBreak/>
        <w:t>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6、估值计算中涉及港币对人民币汇率的，将依据下列信息提供机构所提供的汇率为基准：当日中国人民银行公布的人民币与港币的中间价。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r>
        <w:rPr>
          <w:rFonts w:ascii="宋体" w:hAnsi="宋体"/>
          <w:sz w:val="24"/>
        </w:rPr>
        <w:lastRenderedPageBreak/>
        <w:t>如遇特殊情况，经履行适当程序，可以适当延迟计算或公告。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w:t>
      </w:r>
      <w:r>
        <w:rPr>
          <w:rFonts w:ascii="宋体" w:hAnsi="宋体"/>
          <w:sz w:val="24"/>
        </w:rPr>
        <w:lastRenderedPageBreak/>
        <w:t>经双方在平等基础上充分讨论后，尚不能达成一致时，按基金管理人的建议执行，由此给基金份额持有人和基金财产造成的损失，由基金管理人负责赔付。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 50%以上的资产出现无可参考的活跃市场价格且采用估值技术仍导致公允价值存在重大不确定性时，经与基金托管人协商确认后，基金管理人应当暂停估值；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1、基金管理人或基金托管人按估值方法的第6项进行估值时，所造成的误差不作为基金资产估值错误处理。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期货交易所、证券/期货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8" w:name="_Toc234327922"/>
      <w:r>
        <w:rPr>
          <w:rFonts w:ascii="Times New Roman" w:hAnsi="Times New Roman"/>
          <w:sz w:val="30"/>
        </w:rPr>
        <w:lastRenderedPageBreak/>
        <w:t>十五、基金收益与分配</w:t>
      </w:r>
      <w:bookmarkEnd w:id="18"/>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对于场外份额，基金收益分配时所发生的银行转账或其他手续费用由投资者自</w:t>
      </w:r>
      <w:r>
        <w:rPr>
          <w:rFonts w:ascii="宋体" w:hAnsi="宋体"/>
          <w:sz w:val="24"/>
        </w:rPr>
        <w:lastRenderedPageBreak/>
        <w:t>行承担。当投资者的现金红利小于一定金额，不足以支付银行转账或其他手续费用时，基金登记机构可将基金份额持有人的现金红利自动转为基金份额。红利再投资的计算方法，依照《业务规则》执行。对于场内份额，现金分红的计算方法等有关事项遵循上海证券交易所及中国证券登记结算有限责任公司的相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19" w:name="_Toc234327923"/>
      <w:r>
        <w:rPr>
          <w:rFonts w:ascii="Times New Roman" w:hAnsi="Times New Roman"/>
          <w:sz w:val="30"/>
        </w:rPr>
        <w:lastRenderedPageBreak/>
        <w:t>十六、基金的费用与税收</w:t>
      </w:r>
      <w:bookmarkEnd w:id="19"/>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9、基金上市费用；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本基金的托管费按前一日基金资产净值的0.20%的年费率计提。托管费的计算方法如下：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H＝E×0.20%÷当年天数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（3）上述“（一）基金费用的种类”中第3－11项费用，根据有关法规及相应协议规定，按费用实际支出金额列入当期费用，由基金托管人从基金财产中支付。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（四）基金税收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0" w:name="_Toc234327924"/>
      <w:r>
        <w:rPr>
          <w:rFonts w:ascii="Times New Roman" w:hAnsi="Times New Roman"/>
          <w:sz w:val="30"/>
        </w:rPr>
        <w:lastRenderedPageBreak/>
        <w:t>十七、基金的会计与审计</w:t>
      </w:r>
      <w:bookmarkEnd w:id="20"/>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1" w:name="_Toc234327925"/>
      <w:r>
        <w:rPr>
          <w:rFonts w:ascii="Times New Roman" w:hAnsi="Times New Roman"/>
          <w:sz w:val="30"/>
        </w:rPr>
        <w:lastRenderedPageBreak/>
        <w:t>十八、基金的信息披露</w:t>
      </w:r>
      <w:bookmarkEnd w:id="21"/>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基金份额获准在证券交易所上市交易的，基金管理人应当在基金份额上市交易的三个工作日前，将基金份额上市交易公告书登载在指定网站上，并将上市交易公告书提示性公告登载在指定报刊上。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5、基金净值信息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《基金合同》生效后，在开始办理基金上市交易或基金份额申购或者赎回前，基金管理人应当至少每周在指定网站披露一次基金份额净值和基金份额累计净值。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在开始办理基金上市交易或基金份额申购或者赎回后，基金管理人应当在不晚于每个开放日的次日，通过指定网站、基金销售机构网站或者营业网点披露开放日的基金份额净值和基金份额累计净值。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w:t>
      </w:r>
      <w:r>
        <w:rPr>
          <w:rFonts w:ascii="宋体" w:hAnsi="宋体"/>
          <w:sz w:val="24"/>
        </w:rPr>
        <w:lastRenderedPageBreak/>
        <w:t>登载在指定报刊和指定网站上。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（23）本基金停牌、暂停上市、恢复上市或终止上市；</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（24）本基金转为上市开放式基金（LOF）后，发生涉及基金申购、赎回事项调整或潜在影响投资者赎回等重大事项时；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（25）本基金增加或调整基金份额类别；</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（26）《基金合同》生效后，连续40个工作日、50个工作日、55个工作日出现基金份额持有人数量不满200人或者基金资产净值低于5000万元情形的，基金管理人应当发布提示性公告；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（27）基金信息披露义务人认为可能对基金份额持有人权益或者基金份额的价格产生重大影响的其他事项或中国证监会规定的其他事项。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基金上市交易的证券交易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w:t>
      </w:r>
      <w:r>
        <w:rPr>
          <w:rFonts w:ascii="宋体" w:hAnsi="宋体"/>
          <w:sz w:val="24"/>
        </w:rPr>
        <w:lastRenderedPageBreak/>
        <w:t>清算报告提示性公告登载在指定报刊上。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14、投资港股通标的股票相关公告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w:t>
      </w:r>
      <w:r>
        <w:rPr>
          <w:rFonts w:ascii="宋体" w:hAnsi="宋体"/>
          <w:sz w:val="24"/>
        </w:rPr>
        <w:lastRenderedPageBreak/>
        <w:t>其他公共媒介披露信息，但是其他公共媒介不得早于指定媒介和基金上市交易的证券交易所网站披露信息，并且在不同媒介上披露同一信息的内容应当一致。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依法必须披露的信息发布后，基金管理人、基金托管人应当按照相关法律法规规定将信息置备于各自住所和基金上市交易的证券交易所网站，供社会公众查阅、复制。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（八）暂停或延迟披露基金相关信息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1、因不可抗力或其他特殊情形致使基金管理人、基金托管人无法准确评估基金资产价值时；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2、基金投资所涉及的证券/期货交易市场遇法定节假日或因其他原因暂停营业时；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3、法律法规、基金合同或中国证监会规定的情况。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（九）本基金信息披露事项以法律法规规定及本章节约定的内容为准。</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2" w:name="_Toc234327926"/>
      <w:r>
        <w:rPr>
          <w:rFonts w:ascii="Times New Roman" w:hAnsi="Times New Roman"/>
          <w:sz w:val="30"/>
        </w:rPr>
        <w:lastRenderedPageBreak/>
        <w:t>十九、风险揭示</w:t>
      </w:r>
      <w:bookmarkEnd w:id="22"/>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交易量不足，导致证券不能迅速、低成本地转变为现金的风险。流动性风险还包括由于本基金在转换为上市开放式基金（LOF）后出现投资者大额或巨额赎回，致使本基金没有足够的现金应付基金赎回支付的要求所导致的风险和本基金</w:t>
      </w:r>
      <w:r>
        <w:rPr>
          <w:rFonts w:ascii="宋体" w:hAnsi="宋体"/>
          <w:sz w:val="24"/>
        </w:rPr>
        <w:lastRenderedPageBreak/>
        <w:t>在封闭期内无法赎回的风险，但本基金上市交易后，可通过二级市场进行份额转让。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基金合同生效后三年之内（含三年）为封闭期，在此期间投资者不能申购、赎回基金份额，但可在本基金上市交易后通过上海证券交易所转让基金份额。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基金封闭期届满并转为上市开放式基金（LOF）之日起不超过30天开始办理申购、赎回业务，在确定申购开始与赎回开始时间后，基金管理人应在申购、赎回开放日前依照《信息披露办法》的有关规定在指定媒介上公告申购与赎回的开始时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4、巨额赎回的场内处理方式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5、实施备用的流动性风险管理工具的情形、程序及对投资者的潜在影响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（四）信用风险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w:t>
      </w:r>
      <w:r>
        <w:rPr>
          <w:rFonts w:ascii="宋体" w:hAnsi="宋体"/>
          <w:sz w:val="24"/>
        </w:rPr>
        <w:lastRenderedPageBreak/>
        <w:t>素的变化可能对本基金进入或退出当地市场造成障碍，从而对投资收益以及正常的申购赎回产生直接或间接的影响。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交所及深交所证券交易服务公司认定的交易异常情况时，上交所及深交所证券交易服务公司将可能暂停提供部分或者全部港股通服务，投资者将面临在暂停服务期间无法进行港股通交易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交所及深交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结算的相关规定处理；因港股通股票权益分派、转换或者上市公司被收购等所取得的非香港联合交易所上市证券，不得通过港股通买入或卖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结算是在汇总投资者意愿后再向香港结算提交投票意愿，中国结算对投资者设定的意愿征集期比香港结算的征集期稍早结束；投票没有权益登记日的，以投票截止日的持有作为计算基准；投票数量超出持有数量的，按照比例分配持有基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（4）本基金可根据投资策略需要或不同配置地市场环境的变化，选择将部分基金资产投资于港股或选择不将基金资产投资于港股，基金资产并非必然投资港股。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5、基金合同提前终止风险。连续六十个工作日出现基金份额持有人数量不满200人或者基金资产净值低于5000万元情形的，基金管理人提前终止基金合同，不需召开基金份额持有人大会。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（七）投资科创板股票的特定风险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F053E" w:rsidRDefault="00EA001A">
      <w:pPr>
        <w:pStyle w:val="1"/>
        <w:snapToGrid w:val="0"/>
        <w:spacing w:beforeLines="0" w:before="240" w:after="240"/>
        <w:rPr>
          <w:rFonts w:ascii="宋体" w:hAnsi="宋体"/>
          <w:szCs w:val="30"/>
        </w:rPr>
      </w:pPr>
      <w:bookmarkStart w:id="23" w:name="_Toc234327927"/>
      <w:r>
        <w:rPr>
          <w:rFonts w:ascii="Times New Roman" w:hAnsi="Times New Roman"/>
          <w:sz w:val="30"/>
        </w:rPr>
        <w:lastRenderedPageBreak/>
        <w:t>二十、基金合同的变更、终止与基金财产的清算</w:t>
      </w:r>
      <w:bookmarkEnd w:id="23"/>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4" w:name="_Toc234327928"/>
      <w:r>
        <w:rPr>
          <w:rFonts w:ascii="Times New Roman" w:hAnsi="Times New Roman"/>
          <w:sz w:val="30"/>
        </w:rPr>
        <w:lastRenderedPageBreak/>
        <w:t>二十一、基金合同内容摘要</w:t>
      </w:r>
      <w:bookmarkEnd w:id="24"/>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11）终止基金份额上市，但因基金不再具备上市条件而被上海证券交易所终止上市的除外；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1）法律法规要求增加的基金费用的收取；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3）因相应的法律法规、上海证券交易所或登记机构的相关业务规则发生变动而应当对《基金合同》进行修改；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7）在不违反法律法规及对基金份额持有人利益无实质性不利影响的前提下，基金管理人、登记机构、销售机构调整有关基金认购、申购、赎回、转换、收益分配、非交易过户、转托管、上市交易等业务的规则；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w:t>
      </w:r>
      <w:r>
        <w:rPr>
          <w:rFonts w:ascii="宋体" w:hAnsi="宋体"/>
          <w:sz w:val="24"/>
        </w:rPr>
        <w:lastRenderedPageBreak/>
        <w:t>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w:t>
      </w:r>
      <w:r>
        <w:rPr>
          <w:rFonts w:ascii="宋体" w:hAnsi="宋体"/>
          <w:sz w:val="24"/>
        </w:rPr>
        <w:lastRenderedPageBreak/>
        <w:t>或基金托管人拒不派代表对表决意见的计票进行监督的，不影响表决意见的计票效力。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w:t>
      </w:r>
      <w:r>
        <w:rPr>
          <w:rFonts w:ascii="宋体" w:hAnsi="宋体"/>
          <w:sz w:val="24"/>
        </w:rPr>
        <w:lastRenderedPageBreak/>
        <w:t>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7、计票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（3）连续60个工作日出现基金份额持有人数量不满200人或者基金资产净值低于5000万元情形的，基金管理人提前终止基金合同，不需召开基金份额持有人大会；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w:t>
      </w:r>
      <w:r>
        <w:rPr>
          <w:rFonts w:ascii="宋体" w:hAnsi="宋体"/>
          <w:sz w:val="24"/>
        </w:rPr>
        <w:lastRenderedPageBreak/>
        <w:t>深圳国际仲裁院届时有效的仲裁规则进行仲裁。仲裁地点为深圳市。仲裁裁决是终局的，对各方当事人均有约束力，除非仲裁裁决另有规定，仲裁费由败诉方承担。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《基金合同》受中国法律（不含港澳台地区立法）管辖。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5" w:name="_Toc234327929"/>
      <w:r>
        <w:rPr>
          <w:rFonts w:ascii="Times New Roman" w:hAnsi="Times New Roman"/>
          <w:sz w:val="30"/>
        </w:rPr>
        <w:lastRenderedPageBreak/>
        <w:t>二十二、托管协议的内容摘要</w:t>
      </w:r>
      <w:bookmarkEnd w:id="25"/>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 2005年8月4日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转为上市开放式基金（LOF）后，股票投资（含存托凭证）占基金资产的比例为50%-95%（其中投资于港股通标的股票的比例占股票资产的0%-50%）；封闭期内，股票投资（含存托凭证）占基金资产的比例为50%-100%（其中投资于港股通标的股票的比例占股票资产的0%-50%）；但本基金转为上市开放式基金（LOF）的前后各三个月内，基金投资不受前述下限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（1）本基金转为上市开放式基金（LOF）后，股票投资（含存托凭证）占基金</w:t>
      </w:r>
      <w:r>
        <w:rPr>
          <w:rFonts w:ascii="宋体" w:hAnsi="宋体"/>
          <w:sz w:val="24"/>
        </w:rPr>
        <w:lastRenderedPageBreak/>
        <w:t>资产的比例为50%-95%（其中投资于港股通标的股票的比例占股票资产的0%-50%）；封闭期内，股票投资（含存托凭证）占基金资产的比例为50%-100%（其中投资于港股通标的股票的比例占股票资产的0%-50%）；但本基金转为上市开放式基金（LOF）的前后各三个月内，基金投资不受前述下限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上市开放式基金（LOF）后，每个交易日日终，在扣除股指期货合约需缴纳的交易保证金后，本基金持有的现金或到期日在一年以内的政府债券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转为上市开放式基金（LOF）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（15）在封闭期内，本基金的基金资产总值不得超过基金资产净值的200%；在转为上市开放式基金（LOF）后，本基金的基金资产总值不得超过基金资产净值的140%；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（16）本基金参与股指期货交易，则：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封闭期内的任何交易日日终，持有的买入股指期货合约价值与有价证券市值之和，不得超过基金资产净值的100%；本基金转为上市开放式基金（LOF）后，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（17）本基金投资存托凭证的比例限制依照境内上市交易的股票执行；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除上述（2）、（9）、（13）、（14）情形之外，因证券、期货市场波动、证券发行人合并、基金规模变动等基金管理人之外的原因导致投资比例不符合上述规定的，基金管理人应在10个交易日内进行调整，但中国证监会规定的特殊情形除外。法律法规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果法律法规及监管政策等对基金合同约定的投资禁止行为和投资组合比例限制进行变更的，本基金可相应调整禁止行为和投资比例限制规定。《基金法》及其他有关法律法规或监管部门取消上述限制的，履行适当程序后，基金不受上述限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w:t>
      </w:r>
      <w:r>
        <w:rPr>
          <w:rFonts w:ascii="宋体" w:hAnsi="宋体"/>
          <w:sz w:val="24"/>
        </w:rPr>
        <w:lastRenderedPageBreak/>
        <w:t>各项规定。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上门交付或双方约定方式送达存款证实书或其他有效存款凭证的，基金托管人可向存款分支机构的上级行发出存款余额询证函，存款分支机构及其上级行应予配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w:t>
      </w:r>
      <w:r>
        <w:rPr>
          <w:rFonts w:ascii="宋体" w:hAnsi="宋体"/>
          <w:sz w:val="24"/>
        </w:rPr>
        <w:lastRenderedPageBreak/>
        <w:t>指定的分支机构开立银行账户。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或双方约定方式将存款凭证原件寄给存款银行分支机构指定的会计主管。存款银行未收到存款凭证原件的，应向基金托管人电话询问。存款到期前基金管理人与存款银行确认存款凭证收到并于到期日兑付存款本息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w:t>
      </w:r>
      <w:r>
        <w:rPr>
          <w:rFonts w:ascii="宋体" w:hAnsi="宋体"/>
          <w:sz w:val="24"/>
        </w:rPr>
        <w:lastRenderedPageBreak/>
        <w:t>基金托管人，基金托管人收妥存款本息的当日通知基金管理人。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w:t>
      </w:r>
      <w:r>
        <w:rPr>
          <w:rFonts w:ascii="宋体" w:hAnsi="宋体"/>
          <w:sz w:val="24"/>
        </w:rPr>
        <w:lastRenderedPageBreak/>
        <w:t>人说明理由，并在与交易对手发生交易前3个交易日内与基金托管人协商解决。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风险防范，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w:t>
      </w:r>
      <w:r>
        <w:rPr>
          <w:rFonts w:ascii="宋体" w:hAnsi="宋体"/>
          <w:sz w:val="24"/>
        </w:rPr>
        <w:lastRenderedPageBreak/>
        <w:t>提供足额现金确保基金的支付结算，并承担所有损失。对本基金因投资流通受限证券导致的流动性风险，基金托管人不承担任何责任。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基金管理人应在基金投资非公开发行股票后两个交易日内,在中国证监会指定媒介披露所投资非公开发行股票的名称、数量、总成本、账面价值,以及总成本和账面价值占基金资产净值的比例、锁定期等信息。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w:t>
      </w:r>
      <w:r>
        <w:rPr>
          <w:rFonts w:ascii="宋体" w:hAnsi="宋体"/>
          <w:sz w:val="24"/>
        </w:rPr>
        <w:lastRenderedPageBreak/>
        <w:t>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基金资产净值和基金份额净值、根据基金管理人指令办理清算交收、相关信息披露和监督基金投资运作等行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w:t>
      </w:r>
      <w:r>
        <w:rPr>
          <w:rFonts w:ascii="宋体" w:hAnsi="宋体"/>
          <w:sz w:val="24"/>
        </w:rPr>
        <w:lastRenderedPageBreak/>
        <w:t>托管人应积极配合提供相关资料以供基金管理人核查托管财产的完整性和真实性。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（3）基金托管人按照规定开设基金财产的资金账户、证券账户和期货结算账户等投资所需的相关账户。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w:t>
      </w:r>
      <w:r>
        <w:rPr>
          <w:rFonts w:ascii="宋体" w:hAnsi="宋体"/>
          <w:sz w:val="24"/>
        </w:rPr>
        <w:lastRenderedPageBreak/>
        <w:t>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瑞丰混合型证券投资基金（LOF）”，预留印鉴为基金托管人印章。</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w:t>
      </w:r>
      <w:r>
        <w:rPr>
          <w:rFonts w:ascii="宋体" w:hAnsi="宋体"/>
          <w:sz w:val="24"/>
        </w:rPr>
        <w:lastRenderedPageBreak/>
        <w:t>管理；若无相关规定，则基金托管人比照上述关于账户开立、使用的规定执行。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w:t>
      </w:r>
      <w:r>
        <w:rPr>
          <w:rFonts w:ascii="宋体" w:hAnsi="宋体"/>
          <w:sz w:val="24"/>
        </w:rPr>
        <w:lastRenderedPageBreak/>
        <w:t>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（五）基金资产净值计算、估值和会计核算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估值日基金资产净值除以估值日基金份额的余额数量，基金份额净值的计算，精确到0.0001元，小数点后第五位四舍五入。基金管理人可以设立大额赎回情形下的净值精度应急调整机制，具体可参见相关公告。国家另有规定的，从其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基金管理人于每个工作日计算基金资产净值、基金份额净值，经基金托管人复核，按规定公告，但基金管理人根据法律法规或基金合同的规定暂停估值时除外。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按国家有关部门规定的会计制度执行。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每个季度结束之日起15个工作日内完成基金季度报告的编制及复核；在上半年结束之日起60日内完成基金半年度报告的编制及复核；在每年结束之日起90日内完成基金年度报告的编制及复核。基金托管人在复核过程中，发现双方的报表存在不符时，基金管理人和基金托管人应共同查明原因，进行调整，调整以国家有关规定为准。基金年度报告的财务会计报告应当经过审计。基金合同生效不足两个月的，基金管理人可以不编制当期季度报告、半年度报告或者年度报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w:t>
      </w:r>
      <w:r>
        <w:rPr>
          <w:rFonts w:ascii="宋体" w:hAnsi="宋体"/>
          <w:sz w:val="24"/>
        </w:rPr>
        <w:lastRenderedPageBreak/>
        <w:t>途，并应遵守保密义务。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本协议受中华人民共和国法律（不含港澳台地区立法）管辖。</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6" w:name="_Toc234327930"/>
      <w:r>
        <w:rPr>
          <w:rFonts w:ascii="Times New Roman" w:hAnsi="Times New Roman"/>
          <w:sz w:val="30"/>
        </w:rPr>
        <w:lastRenderedPageBreak/>
        <w:t>二十三、对基金份额持有人的服务</w:t>
      </w:r>
      <w:bookmarkEnd w:id="26"/>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1、每次交易结束后，场外投资者可在T+2个工作日后通过销售机构的网点查询和打印确认单；</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人可以直接通过本基金管理人网站的网上直销交易平台办理开户和本基金的申购、赎回、定期定额投资和转换等业务。通过网上直销交易平台办理本基金申购、定期定额投资业务的个人投资者将享受申购费率的优惠，通过网上直销交易平台进行基金转换，从各基金招募说明书所载的零申购费率的基金转换入非零申购费率的基金，转出与转入基金的申购补差费率将享受优惠，其他费率标准不变。具体优惠费率请参见公司网站列示的网上直销申购、定期定额投资及转换费率表或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在条件成熟的时候，本基金管理人将根据基金网上直销交易业务的发展状况，适时调整可用于基金网上直销交易平台的银行卡种类，敬请投资者留意相关公告。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和赎回等交易情况、分红方式状态、基金账户余额、基金产品与服务等信息，请拨打本基金管理人客户服务电话（400-700-5000，021-61055000）或登录本基金管理人网站（www.fund001.com）进行咨询、查询。</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投资者可以拨打本基金管理人客户服务电话投诉直销机构的人员和服务。</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 基金红利再投资</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 定期定额投资计划</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本基金已开通定期定额投资业务，具体实施方法请参见相关公告。</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7" w:name="_Toc234327931"/>
      <w:r>
        <w:rPr>
          <w:rFonts w:ascii="Times New Roman" w:hAnsi="Times New Roman"/>
          <w:sz w:val="30"/>
        </w:rPr>
        <w:lastRenderedPageBreak/>
        <w:t>二十四、其他应披露事项</w:t>
      </w:r>
      <w:bookmarkEnd w:id="27"/>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交银施罗德基金管理有限公司关于增加湘财证券股份有限公司为旗下基金的销售机构的公告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交银施罗德瑞丰混合型证券投资基金（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8F053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F053E" w:rsidRDefault="00EA00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8" w:name="_Toc234327932"/>
      <w:r>
        <w:rPr>
          <w:rFonts w:ascii="Times New Roman" w:hAnsi="Times New Roman"/>
          <w:sz w:val="30"/>
        </w:rPr>
        <w:lastRenderedPageBreak/>
        <w:t>二十五、招募说明书的存放及查阅方式</w:t>
      </w:r>
      <w:bookmarkEnd w:id="28"/>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A001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F053E" w:rsidRDefault="00EA001A">
      <w:pPr>
        <w:pStyle w:val="1"/>
        <w:snapToGrid w:val="0"/>
        <w:spacing w:beforeLines="0" w:before="240" w:after="240"/>
        <w:rPr>
          <w:rFonts w:ascii="宋体" w:hAnsi="宋体"/>
          <w:szCs w:val="30"/>
        </w:rPr>
      </w:pPr>
      <w:bookmarkStart w:id="29" w:name="_Toc234327933"/>
      <w:r>
        <w:rPr>
          <w:rFonts w:ascii="Times New Roman" w:hAnsi="Times New Roman"/>
          <w:sz w:val="30"/>
        </w:rPr>
        <w:lastRenderedPageBreak/>
        <w:t>二十六、备查文件</w:t>
      </w:r>
      <w:bookmarkEnd w:id="29"/>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（一）中国证监会准予交银施罗德瑞丰三年封闭运作混合型证券投资基金募集注册的文件</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（二）《交银施罗德瑞丰混合型证券投资基金（LOF）基金合同》</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（三）《交银施罗德瑞丰混合型证券投资基金（LOF）托管协议》</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F053E" w:rsidRDefault="00EA001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（六）关于申请募集注册交银施罗德瑞丰三年封闭运作混合型证券投资基金的法律意见书</w:t>
      </w:r>
    </w:p>
    <w:sectPr w:rsidR="008F053E">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546" w:rsidRDefault="00EA001A">
      <w:r>
        <w:separator/>
      </w:r>
    </w:p>
  </w:endnote>
  <w:endnote w:type="continuationSeparator" w:id="0">
    <w:p w:rsidR="00D86546" w:rsidRDefault="00EA0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8F053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2154D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F053E" w:rsidRDefault="00EA001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154D3">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8F053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2154D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F053E" w:rsidRDefault="00EA001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154D3">
                  <w:rPr>
                    <w:rFonts w:ascii="Times New Roman" w:hAnsi="Times New Roman"/>
                    <w:noProof/>
                    <w:kern w:val="0"/>
                    <w:sz w:val="18"/>
                    <w:szCs w:val="18"/>
                  </w:rPr>
                  <w:t>156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546" w:rsidRDefault="00EA001A">
      <w:r>
        <w:separator/>
      </w:r>
    </w:p>
  </w:footnote>
  <w:footnote w:type="continuationSeparator" w:id="0">
    <w:p w:rsidR="00D86546" w:rsidRDefault="00EA0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8F053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EA001A">
    <w:pPr>
      <w:pStyle w:val="a3"/>
      <w:jc w:val="right"/>
      <w:rPr>
        <w:rFonts w:ascii="宋体" w:hAnsi="宋体"/>
      </w:rPr>
    </w:pPr>
    <w:r>
      <w:rPr>
        <w:rFonts w:ascii="宋体" w:hAnsi="宋体" w:hint="eastAsia"/>
      </w:rPr>
      <w:t>交银施罗德瑞丰混合型证券投资基金（LOF）招募说明书更新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8F053E">
    <w:pPr>
      <w:pStyle w:val="10"/>
      <w:jc w:val="right"/>
    </w:pPr>
  </w:p>
  <w:p w:rsidR="008F053E" w:rsidRDefault="008F053E">
    <w:pPr>
      <w:pStyle w:val="10"/>
      <w:jc w:val="right"/>
    </w:pPr>
  </w:p>
  <w:p w:rsidR="008F053E" w:rsidRDefault="008F053E">
    <w:pPr>
      <w:pStyle w:val="a3"/>
      <w:jc w:val="right"/>
    </w:pPr>
  </w:p>
  <w:p w:rsidR="008F053E" w:rsidRDefault="00EA001A">
    <w:pPr>
      <w:pStyle w:val="a3"/>
      <w:jc w:val="right"/>
      <w:rPr>
        <w:rFonts w:ascii="宋体" w:hAnsi="宋体"/>
      </w:rPr>
    </w:pPr>
    <w:r>
      <w:rPr>
        <w:rFonts w:ascii="宋体" w:hAnsi="宋体" w:hint="eastAsia"/>
      </w:rPr>
      <w:t>交银施罗德瑞丰混合型证券投资基金（LOF）招募说明书更新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53E" w:rsidRDefault="008F053E">
    <w:pPr>
      <w:pStyle w:val="a3"/>
      <w:jc w:val="right"/>
    </w:pPr>
  </w:p>
  <w:p w:rsidR="008F053E" w:rsidRDefault="008F053E">
    <w:pPr>
      <w:pStyle w:val="a3"/>
      <w:jc w:val="right"/>
    </w:pPr>
  </w:p>
  <w:p w:rsidR="008F053E" w:rsidRDefault="008F053E">
    <w:pPr>
      <w:pStyle w:val="a3"/>
      <w:jc w:val="right"/>
    </w:pPr>
  </w:p>
  <w:p w:rsidR="008F053E" w:rsidRDefault="00EA001A">
    <w:pPr>
      <w:pStyle w:val="a3"/>
      <w:jc w:val="right"/>
      <w:rPr>
        <w:rFonts w:ascii="宋体" w:hAnsi="宋体"/>
      </w:rPr>
    </w:pPr>
    <w:r>
      <w:rPr>
        <w:rFonts w:ascii="宋体" w:hAnsi="宋体" w:hint="eastAsia"/>
      </w:rPr>
      <w:t>交银施罗德瑞丰混合型证券投资基金（LOF）招募说明书更新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4D3"/>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053E"/>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6546"/>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01A"/>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D020ABD1-D073-475B-9367-63826EF90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157</Pages>
  <Words>17027</Words>
  <Characters>97056</Characters>
  <Application>Microsoft Office Word</Application>
  <DocSecurity>0</DocSecurity>
  <Lines>808</Lines>
  <Paragraphs>227</Paragraphs>
  <ScaleCrop>false</ScaleCrop>
  <Company>Microsoft</Company>
  <LinksUpToDate>false</LinksUpToDate>
  <CharactersWithSpaces>113856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2026-07-07T06:44:00Z</dcterms:created>
  <dcterms:modified xsi:type="dcterms:W3CDTF">2026-07-07T06:44:00Z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